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许昌市市政设施管理中心单位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许昌市市政设施管理中心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许昌市市政设施管理中心</w:t>
      </w: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（一）</w:t>
      </w:r>
      <w:r>
        <w:rPr>
          <w:rFonts w:hint="eastAsia" w:ascii="仿宋_GB2312" w:hAnsi="仿宋_GB2312" w:eastAsia="仿宋_GB2312" w:cs="仿宋_GB2312"/>
          <w:color w:val="auto"/>
          <w:sz w:val="32"/>
          <w:szCs w:val="32"/>
          <w:highlight w:val="none"/>
        </w:rPr>
        <w:t>负责城市道路设施、内河堤栏设施、桥涵设施等及其附属设施的管理。</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（二）</w:t>
      </w:r>
      <w:r>
        <w:rPr>
          <w:rFonts w:hint="eastAsia" w:ascii="仿宋_GB2312" w:hAnsi="仿宋_GB2312" w:eastAsia="仿宋_GB2312" w:cs="仿宋_GB2312"/>
          <w:color w:val="auto"/>
          <w:sz w:val="32"/>
          <w:szCs w:val="32"/>
          <w:highlight w:val="none"/>
        </w:rPr>
        <w:t>受委托负责对市政设施养护维修作业的企业指导、监督和考核。</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（三）</w:t>
      </w:r>
      <w:r>
        <w:rPr>
          <w:rFonts w:hint="eastAsia" w:ascii="仿宋_GB2312" w:hAnsi="仿宋_GB2312" w:eastAsia="仿宋_GB2312" w:cs="仿宋_GB2312"/>
          <w:color w:val="auto"/>
          <w:sz w:val="32"/>
          <w:szCs w:val="32"/>
          <w:highlight w:val="none"/>
        </w:rPr>
        <w:t>负责市政设施养护维修市场的培育与监管；承担制定市政设施养护维修作业标准、技术规范、劳动定额、招投标办法、准入机制；负责制定作业项目的临时接管应急预案。</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（四）</w:t>
      </w:r>
      <w:r>
        <w:rPr>
          <w:rFonts w:hint="eastAsia" w:ascii="仿宋_GB2312" w:hAnsi="仿宋_GB2312" w:eastAsia="仿宋_GB2312" w:cs="仿宋_GB2312"/>
          <w:color w:val="auto"/>
          <w:sz w:val="32"/>
          <w:szCs w:val="32"/>
          <w:highlight w:val="none"/>
        </w:rPr>
        <w:t>受理对作业企业违法、违规行为的投诉和市政设施部件、事件信息（110联动信息受理），并交办处理和跟踪监督。</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（五）</w:t>
      </w:r>
      <w:r>
        <w:rPr>
          <w:rFonts w:hint="eastAsia" w:ascii="仿宋_GB2312" w:hAnsi="仿宋_GB2312" w:eastAsia="仿宋_GB2312" w:cs="仿宋_GB2312"/>
          <w:color w:val="auto"/>
          <w:sz w:val="32"/>
          <w:szCs w:val="32"/>
          <w:highlight w:val="none"/>
        </w:rPr>
        <w:t>负责城市供气、居民供热监督管理。</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（六）</w:t>
      </w:r>
      <w:r>
        <w:rPr>
          <w:rFonts w:hint="eastAsia" w:ascii="仿宋_GB2312" w:hAnsi="仿宋_GB2312" w:eastAsia="仿宋_GB2312" w:cs="仿宋_GB2312"/>
          <w:color w:val="auto"/>
          <w:sz w:val="32"/>
          <w:szCs w:val="32"/>
          <w:highlight w:val="none"/>
        </w:rPr>
        <w:t>开展行业科研、技术改造工作。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许昌市市政设施管理中心</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sz w:val="32"/>
          <w:szCs w:val="32"/>
          <w:highlight w:val="none"/>
          <w:lang w:eastAsia="zh-CN"/>
        </w:rPr>
        <w:t>办公室、人事财务科、市政建设养护科、市政设施管理科、燃气科、热力科</w:t>
      </w:r>
      <w:r>
        <w:rPr>
          <w:rFonts w:hint="eastAsia" w:ascii="仿宋_GB2312" w:hAnsi="仿宋_GB2312" w:eastAsia="仿宋_GB2312" w:cs="仿宋_GB2312"/>
          <w:color w:val="auto"/>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eastAsia="zh-CN"/>
        </w:rPr>
        <w:t>许昌市市政设施管理中心单位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1.许昌市市政设施管理中心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9"/>
        <w:gridCol w:w="843"/>
        <w:gridCol w:w="1408"/>
        <w:gridCol w:w="4516"/>
        <w:gridCol w:w="843"/>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15"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4"/>
        <w:gridCol w:w="4000"/>
        <w:gridCol w:w="1454"/>
        <w:gridCol w:w="1454"/>
        <w:gridCol w:w="1191"/>
        <w:gridCol w:w="1191"/>
        <w:gridCol w:w="1202"/>
        <w:gridCol w:w="1191"/>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052" w:type="pct"/>
            <w:gridSpan w:val="7"/>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947"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052" w:type="pct"/>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420" w:type="pct"/>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2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76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1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51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42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42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42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42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52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4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76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1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1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2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2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2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2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2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76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1,497.71</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1,497.71</w:t>
            </w:r>
          </w:p>
        </w:tc>
        <w:tc>
          <w:tcPr>
            <w:tcW w:w="42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386.33</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386.33</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376.46</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376.46</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354.00</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354.00</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22.46</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22.46</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8.92</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8.92</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8.92</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8.92</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8.92</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8.92</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1,099.68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1,099.68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城乡社区公共设施</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1,099.68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1,099.68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2120399</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其他城乡社区公共设施支出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1,099.68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1,099.68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56"/>
        <w:gridCol w:w="1569"/>
        <w:gridCol w:w="1530"/>
        <w:gridCol w:w="1373"/>
        <w:gridCol w:w="1537"/>
        <w:gridCol w:w="1215"/>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9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166" w:type="dxa"/>
            <w:gridSpan w:val="7"/>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173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166"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173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7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5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7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6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3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7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31"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1,681.87</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984.76</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b/>
                <w:bCs/>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b/>
                <w:bCs/>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389.18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354.24</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354.24</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34.94</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34.94</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567.07</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城乡社区公共设施</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567.07</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2120399</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其他城乡社区公共设施支出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567.07</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9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67"/>
        <w:gridCol w:w="456"/>
        <w:gridCol w:w="1344"/>
        <w:gridCol w:w="3516"/>
        <w:gridCol w:w="456"/>
        <w:gridCol w:w="1096"/>
        <w:gridCol w:w="1344"/>
        <w:gridCol w:w="1214"/>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6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6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3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2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16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216.68</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406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1"/>
        <w:gridCol w:w="5117"/>
        <w:gridCol w:w="2295"/>
        <w:gridCol w:w="2177"/>
        <w:gridCol w:w="2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52"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43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2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5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6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1,681.87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984.76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城乡社区公共设施</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3110"/>
        <w:gridCol w:w="880"/>
        <w:gridCol w:w="810"/>
        <w:gridCol w:w="2490"/>
        <w:gridCol w:w="885"/>
        <w:gridCol w:w="780"/>
        <w:gridCol w:w="289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5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646" w:type="dxa"/>
            <w:gridSpan w:val="8"/>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14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646"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14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27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8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497.65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42.97</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142.95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175.70</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26.47</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33.43</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443.86</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428.15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5.83</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4.95</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289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289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31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289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906"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941.51</w:t>
            </w:r>
          </w:p>
        </w:tc>
        <w:tc>
          <w:tcPr>
            <w:tcW w:w="7860" w:type="dxa"/>
            <w:gridSpan w:val="5"/>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56"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1061"/>
        <w:gridCol w:w="1143"/>
        <w:gridCol w:w="1128"/>
        <w:gridCol w:w="1337"/>
        <w:gridCol w:w="984"/>
        <w:gridCol w:w="1008"/>
        <w:gridCol w:w="1128"/>
        <w:gridCol w:w="1299"/>
        <w:gridCol w:w="1128"/>
        <w:gridCol w:w="1139"/>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81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394" w:type="dxa"/>
            <w:gridSpan w:val="11"/>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141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394" w:type="dxa"/>
            <w:gridSpan w:val="11"/>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141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9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12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3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60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0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56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4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03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3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4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3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10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9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381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6"/>
        <w:gridCol w:w="1290"/>
        <w:gridCol w:w="1950"/>
        <w:gridCol w:w="1470"/>
        <w:gridCol w:w="1590"/>
        <w:gridCol w:w="1905"/>
        <w:gridCol w:w="1905"/>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72"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326" w:type="dxa"/>
            <w:gridSpan w:val="7"/>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25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326"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：许昌市市政设施管理中心</w:t>
            </w:r>
          </w:p>
        </w:tc>
        <w:tc>
          <w:tcPr>
            <w:tcW w:w="25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50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9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54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5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29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9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9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5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50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5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50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72"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i w:val="0"/>
          <w:iCs w:val="0"/>
          <w:color w:val="auto"/>
          <w:kern w:val="0"/>
          <w:sz w:val="32"/>
          <w:szCs w:val="32"/>
          <w:highlight w:val="none"/>
          <w:u w:val="none"/>
          <w:lang w:val="en-US" w:eastAsia="zh-CN" w:bidi="ar"/>
        </w:rPr>
        <w:t>说明：我</w:t>
      </w:r>
      <w:r>
        <w:rPr>
          <w:rFonts w:hint="eastAsia" w:ascii="仿宋_GB2312" w:hAnsi="仿宋_GB2312" w:eastAsia="仿宋_GB2312" w:cs="仿宋_GB2312"/>
          <w:i w:val="0"/>
          <w:iCs w:val="0"/>
          <w:color w:val="auto"/>
          <w:kern w:val="0"/>
          <w:sz w:val="32"/>
          <w:szCs w:val="32"/>
          <w:highlight w:val="none"/>
          <w:u w:val="none"/>
          <w:lang w:eastAsia="zh-CN" w:bidi="ar"/>
        </w:rPr>
        <w:t>单位</w:t>
      </w:r>
      <w:r>
        <w:rPr>
          <w:rFonts w:hint="eastAsia" w:ascii="仿宋_GB2312" w:hAnsi="仿宋_GB2312" w:eastAsia="仿宋_GB2312" w:cs="仿宋_GB2312"/>
          <w:i w:val="0"/>
          <w:iCs w:val="0"/>
          <w:color w:val="auto"/>
          <w:kern w:val="0"/>
          <w:sz w:val="32"/>
          <w:szCs w:val="32"/>
          <w:highlight w:val="none"/>
          <w:u w:val="none"/>
          <w:lang w:val="en-US" w:eastAsia="zh-CN" w:bidi="ar"/>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1714.40</w:t>
      </w:r>
      <w:r>
        <w:rPr>
          <w:rFonts w:hint="eastAsia" w:ascii="仿宋_GB2312" w:hAnsi="仿宋_GB2312" w:eastAsia="仿宋_GB2312" w:cs="仿宋_GB2312"/>
          <w:color w:val="auto"/>
          <w:sz w:val="32"/>
          <w:szCs w:val="32"/>
          <w:highlight w:val="none"/>
        </w:rPr>
        <w:t>万元。与上年度相比，收、支总计各减</w:t>
      </w:r>
      <w:r>
        <w:rPr>
          <w:rFonts w:hint="eastAsia" w:ascii="仿宋_GB2312" w:hAnsi="仿宋_GB2312" w:eastAsia="仿宋_GB2312" w:cs="仿宋_GB2312"/>
          <w:color w:val="auto"/>
          <w:sz w:val="32"/>
          <w:szCs w:val="32"/>
          <w:highlight w:val="none"/>
          <w:lang w:eastAsia="zh-CN"/>
        </w:rPr>
        <w:t>少</w:t>
      </w:r>
      <w:r>
        <w:rPr>
          <w:rFonts w:hint="eastAsia" w:ascii="仿宋_GB2312" w:hAnsi="仿宋_GB2312" w:eastAsia="仿宋_GB2312" w:cs="仿宋_GB2312"/>
          <w:color w:val="auto"/>
          <w:sz w:val="32"/>
          <w:szCs w:val="32"/>
          <w:highlight w:val="none"/>
          <w:lang w:val="en-US" w:eastAsia="zh-CN"/>
        </w:rPr>
        <w:t>180.24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9.51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1497.71</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1497.71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1681.87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984.76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58.55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697.11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41.45</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1714.40</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180.24</w:t>
      </w:r>
      <w:r>
        <w:rPr>
          <w:rFonts w:hint="eastAsia" w:ascii="仿宋_GB2312" w:hAnsi="仿宋_GB2312" w:eastAsia="仿宋_GB2312" w:cs="仿宋_GB2312"/>
          <w:color w:val="auto"/>
          <w:sz w:val="32"/>
          <w:szCs w:val="32"/>
          <w:highlight w:val="none"/>
        </w:rPr>
        <w:t>万元，下</w:t>
      </w:r>
      <w:r>
        <w:rPr>
          <w:rFonts w:hint="eastAsia" w:ascii="仿宋_GB2312" w:hAnsi="仿宋_GB2312" w:eastAsia="仿宋_GB2312" w:cs="仿宋_GB2312"/>
          <w:color w:val="auto"/>
          <w:sz w:val="32"/>
          <w:szCs w:val="32"/>
          <w:highlight w:val="none"/>
          <w:lang w:eastAsia="zh-CN"/>
        </w:rPr>
        <w:t>降</w:t>
      </w:r>
      <w:r>
        <w:rPr>
          <w:rFonts w:hint="eastAsia" w:ascii="仿宋_GB2312" w:hAnsi="仿宋_GB2312" w:eastAsia="仿宋_GB2312" w:cs="仿宋_GB2312"/>
          <w:color w:val="auto"/>
          <w:sz w:val="32"/>
          <w:szCs w:val="32"/>
          <w:highlight w:val="none"/>
          <w:lang w:val="en-US" w:eastAsia="zh-CN"/>
        </w:rPr>
        <w:t>9.51</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eastAsia="zh-CN"/>
        </w:rPr>
        <w:t>是财政调整部分项目经费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1681.87</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32.27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1.96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追加了丧葬费抚恤金、新进人员经费等</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1681.87</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2.78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0.16</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399.06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23.73</w:t>
      </w:r>
      <w:r>
        <w:rPr>
          <w:rFonts w:hint="eastAsia" w:ascii="仿宋_GB2312" w:hAnsi="仿宋_GB2312" w:eastAsia="仿宋_GB2312" w:cs="仿宋_GB2312"/>
          <w:color w:val="auto"/>
          <w:sz w:val="32"/>
          <w:szCs w:val="32"/>
          <w:highlight w:val="none"/>
        </w:rPr>
        <w:t>%；卫生健康（类）支出</w:t>
      </w:r>
      <w:r>
        <w:rPr>
          <w:rFonts w:hint="eastAsia" w:ascii="仿宋_GB2312" w:hAnsi="仿宋_GB2312" w:eastAsia="仿宋_GB2312" w:cs="仿宋_GB2312"/>
          <w:color w:val="auto"/>
          <w:sz w:val="32"/>
          <w:szCs w:val="32"/>
          <w:highlight w:val="none"/>
          <w:lang w:val="en-US" w:eastAsia="zh-CN"/>
        </w:rPr>
        <w:t>15.85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0.94</w:t>
      </w:r>
      <w:r>
        <w:rPr>
          <w:rFonts w:hint="eastAsia" w:ascii="仿宋_GB2312" w:hAnsi="仿宋_GB2312" w:eastAsia="仿宋_GB2312" w:cs="仿宋_GB2312"/>
          <w:color w:val="auto"/>
          <w:sz w:val="32"/>
          <w:szCs w:val="32"/>
          <w:highlight w:val="none"/>
        </w:rPr>
        <w:t>%；城乡社区（类）支出</w:t>
      </w:r>
      <w:r>
        <w:rPr>
          <w:rFonts w:hint="eastAsia" w:ascii="仿宋_GB2312" w:hAnsi="仿宋_GB2312" w:eastAsia="仿宋_GB2312" w:cs="仿宋_GB2312"/>
          <w:color w:val="auto"/>
          <w:sz w:val="32"/>
          <w:szCs w:val="32"/>
          <w:highlight w:val="none"/>
          <w:lang w:val="en-US" w:eastAsia="zh-CN"/>
        </w:rPr>
        <w:t>1264.18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75.17</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947.81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1681.87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177.45</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2.78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2．社会保障和就业支出（类）行政事业单位养老支出（款） 事业单位离退休（项）。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353.98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354.24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补发退休中人差额部分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32.83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34.94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106.43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我单位新进一名人员</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．社会保障和就业支出（类）抚恤（款）死亡抚恤（项）。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9.88</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2021年支出的抚恤金不在年初预算之列。</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．卫生健康支出（类）行政事业单位医疗（款） 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15.49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15.85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102.32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我单位新进一名人员</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．城乡社区支出（类）城乡社区公共设施（款）其他城乡社区公共设施支出（项）。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542.73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1264.18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232.93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企业作业费不在预算之列。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984.76</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941.51</w:t>
      </w:r>
      <w:r>
        <w:rPr>
          <w:rFonts w:hint="eastAsia" w:ascii="仿宋_GB2312" w:hAnsi="仿宋_GB2312" w:eastAsia="仿宋_GB2312" w:cs="仿宋_GB2312"/>
          <w:color w:val="auto"/>
          <w:sz w:val="32"/>
          <w:szCs w:val="32"/>
          <w:highlight w:val="none"/>
        </w:rPr>
        <w:t>万元，主要包括：基本工资、津贴补贴、绩效工资、机关事业单位基本养老保险缴费、其他社会保障缴费、退休费、抚恤金、生活补助、住房公积金、职工基本医疗保险缴费</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43.25</w:t>
      </w:r>
      <w:r>
        <w:rPr>
          <w:rFonts w:hint="eastAsia" w:ascii="仿宋_GB2312" w:hAnsi="仿宋_GB2312" w:eastAsia="仿宋_GB2312" w:cs="仿宋_GB2312"/>
          <w:color w:val="auto"/>
          <w:sz w:val="32"/>
          <w:szCs w:val="32"/>
          <w:highlight w:val="none"/>
        </w:rPr>
        <w:t>万元，主要包括：办公费、电费、邮电费、差旅费、维修（护）费、培训费、劳务费、委托业务费、工会经费、福利费、公务用车运行维护费、其他商品和服务支出、办公设备购置。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3.71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3.71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3.71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3.71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3.71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3.71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rPr>
        <w:t>车辆维修、加油、保险等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4辆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default" w:ascii="仿宋_GB2312" w:hAnsi="仿宋_GB2312" w:eastAsia="仿宋_GB2312" w:cs="仿宋_GB2312"/>
          <w:color w:val="auto"/>
          <w:sz w:val="32"/>
          <w:szCs w:val="32"/>
          <w:highlight w:val="none"/>
        </w:rPr>
        <w:t>。情况说明：</w:t>
      </w:r>
      <w:r>
        <w:rPr>
          <w:rFonts w:hint="eastAsia" w:ascii="仿宋_GB2312" w:hAnsi="仿宋_GB2312" w:eastAsia="仿宋_GB2312" w:cs="仿宋_GB2312"/>
          <w:color w:val="auto"/>
          <w:sz w:val="32"/>
          <w:szCs w:val="32"/>
          <w:highlight w:val="none"/>
          <w:lang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2021年我单位按照要求组织开展预算绩效管理，由办公室及相关业务科室根据工作进度共同参与，并且参加财政局组织的线上预算绩效管理的培训和学习，确保通过科学的管理筹划共同制定实施方案、明确分工、落实任务，</w:t>
      </w:r>
      <w:r>
        <w:rPr>
          <w:rFonts w:hint="eastAsia" w:ascii="仿宋" w:hAnsi="仿宋" w:eastAsia="仿宋" w:cs="仿宋"/>
          <w:color w:val="auto"/>
          <w:sz w:val="32"/>
          <w:szCs w:val="32"/>
          <w:highlight w:val="none"/>
          <w:lang w:eastAsia="zh-CN"/>
        </w:rPr>
        <w:t>并保障此项工作按照年初绩效目标订立时间节点推进。</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 w:hAnsi="仿宋" w:eastAsia="仿宋" w:cs="仿宋"/>
          <w:color w:val="auto"/>
          <w:sz w:val="32"/>
          <w:szCs w:val="32"/>
          <w:highlight w:val="none"/>
          <w:lang w:val="en-US" w:eastAsia="zh-CN"/>
        </w:rPr>
        <w:t>2021年开展的绩效评价工作，总体实施</w:t>
      </w:r>
      <w:r>
        <w:rPr>
          <w:rFonts w:hint="eastAsia" w:ascii="仿宋" w:hAnsi="仿宋" w:eastAsia="仿宋" w:cs="仿宋"/>
          <w:color w:val="auto"/>
          <w:sz w:val="32"/>
          <w:szCs w:val="32"/>
          <w:highlight w:val="none"/>
          <w:lang w:val="en-US" w:eastAsia="zh-CN"/>
        </w:rPr>
        <w:t>情况良好，切合实际，有效提高了预算执行情况和绩效目标实现程度，绩效自评结果为我单位以后年度精准预算的编制提供了依据和参考价值</w:t>
      </w:r>
      <w:r>
        <w:rPr>
          <w:rFonts w:hint="eastAsia" w:ascii="仿宋" w:hAnsi="仿宋" w:eastAsia="仿宋" w:cs="仿宋"/>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二是项目绩效自评情况。</w:t>
      </w:r>
      <w:r>
        <w:rPr>
          <w:rFonts w:hint="eastAsia" w:ascii="仿宋" w:hAnsi="仿宋" w:eastAsia="仿宋" w:cs="仿宋"/>
          <w:color w:val="auto"/>
          <w:sz w:val="32"/>
          <w:szCs w:val="32"/>
          <w:highlight w:val="none"/>
          <w:lang w:eastAsia="zh-CN"/>
        </w:rPr>
        <w:t>年初制定的项目总体工作目标均已完成并验收合格，项目已全部实施到位，</w:t>
      </w:r>
      <w:r>
        <w:rPr>
          <w:rFonts w:hint="eastAsia" w:ascii="仿宋" w:hAnsi="仿宋" w:eastAsia="仿宋" w:cs="仿宋"/>
          <w:color w:val="auto"/>
          <w:sz w:val="32"/>
          <w:szCs w:val="32"/>
          <w:highlight w:val="none"/>
          <w:lang w:val="en-US" w:eastAsia="zh-CN"/>
        </w:rPr>
        <w:t>项目资金使用合理，无挪用占用现象发生，绩效目标均已完成</w:t>
      </w:r>
      <w:r>
        <w:rPr>
          <w:rFonts w:hint="eastAsia" w:ascii="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我单位共有3个项目批复了绩效目标，项目金额555.66万元。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color w:val="auto"/>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val="en-US" w:eastAsia="zh-CN"/>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B5FF3"/>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2B42"/>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93F2F"/>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A4698D"/>
    <w:rsid w:val="01DC6F05"/>
    <w:rsid w:val="02A3489A"/>
    <w:rsid w:val="02CA138D"/>
    <w:rsid w:val="03305FFE"/>
    <w:rsid w:val="033646FC"/>
    <w:rsid w:val="03C75F80"/>
    <w:rsid w:val="0478364D"/>
    <w:rsid w:val="048727AD"/>
    <w:rsid w:val="04B635B2"/>
    <w:rsid w:val="053D4C0D"/>
    <w:rsid w:val="0557532E"/>
    <w:rsid w:val="0799329C"/>
    <w:rsid w:val="08397436"/>
    <w:rsid w:val="086F16A7"/>
    <w:rsid w:val="09DC0B39"/>
    <w:rsid w:val="0A0F7225"/>
    <w:rsid w:val="0A2B7D82"/>
    <w:rsid w:val="0ADC40E9"/>
    <w:rsid w:val="0AE607F4"/>
    <w:rsid w:val="0B386127"/>
    <w:rsid w:val="0B451598"/>
    <w:rsid w:val="0B680A2B"/>
    <w:rsid w:val="0BEC73F4"/>
    <w:rsid w:val="0C392698"/>
    <w:rsid w:val="0C554BD4"/>
    <w:rsid w:val="0C915D60"/>
    <w:rsid w:val="0C9615C8"/>
    <w:rsid w:val="0CE314DC"/>
    <w:rsid w:val="0DBD6BE3"/>
    <w:rsid w:val="0DF0319D"/>
    <w:rsid w:val="0E0D1416"/>
    <w:rsid w:val="0E374931"/>
    <w:rsid w:val="0ED420AD"/>
    <w:rsid w:val="0EF97BEC"/>
    <w:rsid w:val="10133B4C"/>
    <w:rsid w:val="101A2946"/>
    <w:rsid w:val="108C25A3"/>
    <w:rsid w:val="10BD36F6"/>
    <w:rsid w:val="113E4F41"/>
    <w:rsid w:val="11A02087"/>
    <w:rsid w:val="11B22984"/>
    <w:rsid w:val="11BF0649"/>
    <w:rsid w:val="12394ECF"/>
    <w:rsid w:val="123E3E08"/>
    <w:rsid w:val="127777A6"/>
    <w:rsid w:val="12BF7761"/>
    <w:rsid w:val="133212F4"/>
    <w:rsid w:val="134559B8"/>
    <w:rsid w:val="13C561A9"/>
    <w:rsid w:val="13D22E22"/>
    <w:rsid w:val="14515DD5"/>
    <w:rsid w:val="14B20F69"/>
    <w:rsid w:val="150A44CD"/>
    <w:rsid w:val="156F6E5A"/>
    <w:rsid w:val="15F861B2"/>
    <w:rsid w:val="161C2DFF"/>
    <w:rsid w:val="16373578"/>
    <w:rsid w:val="166C5148"/>
    <w:rsid w:val="16D3336B"/>
    <w:rsid w:val="17200028"/>
    <w:rsid w:val="17806C36"/>
    <w:rsid w:val="17A74F62"/>
    <w:rsid w:val="18A47774"/>
    <w:rsid w:val="18F4137B"/>
    <w:rsid w:val="19021174"/>
    <w:rsid w:val="1937094F"/>
    <w:rsid w:val="19666311"/>
    <w:rsid w:val="199450E1"/>
    <w:rsid w:val="1A14446F"/>
    <w:rsid w:val="1A6C1943"/>
    <w:rsid w:val="1A7C5AF5"/>
    <w:rsid w:val="1A8D28EB"/>
    <w:rsid w:val="1A9F2D78"/>
    <w:rsid w:val="1B282A9E"/>
    <w:rsid w:val="1B2E6FD8"/>
    <w:rsid w:val="1B5F5008"/>
    <w:rsid w:val="1B877D21"/>
    <w:rsid w:val="1C4319A9"/>
    <w:rsid w:val="1CD13F56"/>
    <w:rsid w:val="1CEE060E"/>
    <w:rsid w:val="1D7D0445"/>
    <w:rsid w:val="1E443B4B"/>
    <w:rsid w:val="1E477B8D"/>
    <w:rsid w:val="1E994F4A"/>
    <w:rsid w:val="1EAF0224"/>
    <w:rsid w:val="1F2230A4"/>
    <w:rsid w:val="1F602E7C"/>
    <w:rsid w:val="1F9E7D32"/>
    <w:rsid w:val="1F9F033C"/>
    <w:rsid w:val="20210932"/>
    <w:rsid w:val="202448E0"/>
    <w:rsid w:val="20CD3ADC"/>
    <w:rsid w:val="20F614FE"/>
    <w:rsid w:val="21302EEA"/>
    <w:rsid w:val="21304624"/>
    <w:rsid w:val="213123BB"/>
    <w:rsid w:val="21BC6F83"/>
    <w:rsid w:val="21DA62E0"/>
    <w:rsid w:val="22195AB6"/>
    <w:rsid w:val="22376FB5"/>
    <w:rsid w:val="230C3F3A"/>
    <w:rsid w:val="23272C61"/>
    <w:rsid w:val="23B00DAE"/>
    <w:rsid w:val="23E152D7"/>
    <w:rsid w:val="23EA427B"/>
    <w:rsid w:val="23EE2489"/>
    <w:rsid w:val="24A6765C"/>
    <w:rsid w:val="24E63869"/>
    <w:rsid w:val="24F806F5"/>
    <w:rsid w:val="255D43C8"/>
    <w:rsid w:val="25627E42"/>
    <w:rsid w:val="26684EC5"/>
    <w:rsid w:val="26714EF8"/>
    <w:rsid w:val="26735EFB"/>
    <w:rsid w:val="26876BDD"/>
    <w:rsid w:val="2714632A"/>
    <w:rsid w:val="274C0DA9"/>
    <w:rsid w:val="27541E73"/>
    <w:rsid w:val="27575108"/>
    <w:rsid w:val="27B0539E"/>
    <w:rsid w:val="27C164E2"/>
    <w:rsid w:val="29365CF8"/>
    <w:rsid w:val="299469B3"/>
    <w:rsid w:val="2A622692"/>
    <w:rsid w:val="2A805789"/>
    <w:rsid w:val="2ADC0D75"/>
    <w:rsid w:val="2B4A0E52"/>
    <w:rsid w:val="2B636C52"/>
    <w:rsid w:val="2BE5305D"/>
    <w:rsid w:val="2BF2003B"/>
    <w:rsid w:val="2C975890"/>
    <w:rsid w:val="2CB80630"/>
    <w:rsid w:val="2DEF21BB"/>
    <w:rsid w:val="2E4A2F05"/>
    <w:rsid w:val="2E90642E"/>
    <w:rsid w:val="2ECC1061"/>
    <w:rsid w:val="2F201F7B"/>
    <w:rsid w:val="2F516FA8"/>
    <w:rsid w:val="2FA476AD"/>
    <w:rsid w:val="303F7540"/>
    <w:rsid w:val="3095056F"/>
    <w:rsid w:val="30C419B0"/>
    <w:rsid w:val="3121514F"/>
    <w:rsid w:val="31DD00BF"/>
    <w:rsid w:val="3293174C"/>
    <w:rsid w:val="32BB38D4"/>
    <w:rsid w:val="32C9376D"/>
    <w:rsid w:val="32CB5E5A"/>
    <w:rsid w:val="32E335AA"/>
    <w:rsid w:val="331F400A"/>
    <w:rsid w:val="33780472"/>
    <w:rsid w:val="33AF0905"/>
    <w:rsid w:val="33EB36F8"/>
    <w:rsid w:val="344D4C35"/>
    <w:rsid w:val="352C7F50"/>
    <w:rsid w:val="355932F4"/>
    <w:rsid w:val="35611882"/>
    <w:rsid w:val="36746FC3"/>
    <w:rsid w:val="368763AE"/>
    <w:rsid w:val="36F81406"/>
    <w:rsid w:val="37173D15"/>
    <w:rsid w:val="376D1723"/>
    <w:rsid w:val="386817BB"/>
    <w:rsid w:val="389C590A"/>
    <w:rsid w:val="38CF650E"/>
    <w:rsid w:val="395D59E7"/>
    <w:rsid w:val="39A93932"/>
    <w:rsid w:val="3A2A0212"/>
    <w:rsid w:val="3A915562"/>
    <w:rsid w:val="3AA634DB"/>
    <w:rsid w:val="3AD86501"/>
    <w:rsid w:val="3B232EC8"/>
    <w:rsid w:val="3B8669C6"/>
    <w:rsid w:val="3B8D4765"/>
    <w:rsid w:val="3C000DBA"/>
    <w:rsid w:val="3C004727"/>
    <w:rsid w:val="3C6B0157"/>
    <w:rsid w:val="3DC045D3"/>
    <w:rsid w:val="3E3B21BF"/>
    <w:rsid w:val="3E504FFB"/>
    <w:rsid w:val="3E615CD0"/>
    <w:rsid w:val="3E9C47F6"/>
    <w:rsid w:val="3F7A390C"/>
    <w:rsid w:val="3F8B0112"/>
    <w:rsid w:val="3F9410E8"/>
    <w:rsid w:val="3F9FD3BB"/>
    <w:rsid w:val="3FAB3095"/>
    <w:rsid w:val="3FBEB753"/>
    <w:rsid w:val="3FE45947"/>
    <w:rsid w:val="40224945"/>
    <w:rsid w:val="40364F60"/>
    <w:rsid w:val="40460719"/>
    <w:rsid w:val="41242965"/>
    <w:rsid w:val="425C7E35"/>
    <w:rsid w:val="432307B8"/>
    <w:rsid w:val="435671EA"/>
    <w:rsid w:val="43FF1225"/>
    <w:rsid w:val="440809E9"/>
    <w:rsid w:val="442407A6"/>
    <w:rsid w:val="443609BF"/>
    <w:rsid w:val="44805EA1"/>
    <w:rsid w:val="45710696"/>
    <w:rsid w:val="45801B83"/>
    <w:rsid w:val="46040002"/>
    <w:rsid w:val="46142B1B"/>
    <w:rsid w:val="46814189"/>
    <w:rsid w:val="47C12E42"/>
    <w:rsid w:val="47E60DD0"/>
    <w:rsid w:val="48735039"/>
    <w:rsid w:val="492C684B"/>
    <w:rsid w:val="492D4F91"/>
    <w:rsid w:val="49500594"/>
    <w:rsid w:val="49E7604E"/>
    <w:rsid w:val="49F35A74"/>
    <w:rsid w:val="4A1946C3"/>
    <w:rsid w:val="4A33198F"/>
    <w:rsid w:val="4A7C0DFC"/>
    <w:rsid w:val="4A9B2CAA"/>
    <w:rsid w:val="4BEF7DD1"/>
    <w:rsid w:val="4BF67CDD"/>
    <w:rsid w:val="4BFC68A6"/>
    <w:rsid w:val="4CF3744D"/>
    <w:rsid w:val="4D173441"/>
    <w:rsid w:val="4D603DD6"/>
    <w:rsid w:val="4EBF010F"/>
    <w:rsid w:val="4F471EB0"/>
    <w:rsid w:val="50A373DC"/>
    <w:rsid w:val="50BC2817"/>
    <w:rsid w:val="50CB4D46"/>
    <w:rsid w:val="51110026"/>
    <w:rsid w:val="51295B34"/>
    <w:rsid w:val="51331326"/>
    <w:rsid w:val="51525A50"/>
    <w:rsid w:val="517022F2"/>
    <w:rsid w:val="51740A7F"/>
    <w:rsid w:val="51A5541E"/>
    <w:rsid w:val="51C96242"/>
    <w:rsid w:val="52171E30"/>
    <w:rsid w:val="534A43FE"/>
    <w:rsid w:val="53906AE1"/>
    <w:rsid w:val="53AB6FEE"/>
    <w:rsid w:val="54503814"/>
    <w:rsid w:val="54F46F60"/>
    <w:rsid w:val="55A37BEA"/>
    <w:rsid w:val="55D1679A"/>
    <w:rsid w:val="56362CD2"/>
    <w:rsid w:val="5784687B"/>
    <w:rsid w:val="57846959"/>
    <w:rsid w:val="578E6A87"/>
    <w:rsid w:val="585B665C"/>
    <w:rsid w:val="5AC2203A"/>
    <w:rsid w:val="5B423D09"/>
    <w:rsid w:val="5CBB3334"/>
    <w:rsid w:val="5D115FAF"/>
    <w:rsid w:val="5EA165BA"/>
    <w:rsid w:val="5FB72546"/>
    <w:rsid w:val="5FCB6008"/>
    <w:rsid w:val="5FCF01D2"/>
    <w:rsid w:val="60F94890"/>
    <w:rsid w:val="61137B21"/>
    <w:rsid w:val="62811722"/>
    <w:rsid w:val="62E75A72"/>
    <w:rsid w:val="64046E46"/>
    <w:rsid w:val="642301C1"/>
    <w:rsid w:val="64571880"/>
    <w:rsid w:val="649125B6"/>
    <w:rsid w:val="651A139D"/>
    <w:rsid w:val="652F4C1A"/>
    <w:rsid w:val="65CC4888"/>
    <w:rsid w:val="65DD680A"/>
    <w:rsid w:val="660E7154"/>
    <w:rsid w:val="666033CB"/>
    <w:rsid w:val="666D37F1"/>
    <w:rsid w:val="66CF1B8D"/>
    <w:rsid w:val="67087D8F"/>
    <w:rsid w:val="671F687E"/>
    <w:rsid w:val="67F415F8"/>
    <w:rsid w:val="682640D1"/>
    <w:rsid w:val="684B73E5"/>
    <w:rsid w:val="6878592A"/>
    <w:rsid w:val="68D15E8E"/>
    <w:rsid w:val="690409D2"/>
    <w:rsid w:val="6A047A2A"/>
    <w:rsid w:val="6A8F2A3D"/>
    <w:rsid w:val="6ABD3AA4"/>
    <w:rsid w:val="6C99221A"/>
    <w:rsid w:val="6E7F5969"/>
    <w:rsid w:val="6EFB7548"/>
    <w:rsid w:val="6F3831C3"/>
    <w:rsid w:val="6F8B71C1"/>
    <w:rsid w:val="70753482"/>
    <w:rsid w:val="707B522A"/>
    <w:rsid w:val="70F020B9"/>
    <w:rsid w:val="73194D05"/>
    <w:rsid w:val="734352AB"/>
    <w:rsid w:val="73A83B0E"/>
    <w:rsid w:val="7400051E"/>
    <w:rsid w:val="744D3EF9"/>
    <w:rsid w:val="74501BFC"/>
    <w:rsid w:val="74794411"/>
    <w:rsid w:val="74B50C05"/>
    <w:rsid w:val="752124FA"/>
    <w:rsid w:val="75867C40"/>
    <w:rsid w:val="75B10B26"/>
    <w:rsid w:val="75BC0475"/>
    <w:rsid w:val="75EDA7DB"/>
    <w:rsid w:val="76432199"/>
    <w:rsid w:val="76F44829"/>
    <w:rsid w:val="77377235"/>
    <w:rsid w:val="77580FFE"/>
    <w:rsid w:val="77A267C0"/>
    <w:rsid w:val="78882278"/>
    <w:rsid w:val="78B118A6"/>
    <w:rsid w:val="78EA70A7"/>
    <w:rsid w:val="79135044"/>
    <w:rsid w:val="79415329"/>
    <w:rsid w:val="794E7EC7"/>
    <w:rsid w:val="7A6730A5"/>
    <w:rsid w:val="7A7949A6"/>
    <w:rsid w:val="7A7D0F99"/>
    <w:rsid w:val="7ADB75EF"/>
    <w:rsid w:val="7B1E7A1E"/>
    <w:rsid w:val="7BCF56C8"/>
    <w:rsid w:val="7BFDFF57"/>
    <w:rsid w:val="7C7B9209"/>
    <w:rsid w:val="7DD4215E"/>
    <w:rsid w:val="7E4A0E7C"/>
    <w:rsid w:val="7ECF51B6"/>
    <w:rsid w:val="7ED93A10"/>
    <w:rsid w:val="7EFD449D"/>
    <w:rsid w:val="7F7F2AF5"/>
    <w:rsid w:val="7FDF36DE"/>
    <w:rsid w:val="7FFE8FE2"/>
    <w:rsid w:val="B3F4612E"/>
    <w:rsid w:val="EFAFD9FD"/>
    <w:rsid w:val="F550EB23"/>
    <w:rsid w:val="F797C866"/>
    <w:rsid w:val="FFAA4EC1"/>
    <w:rsid w:val="FFAF39F4"/>
    <w:rsid w:val="FFD1EAEC"/>
    <w:rsid w:val="FFDFB8E2"/>
    <w:rsid w:val="FFFA93D9"/>
    <w:rsid w:val="FFFF2B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8009</Words>
  <Characters>9916</Characters>
  <Lines>60</Lines>
  <Paragraphs>16</Paragraphs>
  <TotalTime>88</TotalTime>
  <ScaleCrop>false</ScaleCrop>
  <LinksUpToDate>false</LinksUpToDate>
  <CharactersWithSpaces>10152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2023-09-17T11:13:02Z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07B09CA2E1D247199469DF50DA380AAA_13</vt:lpwstr>
  </property>
</Properties>
</file>