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highlight w:val="none"/>
        </w:rPr>
      </w:pPr>
      <w:bookmarkStart w:id="0" w:name="_GoBack"/>
      <w:bookmarkEnd w:id="0"/>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20</w:t>
      </w:r>
      <w:r>
        <w:rPr>
          <w:rFonts w:ascii="黑体" w:hAnsi="黑体" w:eastAsia="黑体" w:cs="黑体"/>
          <w:sz w:val="52"/>
          <w:szCs w:val="52"/>
          <w:highlight w:val="none"/>
        </w:rPr>
        <w:t>21</w:t>
      </w:r>
      <w:r>
        <w:rPr>
          <w:rFonts w:hint="eastAsia" w:ascii="黑体" w:hAnsi="黑体" w:eastAsia="黑体" w:cs="黑体"/>
          <w:sz w:val="52"/>
          <w:szCs w:val="52"/>
          <w:highlight w:val="none"/>
        </w:rPr>
        <w:t>年度</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rPr>
        <w:t>许昌市市场监督管理局东城</w:t>
      </w:r>
      <w:r>
        <w:rPr>
          <w:rFonts w:hint="eastAsia" w:ascii="黑体" w:hAnsi="黑体" w:eastAsia="黑体" w:cs="黑体"/>
          <w:sz w:val="52"/>
          <w:szCs w:val="52"/>
          <w:highlight w:val="none"/>
          <w:lang w:val="en-US" w:eastAsia="zh-CN"/>
        </w:rPr>
        <w:t>区</w:t>
      </w:r>
      <w:r>
        <w:rPr>
          <w:rFonts w:hint="eastAsia" w:ascii="黑体" w:hAnsi="黑体" w:eastAsia="黑体" w:cs="黑体"/>
          <w:sz w:val="52"/>
          <w:szCs w:val="52"/>
          <w:highlight w:val="none"/>
        </w:rPr>
        <w:t>分局</w:t>
      </w:r>
    </w:p>
    <w:p>
      <w:pPr>
        <w:jc w:val="center"/>
        <w:rPr>
          <w:rFonts w:hint="eastAsia" w:ascii="黑体" w:hAnsi="黑体" w:eastAsia="黑体" w:cs="黑体"/>
          <w:sz w:val="52"/>
          <w:szCs w:val="52"/>
          <w:highlight w:val="none"/>
        </w:rPr>
      </w:pPr>
      <w:r>
        <w:rPr>
          <w:rFonts w:hint="eastAsia" w:ascii="黑体" w:hAnsi="黑体" w:eastAsia="黑体" w:cs="黑体"/>
          <w:sz w:val="52"/>
          <w:szCs w:val="52"/>
          <w:highlight w:val="none"/>
          <w:lang w:eastAsia="zh-CN"/>
        </w:rPr>
        <w:t>单位</w:t>
      </w:r>
      <w:r>
        <w:rPr>
          <w:rFonts w:hint="eastAsia" w:ascii="黑体" w:hAnsi="黑体" w:eastAsia="黑体" w:cs="黑体"/>
          <w:sz w:val="52"/>
          <w:szCs w:val="52"/>
          <w:highlight w:val="none"/>
        </w:rPr>
        <w:t>决算</w:t>
      </w:r>
    </w:p>
    <w:p>
      <w:pPr>
        <w:jc w:val="center"/>
        <w:rPr>
          <w:rFonts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52"/>
          <w:szCs w:val="52"/>
          <w:highlight w:val="none"/>
        </w:rPr>
      </w:pPr>
    </w:p>
    <w:p>
      <w:pPr>
        <w:jc w:val="center"/>
        <w:rPr>
          <w:rFonts w:hint="eastAsia" w:ascii="黑体" w:hAnsi="黑体" w:eastAsia="黑体" w:cs="黑体"/>
          <w:sz w:val="32"/>
          <w:szCs w:val="32"/>
          <w:highlight w:val="none"/>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highlight w:val="none"/>
        </w:rPr>
        <w:t>二〇二二年</w:t>
      </w:r>
      <w:r>
        <w:rPr>
          <w:rFonts w:hint="eastAsia" w:ascii="黑体" w:hAnsi="黑体" w:eastAsia="黑体" w:cs="黑体"/>
          <w:sz w:val="32"/>
          <w:szCs w:val="32"/>
          <w:highlight w:val="none"/>
          <w:lang w:eastAsia="zh-CN"/>
        </w:rPr>
        <w:t>九</w:t>
      </w:r>
      <w:r>
        <w:rPr>
          <w:rFonts w:hint="eastAsia" w:ascii="黑体" w:hAnsi="黑体" w:eastAsia="黑体" w:cs="黑体"/>
          <w:sz w:val="32"/>
          <w:szCs w:val="32"/>
          <w:highlight w:val="none"/>
        </w:rPr>
        <w:t>月</w:t>
      </w:r>
    </w:p>
    <w:p>
      <w:pPr>
        <w:keepNext w:val="0"/>
        <w:keepLines w:val="0"/>
        <w:pageBreakBefore w:val="0"/>
        <w:kinsoku/>
        <w:wordWrap/>
        <w:overflowPunct/>
        <w:topLinePunct w:val="0"/>
        <w:autoSpaceDE/>
        <w:autoSpaceDN/>
        <w:bidi w:val="0"/>
        <w:adjustRightInd/>
        <w:snapToGrid/>
        <w:jc w:val="center"/>
        <w:textAlignment w:val="auto"/>
        <w:rPr>
          <w:rFonts w:ascii="黑体" w:hAnsi="黑体" w:eastAsia="黑体" w:cs="黑体"/>
          <w:sz w:val="36"/>
          <w:szCs w:val="36"/>
          <w:highlight w:val="none"/>
        </w:rPr>
      </w:pPr>
      <w:r>
        <w:rPr>
          <w:rFonts w:hint="eastAsia" w:ascii="黑体" w:hAnsi="黑体" w:eastAsia="黑体" w:cs="黑体"/>
          <w:sz w:val="36"/>
          <w:szCs w:val="36"/>
          <w:highlight w:val="none"/>
        </w:rPr>
        <w:t>目　　录</w:t>
      </w:r>
    </w:p>
    <w:p>
      <w:pPr>
        <w:keepNext w:val="0"/>
        <w:keepLines w:val="0"/>
        <w:pageBreakBefore w:val="0"/>
        <w:kinsoku/>
        <w:wordWrap/>
        <w:overflowPunct/>
        <w:topLinePunct w:val="0"/>
        <w:autoSpaceDE/>
        <w:autoSpaceDN/>
        <w:bidi w:val="0"/>
        <w:adjustRightInd/>
        <w:snapToGrid/>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第一部分　许昌市市场监督管理局东城</w:t>
      </w:r>
      <w:r>
        <w:rPr>
          <w:rFonts w:hint="eastAsia" w:ascii="黑体" w:hAnsi="黑体" w:eastAsia="黑体" w:cs="黑体"/>
          <w:sz w:val="32"/>
          <w:szCs w:val="32"/>
          <w:highlight w:val="none"/>
          <w:lang w:val="en-US" w:eastAsia="zh-CN"/>
        </w:rPr>
        <w:t>区</w:t>
      </w:r>
      <w:r>
        <w:rPr>
          <w:rFonts w:hint="eastAsia" w:ascii="黑体" w:hAnsi="黑体" w:eastAsia="黑体" w:cs="黑体"/>
          <w:sz w:val="32"/>
          <w:szCs w:val="32"/>
          <w:highlight w:val="none"/>
        </w:rPr>
        <w:t>分局概况</w:t>
      </w:r>
    </w:p>
    <w:p>
      <w:pPr>
        <w:keepNext w:val="0"/>
        <w:keepLines w:val="0"/>
        <w:pageBreakBefore w:val="0"/>
        <w:numPr>
          <w:ilvl w:val="0"/>
          <w:numId w:val="1"/>
        </w:numPr>
        <w:kinsoku/>
        <w:wordWrap/>
        <w:overflowPunct/>
        <w:topLinePunct w:val="0"/>
        <w:autoSpaceDE/>
        <w:autoSpaceDN/>
        <w:bidi w:val="0"/>
        <w:adjustRightInd/>
        <w:snapToGrid/>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lang w:eastAsia="zh-CN"/>
        </w:rPr>
        <w:t>单位</w:t>
      </w:r>
      <w:r>
        <w:rPr>
          <w:rFonts w:hint="eastAsia" w:ascii="宋体" w:hAnsi="宋体" w:cs="宋体"/>
          <w:sz w:val="32"/>
          <w:szCs w:val="32"/>
          <w:highlight w:val="none"/>
        </w:rPr>
        <w:t>职责</w:t>
      </w:r>
    </w:p>
    <w:p>
      <w:pPr>
        <w:keepNext w:val="0"/>
        <w:keepLines w:val="0"/>
        <w:pageBreakBefore w:val="0"/>
        <w:numPr>
          <w:ilvl w:val="0"/>
          <w:numId w:val="1"/>
        </w:numPr>
        <w:kinsoku/>
        <w:wordWrap/>
        <w:overflowPunct/>
        <w:topLinePunct w:val="0"/>
        <w:autoSpaceDE/>
        <w:autoSpaceDN/>
        <w:bidi w:val="0"/>
        <w:adjustRightInd/>
        <w:snapToGrid/>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机构设置</w:t>
      </w:r>
    </w:p>
    <w:p>
      <w:pPr>
        <w:keepNext w:val="0"/>
        <w:keepLines w:val="0"/>
        <w:pageBreakBefore w:val="0"/>
        <w:kinsoku/>
        <w:wordWrap/>
        <w:overflowPunct/>
        <w:topLinePunct w:val="0"/>
        <w:autoSpaceDE/>
        <w:autoSpaceDN/>
        <w:bidi w:val="0"/>
        <w:adjustRightInd/>
        <w:snapToGrid/>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第二部分  2021年度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一、收入支出决算总表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二、收入决算表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三、支出决算表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宋体" w:hAnsi="宋体" w:cs="黑体"/>
          <w:sz w:val="32"/>
          <w:szCs w:val="32"/>
          <w:highlight w:val="none"/>
        </w:rPr>
      </w:pPr>
      <w:r>
        <w:rPr>
          <w:rFonts w:hint="eastAsia" w:ascii="宋体" w:hAnsi="宋体" w:cs="黑体"/>
          <w:sz w:val="32"/>
          <w:szCs w:val="32"/>
          <w:highlight w:val="none"/>
        </w:rPr>
        <w:t>四、财政拨款收入支出决算总表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五、一般公共预算财政拨款支出决算表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宋体" w:hAnsi="宋体" w:cs="黑体"/>
          <w:sz w:val="32"/>
          <w:szCs w:val="32"/>
          <w:highlight w:val="none"/>
        </w:rPr>
      </w:pPr>
      <w:r>
        <w:rPr>
          <w:rFonts w:hint="eastAsia" w:ascii="宋体" w:hAnsi="宋体" w:cs="黑体"/>
          <w:sz w:val="32"/>
          <w:szCs w:val="32"/>
          <w:highlight w:val="none"/>
        </w:rPr>
        <w:t>六、一般公共预算财政拨款基本支出决算明细表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七、一般公共预算财政拨款“三公”经费支出决算表</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黑体"/>
          <w:sz w:val="32"/>
          <w:szCs w:val="32"/>
          <w:highlight w:val="none"/>
        </w:rPr>
      </w:pPr>
      <w:r>
        <w:rPr>
          <w:rFonts w:hint="eastAsia" w:ascii="宋体" w:hAnsi="宋体" w:cs="黑体"/>
          <w:sz w:val="32"/>
          <w:szCs w:val="32"/>
          <w:highlight w:val="none"/>
        </w:rPr>
        <w:t>八、政府性基金预算财政拨款收入支出决算表</w:t>
      </w:r>
    </w:p>
    <w:p>
      <w:pPr>
        <w:keepNext w:val="0"/>
        <w:keepLines w:val="0"/>
        <w:pageBreakBefore w:val="0"/>
        <w:kinsoku/>
        <w:wordWrap/>
        <w:overflowPunct/>
        <w:topLinePunct w:val="0"/>
        <w:autoSpaceDE/>
        <w:autoSpaceDN/>
        <w:bidi w:val="0"/>
        <w:adjustRightInd/>
        <w:snapToGrid/>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第三部分　</w:t>
      </w:r>
      <w:r>
        <w:rPr>
          <w:rFonts w:ascii="黑体" w:hAnsi="黑体" w:eastAsia="黑体" w:cs="黑体"/>
          <w:sz w:val="32"/>
          <w:szCs w:val="32"/>
          <w:highlight w:val="none"/>
        </w:rPr>
        <w:t>2021</w:t>
      </w:r>
      <w:r>
        <w:rPr>
          <w:rFonts w:hint="eastAsia" w:ascii="黑体" w:hAnsi="黑体" w:eastAsia="黑体" w:cs="黑体"/>
          <w:sz w:val="32"/>
          <w:szCs w:val="32"/>
          <w:highlight w:val="none"/>
        </w:rPr>
        <w:t>年度</w:t>
      </w:r>
      <w:r>
        <w:rPr>
          <w:rFonts w:hint="eastAsia" w:ascii="黑体" w:hAnsi="黑体" w:eastAsia="黑体" w:cs="黑体"/>
          <w:sz w:val="32"/>
          <w:szCs w:val="32"/>
          <w:highlight w:val="none"/>
          <w:lang w:eastAsia="zh-CN"/>
        </w:rPr>
        <w:t>单位</w:t>
      </w:r>
      <w:r>
        <w:rPr>
          <w:rFonts w:hint="eastAsia" w:ascii="黑体" w:hAnsi="黑体" w:eastAsia="黑体" w:cs="黑体"/>
          <w:sz w:val="32"/>
          <w:szCs w:val="32"/>
          <w:highlight w:val="none"/>
        </w:rPr>
        <w:t>决算情况说明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一、收入支出决算总体情况说明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二、收入决算情况说明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三、支出决算情况说明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四、财政拨款收入支出决算总体情况说明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五、一般公共预算财政拨款支出决算情况说明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六、一般公共预算财政拨款基本支出决算情况说明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七、一般公共预算财政拨款“三公”经费支出决算情况说明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八、政府性基金预算财政拨款支出决算情况说明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九、机关运行经费支出情况说明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十、政府采购支出情况说明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ascii="宋体" w:hAnsi="宋体" w:cs="宋体"/>
          <w:sz w:val="32"/>
          <w:szCs w:val="32"/>
          <w:highlight w:val="none"/>
        </w:rPr>
      </w:pPr>
      <w:r>
        <w:rPr>
          <w:rFonts w:hint="eastAsia" w:ascii="宋体" w:hAnsi="宋体" w:cs="宋体"/>
          <w:sz w:val="32"/>
          <w:szCs w:val="32"/>
          <w:highlight w:val="none"/>
        </w:rPr>
        <w:t>十一、国有资产占用情况说明</w:t>
      </w:r>
    </w:p>
    <w:p>
      <w:pPr>
        <w:keepNext w:val="0"/>
        <w:keepLines w:val="0"/>
        <w:pageBreakBefore w:val="0"/>
        <w:kinsoku/>
        <w:wordWrap/>
        <w:overflowPunct/>
        <w:topLinePunct w:val="0"/>
        <w:autoSpaceDE/>
        <w:autoSpaceDN/>
        <w:bidi w:val="0"/>
        <w:adjustRightInd/>
        <w:snapToGrid/>
        <w:ind w:firstLine="640" w:firstLineChars="200"/>
        <w:jc w:val="left"/>
        <w:textAlignment w:val="auto"/>
        <w:rPr>
          <w:rFonts w:hint="eastAsia" w:ascii="宋体" w:hAnsi="宋体" w:cs="宋体"/>
          <w:sz w:val="32"/>
          <w:szCs w:val="32"/>
          <w:highlight w:val="none"/>
        </w:rPr>
      </w:pPr>
      <w:r>
        <w:rPr>
          <w:rFonts w:hint="eastAsia" w:ascii="宋体" w:hAnsi="宋体" w:cs="宋体"/>
          <w:sz w:val="32"/>
          <w:szCs w:val="32"/>
          <w:highlight w:val="none"/>
        </w:rPr>
        <w:t>十二、预算绩效情况说明</w:t>
      </w:r>
    </w:p>
    <w:p>
      <w:pPr>
        <w:keepNext w:val="0"/>
        <w:keepLines w:val="0"/>
        <w:pageBreakBefore w:val="0"/>
        <w:kinsoku/>
        <w:wordWrap/>
        <w:overflowPunct/>
        <w:topLinePunct w:val="0"/>
        <w:autoSpaceDE/>
        <w:autoSpaceDN/>
        <w:bidi w:val="0"/>
        <w:adjustRightInd/>
        <w:snapToGrid/>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宋体" w:eastAsia="黑体" w:cs="宋体"/>
          <w:kern w:val="0"/>
          <w:sz w:val="28"/>
          <w:szCs w:val="28"/>
          <w:highlight w:val="none"/>
        </w:rPr>
      </w:pPr>
    </w:p>
    <w:p>
      <w:pPr>
        <w:keepNext w:val="0"/>
        <w:keepLines w:val="0"/>
        <w:pageBreakBefore w:val="0"/>
        <w:widowControl/>
        <w:kinsoku/>
        <w:wordWrap/>
        <w:overflowPunct/>
        <w:topLinePunct w:val="0"/>
        <w:autoSpaceDE/>
        <w:autoSpaceDN/>
        <w:bidi w:val="0"/>
        <w:adjustRightInd/>
        <w:snapToGrid/>
        <w:jc w:val="left"/>
        <w:textAlignment w:val="auto"/>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both"/>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jc w:val="center"/>
        <w:outlineLvl w:val="0"/>
        <w:rPr>
          <w:rFonts w:hint="eastAsia" w:ascii="黑体" w:hAnsi="黑体" w:eastAsia="黑体" w:cs="黑体"/>
          <w:sz w:val="48"/>
          <w:szCs w:val="48"/>
          <w:highlight w:val="none"/>
        </w:rPr>
      </w:pPr>
    </w:p>
    <w:p>
      <w:pPr>
        <w:widowControl/>
        <w:numPr>
          <w:ilvl w:val="0"/>
          <w:numId w:val="2"/>
        </w:num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 xml:space="preserve"> 许昌市市场监督管理局</w:t>
      </w:r>
    </w:p>
    <w:p>
      <w:pPr>
        <w:widowControl/>
        <w:numPr>
          <w:ilvl w:val="0"/>
          <w:numId w:val="0"/>
        </w:numPr>
        <w:ind w:firstLine="3360" w:firstLineChars="700"/>
        <w:jc w:val="both"/>
        <w:outlineLvl w:val="0"/>
        <w:rPr>
          <w:rFonts w:hint="eastAsia" w:ascii="黑体" w:hAnsi="宋体" w:eastAsia="黑体" w:cs="宋体"/>
          <w:kern w:val="0"/>
          <w:sz w:val="28"/>
          <w:szCs w:val="28"/>
          <w:highlight w:val="none"/>
        </w:rPr>
      </w:pPr>
      <w:r>
        <w:rPr>
          <w:rFonts w:hint="eastAsia" w:ascii="黑体" w:hAnsi="黑体" w:eastAsia="黑体" w:cs="黑体"/>
          <w:sz w:val="48"/>
          <w:szCs w:val="48"/>
          <w:highlight w:val="none"/>
        </w:rPr>
        <w:t>东城</w:t>
      </w:r>
      <w:r>
        <w:rPr>
          <w:rFonts w:hint="eastAsia" w:ascii="黑体" w:hAnsi="黑体" w:eastAsia="黑体" w:cs="黑体"/>
          <w:sz w:val="48"/>
          <w:szCs w:val="48"/>
          <w:highlight w:val="none"/>
          <w:lang w:val="en-US" w:eastAsia="zh-CN"/>
        </w:rPr>
        <w:t>区</w:t>
      </w:r>
      <w:r>
        <w:rPr>
          <w:rFonts w:hint="eastAsia" w:ascii="黑体" w:hAnsi="黑体" w:eastAsia="黑体" w:cs="黑体"/>
          <w:sz w:val="48"/>
          <w:szCs w:val="48"/>
          <w:highlight w:val="none"/>
        </w:rPr>
        <w:t>分局概况</w:t>
      </w: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widowControl/>
        <w:ind w:firstLine="640" w:firstLineChars="200"/>
        <w:jc w:val="left"/>
        <w:outlineLvl w:val="1"/>
        <w:rPr>
          <w:rFonts w:ascii="黑体" w:hAnsi="黑体" w:eastAsia="黑体" w:cs="黑体"/>
          <w:kern w:val="0"/>
          <w:sz w:val="32"/>
          <w:szCs w:val="32"/>
          <w:highlight w:val="none"/>
        </w:rPr>
      </w:pPr>
    </w:p>
    <w:p>
      <w:pPr>
        <w:rPr>
          <w:rFonts w:hint="eastAsia" w:ascii="黑体" w:hAnsi="黑体" w:eastAsia="黑体" w:cs="黑体"/>
          <w:kern w:val="0"/>
          <w:sz w:val="32"/>
          <w:szCs w:val="32"/>
          <w:highlight w:val="none"/>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一、</w:t>
      </w:r>
      <w:r>
        <w:rPr>
          <w:rFonts w:hint="eastAsia" w:ascii="黑体" w:hAnsi="黑体" w:eastAsia="黑体" w:cs="黑体"/>
          <w:kern w:val="0"/>
          <w:sz w:val="32"/>
          <w:szCs w:val="32"/>
          <w:highlight w:val="none"/>
          <w:lang w:eastAsia="zh-CN"/>
        </w:rPr>
        <w:t>单位</w:t>
      </w:r>
      <w:r>
        <w:rPr>
          <w:rFonts w:hint="eastAsia" w:ascii="黑体" w:hAnsi="黑体" w:eastAsia="黑体" w:cs="黑体"/>
          <w:bCs/>
          <w:sz w:val="32"/>
          <w:szCs w:val="32"/>
          <w:highlight w:val="none"/>
        </w:rPr>
        <w:t>职责</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依法组织管理各类企业</w:t>
      </w:r>
      <w:r>
        <w:rPr>
          <w:rFonts w:hint="eastAsia" w:ascii="仿宋_GB2312" w:hAnsi="仿宋_GB2312" w:eastAsia="仿宋_GB2312" w:cs="仿宋_GB2312"/>
          <w:kern w:val="0"/>
          <w:sz w:val="32"/>
          <w:szCs w:val="32"/>
          <w:highlight w:val="none"/>
        </w:rPr>
        <w:t>和从</w:t>
      </w:r>
      <w:r>
        <w:rPr>
          <w:rFonts w:hint="eastAsia" w:ascii="仿宋_GB2312" w:hAnsi="仿宋_GB2312" w:eastAsia="仿宋_GB2312" w:cs="仿宋_GB2312"/>
          <w:kern w:val="0"/>
          <w:sz w:val="32"/>
          <w:szCs w:val="32"/>
        </w:rPr>
        <w:t>事经营活动的单位、个人的注册，核定注册单位名称，审定、批准、颁发有关证照并实行监督管理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依法组织监督市场交易行为，组织监督流通领域商品质量，组织查处假冒伪劣等违法行为，保护经营者、消费者合法权益</w:t>
      </w:r>
      <w:r>
        <w:rPr>
          <w:rFonts w:hint="eastAsia" w:ascii="仿宋_GB2312" w:hAnsi="仿宋_GB2312" w:eastAsia="仿宋_GB2312" w:cs="仿宋_GB2312"/>
          <w:kern w:val="0"/>
          <w:sz w:val="32"/>
          <w:szCs w:val="32"/>
          <w:highlight w:val="none"/>
          <w:lang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依法对各类市场经营秩序实施规范管理和监督</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依法组织监管经纪人、经纪机构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依法组织实施合同行政监管，组织管理动产抵押物登记，组织监管拍卖行为，查处合同欺诈等违法行为。依法组织监管广告发布与广告经营活动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依法组织监督管理个体工商户、个人合伙和私营企业的经营行为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承办本级政府和上级工商行政管理机关交办的其他事项。 </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outlineLvl w:val="1"/>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二、机构设置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许昌市</w:t>
      </w:r>
      <w:r>
        <w:rPr>
          <w:rFonts w:hint="eastAsia" w:ascii="仿宋_GB2312" w:hAnsi="仿宋_GB2312" w:eastAsia="仿宋_GB2312" w:cs="仿宋_GB2312"/>
          <w:kern w:val="0"/>
          <w:sz w:val="32"/>
          <w:szCs w:val="32"/>
          <w:lang w:val="en-US" w:eastAsia="zh-CN"/>
        </w:rPr>
        <w:t>市场监督管理局</w:t>
      </w:r>
      <w:r>
        <w:rPr>
          <w:rFonts w:hint="eastAsia" w:ascii="仿宋_GB2312" w:hAnsi="仿宋_GB2312" w:eastAsia="仿宋_GB2312" w:cs="仿宋_GB2312"/>
          <w:kern w:val="0"/>
          <w:sz w:val="32"/>
          <w:szCs w:val="32"/>
          <w:lang w:eastAsia="zh-CN"/>
        </w:rPr>
        <w:t>东城</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分局</w:t>
      </w:r>
      <w:r>
        <w:rPr>
          <w:rFonts w:hint="eastAsia" w:ascii="仿宋_GB2312" w:hAnsi="仿宋_GB2312" w:eastAsia="仿宋_GB2312" w:cs="仿宋_GB2312"/>
          <w:kern w:val="0"/>
          <w:sz w:val="32"/>
          <w:szCs w:val="32"/>
          <w:lang w:val="en-US" w:eastAsia="zh-CN"/>
        </w:rPr>
        <w:t>内设机构5个，包括：</w:t>
      </w:r>
      <w:r>
        <w:rPr>
          <w:rFonts w:hint="eastAsia" w:ascii="仿宋_GB2312" w:hAnsi="仿宋_GB2312" w:eastAsia="仿宋_GB2312" w:cs="仿宋_GB2312"/>
          <w:kern w:val="0"/>
          <w:sz w:val="32"/>
          <w:szCs w:val="32"/>
          <w:lang w:eastAsia="zh-CN"/>
        </w:rPr>
        <w:t>综合</w:t>
      </w:r>
      <w:r>
        <w:rPr>
          <w:rFonts w:hint="eastAsia" w:ascii="仿宋_GB2312" w:hAnsi="仿宋_GB2312" w:eastAsia="仿宋_GB2312" w:cs="仿宋_GB2312"/>
          <w:kern w:val="0"/>
          <w:sz w:val="32"/>
          <w:szCs w:val="32"/>
        </w:rPr>
        <w:t>办公室、</w:t>
      </w:r>
      <w:r>
        <w:rPr>
          <w:rFonts w:hint="eastAsia" w:ascii="仿宋_GB2312" w:hAnsi="仿宋_GB2312" w:eastAsia="仿宋_GB2312" w:cs="仿宋_GB2312"/>
          <w:kern w:val="0"/>
          <w:sz w:val="32"/>
          <w:szCs w:val="32"/>
          <w:lang w:eastAsia="zh-CN"/>
        </w:rPr>
        <w:t>政务服务股、综合监管股</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综合监管股</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综合监管股</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从决算单位构成看，</w:t>
      </w:r>
      <w:r>
        <w:rPr>
          <w:rFonts w:hint="eastAsia" w:ascii="仿宋_GB2312" w:hAnsi="仿宋_GB2312" w:eastAsia="仿宋_GB2312" w:cs="仿宋_GB2312"/>
          <w:kern w:val="0"/>
          <w:sz w:val="32"/>
          <w:szCs w:val="32"/>
        </w:rPr>
        <w:t>许昌市</w:t>
      </w:r>
      <w:r>
        <w:rPr>
          <w:rFonts w:hint="eastAsia" w:ascii="仿宋_GB2312" w:hAnsi="仿宋_GB2312" w:eastAsia="仿宋_GB2312" w:cs="仿宋_GB2312"/>
          <w:kern w:val="0"/>
          <w:sz w:val="32"/>
          <w:szCs w:val="32"/>
          <w:lang w:val="en-US" w:eastAsia="zh-CN"/>
        </w:rPr>
        <w:t>市场监督管理局</w:t>
      </w:r>
      <w:r>
        <w:rPr>
          <w:rFonts w:hint="eastAsia" w:ascii="仿宋_GB2312" w:hAnsi="仿宋_GB2312" w:eastAsia="仿宋_GB2312" w:cs="仿宋_GB2312"/>
          <w:kern w:val="0"/>
          <w:sz w:val="32"/>
          <w:szCs w:val="32"/>
          <w:lang w:eastAsia="zh-CN"/>
        </w:rPr>
        <w:t>东城</w:t>
      </w:r>
      <w:r>
        <w:rPr>
          <w:rFonts w:hint="eastAsia" w:ascii="仿宋_GB2312" w:hAnsi="仿宋_GB2312" w:eastAsia="仿宋_GB2312" w:cs="仿宋_GB2312"/>
          <w:kern w:val="0"/>
          <w:sz w:val="32"/>
          <w:szCs w:val="32"/>
          <w:lang w:val="en-US" w:eastAsia="zh-CN"/>
        </w:rPr>
        <w:t>区</w:t>
      </w:r>
      <w:r>
        <w:rPr>
          <w:rFonts w:hint="eastAsia" w:ascii="仿宋_GB2312" w:hAnsi="仿宋_GB2312" w:eastAsia="仿宋_GB2312" w:cs="仿宋_GB2312"/>
          <w:kern w:val="0"/>
          <w:sz w:val="32"/>
          <w:szCs w:val="32"/>
        </w:rPr>
        <w:t>分局</w:t>
      </w:r>
      <w:r>
        <w:rPr>
          <w:rFonts w:hint="eastAsia" w:ascii="仿宋_GB2312" w:hAnsi="仿宋_GB2312" w:eastAsia="仿宋_GB2312" w:cs="仿宋_GB2312"/>
          <w:kern w:val="0"/>
          <w:sz w:val="32"/>
          <w:szCs w:val="32"/>
          <w:lang w:val="en-US" w:eastAsia="zh-CN"/>
        </w:rPr>
        <w:t>单位决算包括：本级决算（1个）。</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纳入本单位2021年度决算编制范围的单位共1个。具体是：</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1.许昌市市场监督管理局东城区分局</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第二部分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决算表</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6"/>
        <w:gridCol w:w="895"/>
        <w:gridCol w:w="1195"/>
        <w:gridCol w:w="4795"/>
        <w:gridCol w:w="895"/>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4"/>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0" w:type="auto"/>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p>
      <w:pPr>
        <w:rPr>
          <w:rFonts w:hint="eastAsia" w:ascii="仿宋_GB2312" w:hAnsi="仿宋_GB2312" w:eastAsia="仿宋_GB2312" w:cs="仿宋_GB2312"/>
          <w:sz w:val="32"/>
          <w:szCs w:val="32"/>
          <w:highlight w:val="none"/>
        </w:rPr>
      </w:pPr>
    </w:p>
    <w:tbl>
      <w:tblPr>
        <w:tblStyle w:val="6"/>
        <w:tblW w:w="140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7"/>
        <w:gridCol w:w="333"/>
        <w:gridCol w:w="3391"/>
        <w:gridCol w:w="1620"/>
        <w:gridCol w:w="1590"/>
        <w:gridCol w:w="1245"/>
        <w:gridCol w:w="870"/>
        <w:gridCol w:w="1125"/>
        <w:gridCol w:w="1587"/>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68" w:type="dxa"/>
            <w:gridSpan w:val="11"/>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91"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2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4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12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24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828" w:type="dxa"/>
            <w:gridSpan w:val="9"/>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324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78"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2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4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7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25"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58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653"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391"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9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391"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2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653"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7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2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7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25"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8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53"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78"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720.14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720.14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701.21</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701.21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697.77</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697.77</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696.26</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696.26</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391"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18.93</w:t>
            </w:r>
          </w:p>
        </w:tc>
        <w:tc>
          <w:tcPr>
            <w:tcW w:w="15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18.93</w:t>
            </w: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391"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6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4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87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12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653"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68"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本年度取得的各项收入情况。本表金额转换为万元时，因四舍五入可能存在尾差。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07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
        <w:gridCol w:w="327"/>
        <w:gridCol w:w="333"/>
        <w:gridCol w:w="4539"/>
        <w:gridCol w:w="1657"/>
        <w:gridCol w:w="1290"/>
        <w:gridCol w:w="1050"/>
        <w:gridCol w:w="930"/>
        <w:gridCol w:w="1201"/>
        <w:gridCol w:w="2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1"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2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539"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6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29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0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93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1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53"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3618"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26"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29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05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30"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201"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241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4539"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4539"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6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9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930"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1"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5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9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5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3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01"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417"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526"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817.29</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813.72</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779.60</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776.03</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776.16</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772.59</w:t>
            </w: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772.59</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772.59</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129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05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539"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57"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w:t>
            </w:r>
          </w:p>
        </w:tc>
        <w:tc>
          <w:tcPr>
            <w:tcW w:w="129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w:t>
            </w:r>
          </w:p>
        </w:tc>
        <w:tc>
          <w:tcPr>
            <w:tcW w:w="10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93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20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241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1"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本年度各项支出情况。本表金额转换为万元时，因四舍五入可能存在尾差。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8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87"/>
        <w:gridCol w:w="535"/>
        <w:gridCol w:w="1080"/>
        <w:gridCol w:w="3986"/>
        <w:gridCol w:w="535"/>
        <w:gridCol w:w="944"/>
        <w:gridCol w:w="1072"/>
        <w:gridCol w:w="760"/>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858"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27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227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8784"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391"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28"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87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5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869"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40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391"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87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5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11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69"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40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0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779.60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720.14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817.29</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858" w:type="dxa"/>
            <w:gridSpan w:val="9"/>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本年度一般公共预算财政拨款、政府性基金预算财政拨款和国有资本经营预算财政拨款的总收支和年末结转结余情况。本表金额转换为万元时，因四舍五入可能存在尾差。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
        <w:gridCol w:w="227"/>
        <w:gridCol w:w="1555"/>
        <w:gridCol w:w="5470"/>
        <w:gridCol w:w="2374"/>
        <w:gridCol w:w="192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648" w:type="dxa"/>
            <w:gridSpan w:val="7"/>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7"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2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55"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47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374"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79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53" w:type="dxa"/>
            <w:gridSpan w:val="5"/>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3795"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79"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169"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70"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374"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2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75"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00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3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5470"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374"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2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875"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7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479"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817.29</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813.72</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779.60</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776.03</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市场监督管理事务</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776.16</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772.59</w:t>
            </w: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2013801</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772.59</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772.59</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2013899</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其他市场监督管理事务</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c>
          <w:tcPr>
            <w:tcW w:w="192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875"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27.32</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21.04</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10.38</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4.24</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09" w:type="dxa"/>
            <w:gridSpan w:val="3"/>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5470"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374"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w:t>
            </w:r>
          </w:p>
        </w:tc>
        <w:tc>
          <w:tcPr>
            <w:tcW w:w="1920"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6.14</w:t>
            </w:r>
          </w:p>
        </w:tc>
        <w:tc>
          <w:tcPr>
            <w:tcW w:w="1875"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48" w:type="dxa"/>
            <w:gridSpan w:val="7"/>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本年度一般公共预算财政拨款支出情况。本套报表金额单位转换时可能存在尾数误差。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4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3516"/>
        <w:gridCol w:w="876"/>
        <w:gridCol w:w="766"/>
        <w:gridCol w:w="2416"/>
        <w:gridCol w:w="766"/>
        <w:gridCol w:w="766"/>
        <w:gridCol w:w="3902"/>
        <w:gridCol w:w="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655" w:type="dxa"/>
            <w:gridSpan w:val="9"/>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w:t>
            </w:r>
            <w:r>
              <w:rPr>
                <w:rFonts w:hint="eastAsia" w:ascii="宋体" w:hAnsi="宋体" w:cs="宋体"/>
                <w:i w:val="0"/>
                <w:iCs w:val="0"/>
                <w:color w:val="000000"/>
                <w:kern w:val="0"/>
                <w:sz w:val="30"/>
                <w:szCs w:val="30"/>
                <w:u w:val="none"/>
                <w:lang w:val="en-US" w:eastAsia="zh-CN" w:bidi="ar"/>
              </w:rPr>
              <w:t>明细</w:t>
            </w:r>
            <w:r>
              <w:rPr>
                <w:rFonts w:hint="eastAsia" w:ascii="宋体" w:hAnsi="宋体" w:eastAsia="宋体" w:cs="宋体"/>
                <w:i w:val="0"/>
                <w:iCs w:val="0"/>
                <w:color w:val="000000"/>
                <w:kern w:val="0"/>
                <w:sz w:val="30"/>
                <w:szCs w:val="30"/>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66"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5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87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41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478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872" w:type="dxa"/>
            <w:gridSpan w:val="7"/>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4783"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5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497" w:type="dxa"/>
            <w:gridSpan w:val="6"/>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7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1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02"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1"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5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41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3902"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881"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702.41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280.58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98.25</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193.33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38.02</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902"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76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66" w:type="dxa"/>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51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7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416" w:type="dxa"/>
            <w:tcBorders>
              <w:top w:val="nil"/>
              <w:left w:val="nil"/>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76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766"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3902"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881"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282" w:type="dxa"/>
            <w:gridSpan w:val="2"/>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76"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727.39</w:t>
            </w:r>
          </w:p>
        </w:tc>
        <w:tc>
          <w:tcPr>
            <w:tcW w:w="8616" w:type="dxa"/>
            <w:gridSpan w:val="5"/>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881" w:type="dxa"/>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55" w:type="dxa"/>
            <w:gridSpan w:val="9"/>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13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75"/>
        <w:gridCol w:w="1110"/>
        <w:gridCol w:w="1080"/>
        <w:gridCol w:w="1080"/>
        <w:gridCol w:w="1080"/>
        <w:gridCol w:w="1080"/>
        <w:gridCol w:w="1080"/>
        <w:gridCol w:w="1080"/>
        <w:gridCol w:w="1080"/>
        <w:gridCol w:w="1080"/>
        <w:gridCol w:w="1080"/>
        <w:gridCol w:w="1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645"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29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10"/>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2920"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40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240" w:type="dxa"/>
            <w:gridSpan w:val="6"/>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5"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1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4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40" w:type="dxa"/>
            <w:gridSpan w:val="3"/>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84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75" w:type="dxa"/>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11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84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7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840" w:type="dxa"/>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84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645"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w:t>
            </w:r>
            <w:r>
              <w:rPr>
                <w:rFonts w:hint="eastAsia" w:ascii="宋体" w:hAnsi="宋体" w:cs="宋体"/>
                <w:i w:val="0"/>
                <w:iCs w:val="0"/>
                <w:color w:val="000000"/>
                <w:kern w:val="0"/>
                <w:sz w:val="22"/>
                <w:szCs w:val="22"/>
                <w:u w:val="none"/>
                <w:lang w:val="en-US" w:eastAsia="zh-CN" w:bidi="ar"/>
              </w:rPr>
              <w:t>单位</w:t>
            </w:r>
            <w:r>
              <w:rPr>
                <w:rFonts w:hint="eastAsia" w:ascii="宋体" w:hAnsi="宋体" w:eastAsia="宋体" w:cs="宋体"/>
                <w:i w:val="0"/>
                <w:iCs w:val="0"/>
                <w:color w:val="000000"/>
                <w:kern w:val="0"/>
                <w:sz w:val="22"/>
                <w:szCs w:val="22"/>
                <w:u w:val="none"/>
                <w:lang w:val="en-US" w:eastAsia="zh-CN"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sz w:val="32"/>
          <w:szCs w:val="32"/>
          <w:highlight w:val="none"/>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
        <w:gridCol w:w="350"/>
        <w:gridCol w:w="533"/>
        <w:gridCol w:w="1727"/>
        <w:gridCol w:w="1957"/>
        <w:gridCol w:w="1957"/>
        <w:gridCol w:w="1957"/>
        <w:gridCol w:w="1586"/>
        <w:gridCol w:w="1950"/>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4074" w:type="dxa"/>
            <w:gridSpan w:val="10"/>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350" w:type="dxa"/>
            <w:tcBorders>
              <w:top w:val="nil"/>
              <w:left w:val="nil"/>
              <w:bottom w:val="nil"/>
              <w:right w:val="nil"/>
            </w:tcBorders>
            <w:noWrap/>
            <w:vAlign w:val="bottom"/>
          </w:tcPr>
          <w:p>
            <w:pPr>
              <w:rPr>
                <w:rFonts w:hint="eastAsia" w:ascii="Arial" w:hAnsi="Arial" w:cs="Arial"/>
                <w:i w:val="0"/>
                <w:iCs w:val="0"/>
                <w:color w:val="000000"/>
                <w:sz w:val="20"/>
                <w:szCs w:val="20"/>
                <w:u w:val="none"/>
              </w:rPr>
            </w:pPr>
          </w:p>
        </w:tc>
        <w:tc>
          <w:tcPr>
            <w:tcW w:w="350"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533"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72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957"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1586" w:type="dxa"/>
            <w:tcBorders>
              <w:top w:val="nil"/>
              <w:left w:val="nil"/>
              <w:bottom w:val="nil"/>
              <w:right w:val="nil"/>
            </w:tcBorders>
            <w:noWrap/>
            <w:vAlign w:val="bottom"/>
          </w:tcPr>
          <w:p>
            <w:pPr>
              <w:rPr>
                <w:rFonts w:hint="default" w:ascii="Arial" w:hAnsi="Arial" w:cs="Arial"/>
                <w:i w:val="0"/>
                <w:iCs w:val="0"/>
                <w:color w:val="000000"/>
                <w:sz w:val="20"/>
                <w:szCs w:val="20"/>
                <w:u w:val="none"/>
              </w:rPr>
            </w:pPr>
          </w:p>
        </w:tc>
        <w:tc>
          <w:tcPr>
            <w:tcW w:w="365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417" w:type="dxa"/>
            <w:gridSpan w:val="8"/>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单位</w:t>
            </w:r>
            <w:r>
              <w:rPr>
                <w:rFonts w:hint="eastAsia" w:ascii="宋体" w:hAnsi="宋体" w:eastAsia="宋体" w:cs="宋体"/>
                <w:i w:val="0"/>
                <w:iCs w:val="0"/>
                <w:color w:val="000000"/>
                <w:kern w:val="0"/>
                <w:sz w:val="20"/>
                <w:szCs w:val="20"/>
                <w:u w:val="none"/>
                <w:lang w:val="en-US" w:eastAsia="zh-CN" w:bidi="ar"/>
              </w:rPr>
              <w:t>：许昌市市场监督管理局东城区分局</w:t>
            </w:r>
          </w:p>
        </w:tc>
        <w:tc>
          <w:tcPr>
            <w:tcW w:w="3657" w:type="dxa"/>
            <w:gridSpan w:val="2"/>
            <w:tcBorders>
              <w:top w:val="nil"/>
              <w:left w:val="nil"/>
              <w:bottom w:val="nil"/>
              <w:right w:val="nil"/>
            </w:tcBorders>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0"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95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493" w:type="dxa"/>
            <w:gridSpan w:val="3"/>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707" w:type="dxa"/>
            <w:vMerge w:val="restart"/>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1727" w:type="dxa"/>
            <w:vMerge w:val="restart"/>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586"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50" w:type="dxa"/>
            <w:vMerge w:val="restart"/>
            <w:tcBorders>
              <w:top w:val="nil"/>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7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vMerge w:val="continue"/>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27" w:type="dxa"/>
            <w:vMerge w:val="continue"/>
            <w:tcBorders>
              <w:top w:val="nil"/>
              <w:left w:val="nil"/>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7"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586"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950" w:type="dxa"/>
            <w:vMerge w:val="continue"/>
            <w:tcBorders>
              <w:top w:val="nil"/>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707" w:type="dxa"/>
            <w:vMerge w:val="continue"/>
            <w:tcBorders>
              <w:top w:val="single" w:color="000000" w:sz="4" w:space="0"/>
              <w:left w:val="nil"/>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95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5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5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86"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50"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07" w:type="dxa"/>
            <w:tcBorders>
              <w:top w:val="nil"/>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960" w:type="dxa"/>
            <w:gridSpan w:val="4"/>
            <w:tcBorders>
              <w:top w:val="nil"/>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33" w:type="dxa"/>
            <w:gridSpan w:val="3"/>
            <w:tcBorders>
              <w:top w:val="nil"/>
              <w:left w:val="single" w:color="000000" w:sz="4" w:space="0"/>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727" w:type="dxa"/>
            <w:tcBorders>
              <w:top w:val="nil"/>
              <w:left w:val="nil"/>
              <w:bottom w:val="single" w:color="000000" w:sz="4" w:space="0"/>
              <w:right w:val="single" w:color="000000" w:sz="4" w:space="0"/>
            </w:tcBorders>
            <w:noWrap/>
            <w:vAlign w:val="center"/>
          </w:tcPr>
          <w:p>
            <w:pPr>
              <w:jc w:val="lef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586"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950"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c>
          <w:tcPr>
            <w:tcW w:w="1707" w:type="dxa"/>
            <w:tcBorders>
              <w:top w:val="nil"/>
              <w:left w:val="nil"/>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4" w:type="dxa"/>
            <w:gridSpan w:val="10"/>
            <w:tcBorders>
              <w:top w:val="nil"/>
              <w:left w:val="nil"/>
              <w:bottom w:val="nil"/>
              <w:right w:val="nil"/>
            </w:tcBorders>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注：本表反映单位本年度政府性基金预算财政拨款收入、支出及结转和结余情况。本表金额转换为万元时，因四舍五入可能存在尾差。</w:t>
            </w:r>
          </w:p>
          <w:p>
            <w:pPr>
              <w:pStyle w:val="2"/>
              <w:rPr>
                <w:rFonts w:hint="eastAsia"/>
              </w:rPr>
            </w:pPr>
          </w:p>
        </w:tc>
      </w:tr>
    </w:tbl>
    <w:p>
      <w:pPr>
        <w:keepNext w:val="0"/>
        <w:keepLines w:val="0"/>
        <w:widowControl/>
        <w:suppressLineNumbers w:val="0"/>
        <w:jc w:val="left"/>
        <w:textAlignment w:val="center"/>
        <w:rPr>
          <w:rFonts w:hint="eastAsia"/>
          <w:lang w:val="en-US" w:eastAsia="zh-CN"/>
        </w:rPr>
        <w:sectPr>
          <w:pgSz w:w="16838" w:h="11906" w:orient="landscape"/>
          <w:pgMar w:top="1800" w:right="1440" w:bottom="1800" w:left="1440" w:header="720" w:footer="720" w:gutter="0"/>
          <w:pgNumType w:fmt="numberInDash"/>
          <w:cols w:space="720" w:num="1"/>
          <w:docGrid w:type="lines" w:linePitch="312" w:charSpace="0"/>
        </w:sectPr>
      </w:pPr>
      <w:r>
        <w:rPr>
          <w:rFonts w:hint="eastAsia"/>
          <w:lang w:val="en-US" w:eastAsia="zh-CN"/>
        </w:rPr>
        <w:t>说明：我单位没有政府性基金收入，也没有使用政府性基金安排的支出，故本表无数据。</w:t>
      </w: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第三部分 2021年度</w:t>
      </w:r>
      <w:r>
        <w:rPr>
          <w:rFonts w:hint="eastAsia" w:ascii="黑体" w:hAnsi="黑体" w:eastAsia="黑体" w:cs="黑体"/>
          <w:sz w:val="48"/>
          <w:szCs w:val="48"/>
          <w:highlight w:val="none"/>
          <w:lang w:eastAsia="zh-CN"/>
        </w:rPr>
        <w:t>单位</w:t>
      </w:r>
      <w:r>
        <w:rPr>
          <w:rFonts w:hint="eastAsia" w:ascii="黑体" w:hAnsi="黑体" w:eastAsia="黑体" w:cs="黑体"/>
          <w:sz w:val="48"/>
          <w:szCs w:val="48"/>
          <w:highlight w:val="none"/>
        </w:rPr>
        <w:t>决算情况说明</w:t>
      </w:r>
    </w:p>
    <w:p>
      <w:pPr>
        <w:widowControl/>
        <w:jc w:val="left"/>
        <w:rPr>
          <w:rFonts w:hint="eastAsia" w:ascii="黑体" w:hAnsi="黑体" w:eastAsia="黑体" w:cs="黑体"/>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一、收入支出决算总体情况说明</w:t>
      </w:r>
    </w:p>
    <w:p>
      <w:pPr>
        <w:pStyle w:val="20"/>
        <w:keepNext w:val="0"/>
        <w:keepLines w:val="0"/>
        <w:pageBreakBefore w:val="0"/>
        <w:widowControl/>
        <w:kinsoku/>
        <w:wordWrap/>
        <w:overflowPunct/>
        <w:topLinePunct w:val="0"/>
        <w:autoSpaceDE/>
        <w:autoSpaceDN/>
        <w:bidi w:val="0"/>
        <w:adjustRightInd/>
        <w:snapToGrid/>
        <w:spacing w:line="590" w:lineRule="exact"/>
        <w:ind w:firstLine="64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年度收、支总计均为</w:t>
      </w:r>
      <w:r>
        <w:rPr>
          <w:rFonts w:hint="eastAsia" w:ascii="仿宋_GB2312" w:hAnsi="仿宋_GB2312" w:eastAsia="仿宋_GB2312" w:cs="仿宋_GB2312"/>
          <w:sz w:val="32"/>
          <w:szCs w:val="32"/>
          <w:highlight w:val="none"/>
          <w:lang w:val="en-US" w:eastAsia="zh-CN"/>
        </w:rPr>
        <w:t>817.29</w:t>
      </w:r>
      <w:r>
        <w:rPr>
          <w:rFonts w:hint="eastAsia" w:ascii="仿宋_GB2312" w:hAnsi="仿宋_GB2312" w:eastAsia="仿宋_GB2312" w:cs="仿宋_GB2312"/>
          <w:sz w:val="32"/>
          <w:szCs w:val="32"/>
          <w:highlight w:val="none"/>
        </w:rPr>
        <w:t>万元。与上年度相比，收、支总计各增加</w:t>
      </w:r>
      <w:r>
        <w:rPr>
          <w:rFonts w:hint="eastAsia" w:ascii="仿宋_GB2312" w:hAnsi="仿宋_GB2312" w:eastAsia="仿宋_GB2312" w:cs="仿宋_GB2312"/>
          <w:sz w:val="32"/>
          <w:szCs w:val="32"/>
          <w:highlight w:val="none"/>
          <w:lang w:val="en-US" w:eastAsia="zh-CN"/>
        </w:rPr>
        <w:t>265.70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48.17</w:t>
      </w:r>
      <w:r>
        <w:rPr>
          <w:rFonts w:hint="eastAsia" w:ascii="仿宋_GB2312" w:hAnsi="仿宋_GB2312" w:eastAsia="仿宋_GB2312" w:cs="仿宋_GB2312"/>
          <w:sz w:val="32"/>
          <w:szCs w:val="32"/>
          <w:highlight w:val="none"/>
        </w:rPr>
        <w:t>%。主要原因是</w:t>
      </w:r>
      <w:r>
        <w:rPr>
          <w:rFonts w:hint="eastAsia" w:ascii="仿宋_GB2312" w:hAnsi="仿宋" w:eastAsia="仿宋_GB2312" w:cs="Times New Roman"/>
          <w:kern w:val="2"/>
          <w:sz w:val="32"/>
          <w:szCs w:val="32"/>
          <w:highlight w:val="none"/>
          <w:lang w:val="en-US" w:eastAsia="zh-CN" w:bidi="ar"/>
        </w:rPr>
        <w:t>机</w:t>
      </w:r>
      <w:r>
        <w:rPr>
          <w:rFonts w:hint="eastAsia" w:ascii="仿宋_GB2312" w:hAnsi="仿宋" w:eastAsia="仿宋_GB2312" w:cs="Times New Roman"/>
          <w:kern w:val="2"/>
          <w:sz w:val="32"/>
          <w:szCs w:val="32"/>
          <w:lang w:val="en-US" w:eastAsia="zh-CN" w:bidi="ar"/>
        </w:rPr>
        <w:t>构合并，人员增加，财政拨款增加等。</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年度收入合计</w:t>
      </w:r>
      <w:r>
        <w:rPr>
          <w:rFonts w:hint="eastAsia" w:ascii="仿宋_GB2312" w:hAnsi="仿宋_GB2312" w:eastAsia="仿宋_GB2312" w:cs="仿宋_GB2312"/>
          <w:sz w:val="32"/>
          <w:szCs w:val="32"/>
          <w:highlight w:val="none"/>
          <w:lang w:val="en-US" w:eastAsia="zh-CN"/>
        </w:rPr>
        <w:t>720.14</w:t>
      </w:r>
      <w:r>
        <w:rPr>
          <w:rFonts w:hint="eastAsia" w:ascii="仿宋_GB2312" w:hAnsi="仿宋_GB2312" w:eastAsia="仿宋_GB2312" w:cs="仿宋_GB2312"/>
          <w:sz w:val="32"/>
          <w:szCs w:val="32"/>
          <w:highlight w:val="none"/>
        </w:rPr>
        <w:t>万元，其中：财政拨款收入</w:t>
      </w:r>
      <w:r>
        <w:rPr>
          <w:rFonts w:hint="eastAsia" w:ascii="仿宋_GB2312" w:hAnsi="仿宋_GB2312" w:eastAsia="仿宋_GB2312" w:cs="仿宋_GB2312"/>
          <w:sz w:val="32"/>
          <w:szCs w:val="32"/>
          <w:highlight w:val="none"/>
          <w:lang w:val="en-US" w:eastAsia="zh-CN"/>
        </w:rPr>
        <w:t>720.14</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%；上级补助收入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%；事业收入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%；附属单位上缴收入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%；其他收入</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三、支出决算情况说明</w:t>
      </w:r>
    </w:p>
    <w:p>
      <w:pPr>
        <w:keepNext w:val="0"/>
        <w:keepLines w:val="0"/>
        <w:pageBreakBefore w:val="0"/>
        <w:widowControl/>
        <w:kinsoku/>
        <w:wordWrap/>
        <w:overflowPunct/>
        <w:topLinePunct w:val="0"/>
        <w:bidi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年度支出合计</w:t>
      </w:r>
      <w:r>
        <w:rPr>
          <w:rFonts w:hint="eastAsia" w:ascii="仿宋_GB2312" w:hAnsi="仿宋_GB2312" w:eastAsia="仿宋_GB2312" w:cs="仿宋_GB2312"/>
          <w:sz w:val="32"/>
          <w:szCs w:val="32"/>
          <w:highlight w:val="none"/>
          <w:lang w:val="en-US" w:eastAsia="zh-CN"/>
        </w:rPr>
        <w:t>817.29</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813.72</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99.56</w:t>
      </w:r>
      <w:r>
        <w:rPr>
          <w:rFonts w:hint="eastAsia" w:ascii="仿宋_GB2312" w:hAnsi="仿宋_GB2312" w:eastAsia="仿宋_GB2312" w:cs="仿宋_GB2312"/>
          <w:sz w:val="32"/>
          <w:szCs w:val="32"/>
          <w:highlight w:val="none"/>
        </w:rPr>
        <w:t>%；项目支出</w:t>
      </w:r>
      <w:r>
        <w:rPr>
          <w:rFonts w:hint="eastAsia" w:ascii="仿宋_GB2312" w:hAnsi="仿宋_GB2312" w:eastAsia="仿宋_GB2312" w:cs="仿宋_GB2312"/>
          <w:sz w:val="32"/>
          <w:szCs w:val="32"/>
          <w:highlight w:val="none"/>
          <w:lang w:val="en-US" w:eastAsia="zh-CN"/>
        </w:rPr>
        <w:t>3.57</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0.44</w:t>
      </w:r>
      <w:r>
        <w:rPr>
          <w:rFonts w:hint="eastAsia" w:ascii="仿宋_GB2312" w:hAnsi="仿宋_GB2312" w:eastAsia="仿宋_GB2312" w:cs="仿宋_GB2312"/>
          <w:sz w:val="32"/>
          <w:szCs w:val="32"/>
          <w:highlight w:val="none"/>
        </w:rPr>
        <w:t>%；上缴上级支出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%；经营支出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%；对附属单位补助支出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四、财政拨款收入支出决算总体情况说明</w:t>
      </w:r>
    </w:p>
    <w:p>
      <w:pPr>
        <w:pStyle w:val="20"/>
        <w:keepNext w:val="0"/>
        <w:keepLines w:val="0"/>
        <w:pageBreakBefore w:val="0"/>
        <w:kinsoku/>
        <w:wordWrap/>
        <w:overflowPunct/>
        <w:topLinePunct w:val="0"/>
        <w:bidi w:val="0"/>
        <w:spacing w:line="590" w:lineRule="exact"/>
        <w:ind w:firstLine="640"/>
        <w:textAlignment w:val="auto"/>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年度财政拨款收、支总计均为</w:t>
      </w:r>
      <w:r>
        <w:rPr>
          <w:rFonts w:hint="eastAsia" w:ascii="仿宋_GB2312" w:hAnsi="仿宋_GB2312" w:eastAsia="仿宋_GB2312" w:cs="仿宋_GB2312"/>
          <w:sz w:val="32"/>
          <w:szCs w:val="32"/>
          <w:highlight w:val="none"/>
          <w:lang w:val="en-US" w:eastAsia="zh-CN"/>
        </w:rPr>
        <w:t>817.29</w:t>
      </w:r>
      <w:r>
        <w:rPr>
          <w:rFonts w:hint="eastAsia" w:ascii="仿宋_GB2312" w:hAnsi="仿宋_GB2312" w:eastAsia="仿宋_GB2312" w:cs="仿宋_GB2312"/>
          <w:sz w:val="32"/>
          <w:szCs w:val="32"/>
          <w:highlight w:val="none"/>
        </w:rPr>
        <w:t>万元。与上年度相比，财政拨款收、支总计各增加</w:t>
      </w:r>
      <w:r>
        <w:rPr>
          <w:rFonts w:hint="eastAsia" w:ascii="仿宋_GB2312" w:hAnsi="仿宋_GB2312" w:eastAsia="仿宋_GB2312" w:cs="仿宋_GB2312"/>
          <w:sz w:val="32"/>
          <w:szCs w:val="32"/>
          <w:highlight w:val="none"/>
          <w:lang w:val="en-US" w:eastAsia="zh-CN"/>
        </w:rPr>
        <w:t>265.70</w:t>
      </w:r>
      <w:r>
        <w:rPr>
          <w:rFonts w:hint="eastAsia" w:ascii="仿宋_GB2312" w:hAnsi="仿宋_GB2312" w:eastAsia="仿宋_GB2312" w:cs="仿宋_GB2312"/>
          <w:sz w:val="32"/>
          <w:szCs w:val="32"/>
          <w:highlight w:val="none"/>
        </w:rPr>
        <w:t>万元，增长</w:t>
      </w:r>
      <w:r>
        <w:rPr>
          <w:rFonts w:hint="eastAsia" w:ascii="仿宋_GB2312" w:hAnsi="仿宋_GB2312" w:eastAsia="仿宋_GB2312" w:cs="仿宋_GB2312"/>
          <w:sz w:val="32"/>
          <w:szCs w:val="32"/>
          <w:highlight w:val="none"/>
          <w:lang w:val="en-US" w:eastAsia="zh-CN"/>
        </w:rPr>
        <w:t>48.17</w:t>
      </w:r>
      <w:r>
        <w:rPr>
          <w:rFonts w:hint="eastAsia" w:ascii="仿宋_GB2312" w:hAnsi="仿宋_GB2312" w:eastAsia="仿宋_GB2312" w:cs="仿宋_GB2312"/>
          <w:sz w:val="32"/>
          <w:szCs w:val="32"/>
          <w:highlight w:val="none"/>
        </w:rPr>
        <w:t>%。主要原因是</w:t>
      </w:r>
      <w:r>
        <w:rPr>
          <w:rFonts w:hint="eastAsia" w:ascii="仿宋_GB2312" w:hAnsi="仿宋" w:eastAsia="仿宋_GB2312" w:cs="Times New Roman"/>
          <w:kern w:val="2"/>
          <w:sz w:val="32"/>
          <w:szCs w:val="32"/>
          <w:highlight w:val="none"/>
          <w:lang w:val="en-US" w:eastAsia="zh-CN" w:bidi="ar"/>
        </w:rPr>
        <w:t>机构合</w:t>
      </w:r>
      <w:r>
        <w:rPr>
          <w:rFonts w:hint="eastAsia" w:ascii="仿宋_GB2312" w:hAnsi="仿宋" w:eastAsia="仿宋_GB2312" w:cs="Times New Roman"/>
          <w:kern w:val="2"/>
          <w:sz w:val="32"/>
          <w:szCs w:val="32"/>
          <w:lang w:val="en-US" w:eastAsia="zh-CN" w:bidi="ar"/>
        </w:rPr>
        <w:t>并，人员增加，财政拨款增加等。</w:t>
      </w:r>
    </w:p>
    <w:p>
      <w:pPr>
        <w:keepNext w:val="0"/>
        <w:keepLines w:val="0"/>
        <w:pageBreakBefore w:val="0"/>
        <w:widowControl/>
        <w:kinsoku/>
        <w:wordWrap/>
        <w:overflowPunct/>
        <w:topLinePunct w:val="0"/>
        <w:bidi w:val="0"/>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五、一般公共预算财政拨款支出决算情况说明</w:t>
      </w:r>
    </w:p>
    <w:p>
      <w:pPr>
        <w:keepNext w:val="0"/>
        <w:keepLines w:val="0"/>
        <w:pageBreakBefore w:val="0"/>
        <w:widowControl/>
        <w:kinsoku/>
        <w:wordWrap/>
        <w:overflowPunct/>
        <w:topLinePunct w:val="0"/>
        <w:bidi w:val="0"/>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（一）总体情况。</w:t>
      </w:r>
    </w:p>
    <w:p>
      <w:pPr>
        <w:pStyle w:val="20"/>
        <w:keepNext w:val="0"/>
        <w:keepLines w:val="0"/>
        <w:pageBreakBefore w:val="0"/>
        <w:kinsoku/>
        <w:wordWrap/>
        <w:overflowPunct/>
        <w:topLinePunct w:val="0"/>
        <w:bidi w:val="0"/>
        <w:spacing w:line="590" w:lineRule="exact"/>
        <w:ind w:firstLine="640"/>
        <w:textAlignment w:val="auto"/>
        <w:rPr>
          <w:rFonts w:hint="eastAsia" w:ascii="仿宋_GB2312" w:hAnsi="仿宋_GB2312" w:eastAsia="仿宋_GB2312" w:cs="仿宋_GB2312"/>
          <w:sz w:val="32"/>
          <w:szCs w:val="32"/>
          <w:highlight w:val="yellow"/>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817.29</w:t>
      </w:r>
      <w:r>
        <w:rPr>
          <w:rFonts w:hint="eastAsia" w:ascii="仿宋_GB2312" w:hAnsi="仿宋_GB2312" w:eastAsia="仿宋_GB2312" w:cs="仿宋_GB2312"/>
          <w:sz w:val="32"/>
          <w:szCs w:val="32"/>
          <w:highlight w:val="none"/>
        </w:rPr>
        <w:t>万元，占支出合计的</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%。与上年度相比，一般公共预算财政拨款支出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350.88</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上升</w:t>
      </w:r>
      <w:r>
        <w:rPr>
          <w:rFonts w:hint="default" w:ascii="仿宋_GB2312" w:hAnsi="仿宋_GB2312" w:eastAsia="仿宋_GB2312" w:cs="仿宋_GB2312"/>
          <w:sz w:val="32"/>
          <w:szCs w:val="32"/>
          <w:highlight w:val="none"/>
          <w:lang w:val="en" w:eastAsia="zh-CN"/>
        </w:rPr>
        <w:t>75.23</w:t>
      </w:r>
      <w:r>
        <w:rPr>
          <w:rFonts w:hint="eastAsia" w:ascii="仿宋_GB2312" w:hAnsi="仿宋_GB2312" w:eastAsia="仿宋_GB2312" w:cs="仿宋_GB2312"/>
          <w:sz w:val="32"/>
          <w:szCs w:val="32"/>
          <w:highlight w:val="none"/>
        </w:rPr>
        <w:t>%。主要原因是</w:t>
      </w:r>
      <w:r>
        <w:rPr>
          <w:rFonts w:hint="eastAsia" w:ascii="仿宋_GB2312" w:hAnsi="仿宋" w:eastAsia="仿宋_GB2312" w:cs="Times New Roman"/>
          <w:kern w:val="2"/>
          <w:sz w:val="32"/>
          <w:szCs w:val="32"/>
          <w:lang w:val="en-US" w:eastAsia="zh-CN" w:bidi="ar"/>
        </w:rPr>
        <w:t>机构合并，人员增加，财政拨款增加等。</w:t>
      </w:r>
    </w:p>
    <w:p>
      <w:pPr>
        <w:keepNext w:val="0"/>
        <w:keepLines w:val="0"/>
        <w:pageBreakBefore w:val="0"/>
        <w:widowControl/>
        <w:kinsoku/>
        <w:wordWrap/>
        <w:overflowPunct/>
        <w:topLinePunct w:val="0"/>
        <w:bidi w:val="0"/>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（二）结构情况。</w:t>
      </w:r>
    </w:p>
    <w:p>
      <w:pPr>
        <w:keepNext w:val="0"/>
        <w:keepLines w:val="0"/>
        <w:pageBreakBefore w:val="0"/>
        <w:widowControl/>
        <w:kinsoku/>
        <w:wordWrap/>
        <w:overflowPunct/>
        <w:topLinePunct w:val="0"/>
        <w:bidi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val="en-US" w:eastAsia="zh-CN"/>
        </w:rPr>
        <w:t>817.29</w:t>
      </w:r>
      <w:r>
        <w:rPr>
          <w:rFonts w:hint="eastAsia" w:ascii="仿宋_GB2312" w:hAnsi="仿宋_GB2312" w:eastAsia="仿宋_GB2312" w:cs="仿宋_GB2312"/>
          <w:sz w:val="32"/>
          <w:szCs w:val="32"/>
          <w:highlight w:val="none"/>
        </w:rPr>
        <w:t>万元，主要用于以下方面：一般公共服务（类）支出779.6</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95.39</w:t>
      </w:r>
      <w:r>
        <w:rPr>
          <w:rFonts w:hint="eastAsia" w:ascii="仿宋_GB2312" w:hAnsi="仿宋_GB2312" w:eastAsia="仿宋_GB2312" w:cs="仿宋_GB2312"/>
          <w:sz w:val="32"/>
          <w:szCs w:val="32"/>
          <w:highlight w:val="none"/>
        </w:rPr>
        <w:t>%；社会保障和就业支出（类）支出27.32万元，占</w:t>
      </w:r>
      <w:r>
        <w:rPr>
          <w:rFonts w:hint="eastAsia" w:ascii="仿宋_GB2312" w:hAnsi="仿宋_GB2312" w:eastAsia="仿宋_GB2312" w:cs="仿宋_GB2312"/>
          <w:sz w:val="32"/>
          <w:szCs w:val="32"/>
          <w:highlight w:val="none"/>
          <w:lang w:val="en-US" w:eastAsia="zh-CN"/>
        </w:rPr>
        <w:t>3.34</w:t>
      </w:r>
      <w:r>
        <w:rPr>
          <w:rFonts w:hint="eastAsia" w:ascii="仿宋_GB2312" w:hAnsi="仿宋_GB2312" w:eastAsia="仿宋_GB2312" w:cs="仿宋_GB2312"/>
          <w:sz w:val="32"/>
          <w:szCs w:val="32"/>
          <w:highlight w:val="none"/>
        </w:rPr>
        <w:t>%；卫生健康支出（类）支出10.38万元，占</w:t>
      </w:r>
      <w:r>
        <w:rPr>
          <w:rFonts w:hint="eastAsia" w:ascii="仿宋_GB2312" w:hAnsi="仿宋_GB2312" w:eastAsia="仿宋_GB2312" w:cs="仿宋_GB2312"/>
          <w:sz w:val="32"/>
          <w:szCs w:val="32"/>
          <w:highlight w:val="none"/>
          <w:lang w:val="en-US" w:eastAsia="zh-CN"/>
        </w:rPr>
        <w:t>1.27</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bidi w:val="0"/>
        <w:spacing w:line="590" w:lineRule="exact"/>
        <w:ind w:firstLine="643" w:firstLineChars="200"/>
        <w:textAlignment w:val="auto"/>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（三）具体情况。</w:t>
      </w:r>
    </w:p>
    <w:p>
      <w:pPr>
        <w:keepNext w:val="0"/>
        <w:keepLines w:val="0"/>
        <w:pageBreakBefore w:val="0"/>
        <w:widowControl/>
        <w:kinsoku/>
        <w:wordWrap/>
        <w:overflowPunct/>
        <w:topLinePunct w:val="0"/>
        <w:bidi w:val="0"/>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821.41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817.29</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99.50</w:t>
      </w:r>
      <w:r>
        <w:rPr>
          <w:rFonts w:hint="eastAsia" w:ascii="仿宋_GB2312" w:hAnsi="仿宋_GB2312" w:eastAsia="仿宋_GB2312" w:cs="仿宋_GB2312"/>
          <w:sz w:val="32"/>
          <w:szCs w:val="32"/>
          <w:highlight w:val="none"/>
        </w:rPr>
        <w:t>%。其中：</w:t>
      </w:r>
    </w:p>
    <w:p>
      <w:pPr>
        <w:keepNext w:val="0"/>
        <w:keepLines w:val="0"/>
        <w:pageBreakBefore w:val="0"/>
        <w:kinsoku/>
        <w:wordWrap/>
        <w:overflowPunct/>
        <w:topLinePunct w:val="0"/>
        <w:autoSpaceDE w:val="0"/>
        <w:autoSpaceDN w:val="0"/>
        <w:bidi w:val="0"/>
        <w:adjustRightInd w:val="0"/>
        <w:spacing w:line="590" w:lineRule="exact"/>
        <w:ind w:firstLine="643" w:firstLineChars="200"/>
        <w:jc w:val="left"/>
        <w:textAlignment w:val="auto"/>
        <w:rPr>
          <w:rFonts w:hint="eastAsia" w:ascii="仿宋_GB2312" w:hAnsi="仿宋_GB2312" w:eastAsia="仿宋_GB2312" w:cs="仿宋_GB2312"/>
          <w:sz w:val="32"/>
          <w:szCs w:val="32"/>
        </w:rPr>
      </w:pPr>
      <w:r>
        <w:rPr>
          <w:rFonts w:hint="eastAsia" w:ascii="仿宋" w:hAnsi="仿宋" w:eastAsia="仿宋"/>
          <w:b/>
          <w:bCs/>
          <w:sz w:val="32"/>
          <w:szCs w:val="32"/>
          <w:lang w:val="en-US" w:eastAsia="zh-CN"/>
        </w:rPr>
        <w:t>1</w:t>
      </w:r>
      <w:r>
        <w:rPr>
          <w:rFonts w:hint="eastAsia" w:ascii="仿宋" w:hAnsi="仿宋" w:eastAsia="仿宋"/>
          <w:b/>
          <w:bCs/>
          <w:sz w:val="32"/>
          <w:szCs w:val="32"/>
          <w:lang w:eastAsia="zh-CN"/>
        </w:rPr>
        <w:t>、</w:t>
      </w:r>
      <w:r>
        <w:rPr>
          <w:rFonts w:hint="eastAsia" w:ascii="仿宋_GB2312" w:hAnsi="宋体" w:eastAsia="仿宋_GB2312" w:cs="Courier New"/>
          <w:b/>
          <w:bCs/>
          <w:sz w:val="32"/>
          <w:szCs w:val="32"/>
        </w:rPr>
        <w:t>一般公共服务（类）</w:t>
      </w:r>
      <w:r>
        <w:rPr>
          <w:rFonts w:hint="eastAsia" w:ascii="仿宋_GB2312" w:hAnsi="宋体" w:eastAsia="仿宋_GB2312" w:cs="Courier New"/>
          <w:b/>
          <w:bCs/>
          <w:sz w:val="32"/>
          <w:szCs w:val="32"/>
          <w:lang w:eastAsia="zh-CN"/>
        </w:rPr>
        <w:t>市场监督</w:t>
      </w:r>
      <w:r>
        <w:rPr>
          <w:rFonts w:hint="eastAsia" w:ascii="仿宋_GB2312" w:hAnsi="宋体" w:eastAsia="仿宋_GB2312" w:cs="Courier New"/>
          <w:b/>
          <w:bCs/>
          <w:sz w:val="32"/>
          <w:szCs w:val="32"/>
        </w:rPr>
        <w:t>管理事务（款）行政运行（项）。</w:t>
      </w:r>
      <w:r>
        <w:rPr>
          <w:rFonts w:hint="eastAsia" w:ascii="仿宋_GB2312" w:hAnsi="仿宋_GB2312" w:eastAsia="仿宋_GB2312" w:cs="仿宋_GB2312"/>
          <w:sz w:val="32"/>
          <w:szCs w:val="32"/>
        </w:rPr>
        <w:t>年初</w:t>
      </w:r>
      <w:r>
        <w:rPr>
          <w:rFonts w:hint="eastAsia" w:ascii="仿宋_GB2312" w:hAnsi="仿宋_GB2312" w:eastAsia="仿宋_GB2312" w:cs="仿宋_GB2312"/>
          <w:color w:val="auto"/>
          <w:sz w:val="32"/>
          <w:szCs w:val="32"/>
        </w:rPr>
        <w:t>预算为</w:t>
      </w:r>
      <w:r>
        <w:rPr>
          <w:rFonts w:hint="eastAsia" w:ascii="仿宋_GB2312" w:hAnsi="仿宋_GB2312" w:eastAsia="仿宋_GB2312" w:cs="仿宋_GB2312"/>
          <w:color w:val="auto"/>
          <w:sz w:val="32"/>
          <w:szCs w:val="32"/>
          <w:lang w:val="en-US" w:eastAsia="zh-CN"/>
        </w:rPr>
        <w:t>798.64</w:t>
      </w:r>
      <w:r>
        <w:rPr>
          <w:rFonts w:hint="eastAsia" w:ascii="仿宋_GB2312" w:hAnsi="仿宋_GB2312" w:eastAsia="仿宋_GB2312" w:cs="仿宋_GB2312"/>
          <w:color w:val="auto"/>
          <w:sz w:val="32"/>
          <w:szCs w:val="32"/>
        </w:rPr>
        <w:t>万元，支出决算为</w:t>
      </w:r>
      <w:r>
        <w:rPr>
          <w:rFonts w:hint="eastAsia" w:ascii="仿宋_GB2312" w:hAnsi="仿宋_GB2312" w:eastAsia="仿宋_GB2312" w:cs="仿宋_GB2312"/>
          <w:color w:val="auto"/>
          <w:sz w:val="32"/>
          <w:szCs w:val="32"/>
          <w:lang w:val="en-US" w:eastAsia="zh-CN"/>
        </w:rPr>
        <w:t>772.59</w:t>
      </w:r>
      <w:r>
        <w:rPr>
          <w:rFonts w:hint="eastAsia" w:ascii="仿宋_GB2312" w:hAnsi="仿宋_GB2312" w:eastAsia="仿宋_GB2312" w:cs="仿宋_GB2312"/>
          <w:color w:val="auto"/>
          <w:sz w:val="32"/>
          <w:szCs w:val="32"/>
        </w:rPr>
        <w:t>万</w:t>
      </w:r>
      <w:r>
        <w:rPr>
          <w:rFonts w:hint="eastAsia" w:ascii="仿宋_GB2312" w:hAnsi="仿宋_GB2312" w:eastAsia="仿宋_GB2312" w:cs="仿宋_GB2312"/>
          <w:sz w:val="32"/>
          <w:szCs w:val="32"/>
        </w:rPr>
        <w:t>元，完成年初预算的</w:t>
      </w:r>
      <w:r>
        <w:rPr>
          <w:rFonts w:hint="eastAsia" w:ascii="仿宋_GB2312" w:hAnsi="仿宋_GB2312" w:eastAsia="仿宋_GB2312" w:cs="仿宋_GB2312"/>
          <w:sz w:val="32"/>
          <w:szCs w:val="32"/>
          <w:lang w:val="en-US" w:eastAsia="zh-CN"/>
        </w:rPr>
        <w:t>96.74</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是部分预算项目尚未完成</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eastAsia" w:ascii="仿宋_GB2312" w:hAnsi="仿宋_GB2312" w:eastAsia="仿宋_GB2312" w:cs="仿宋_GB2312"/>
          <w:sz w:val="32"/>
          <w:szCs w:val="32"/>
        </w:rPr>
      </w:pPr>
      <w:r>
        <w:rPr>
          <w:rFonts w:hint="eastAsia" w:ascii="仿宋_GB2312" w:hAnsi="宋体" w:eastAsia="仿宋_GB2312" w:cs="Courier New"/>
          <w:b/>
          <w:bCs/>
          <w:sz w:val="32"/>
          <w:szCs w:val="32"/>
        </w:rPr>
        <w:t>2、一般公共服务（类）</w:t>
      </w:r>
      <w:r>
        <w:rPr>
          <w:rFonts w:hint="eastAsia" w:ascii="仿宋_GB2312" w:hAnsi="宋体" w:eastAsia="仿宋_GB2312" w:cs="Courier New"/>
          <w:b/>
          <w:bCs/>
          <w:sz w:val="32"/>
          <w:szCs w:val="32"/>
          <w:lang w:eastAsia="zh-CN"/>
        </w:rPr>
        <w:t>市场监督</w:t>
      </w:r>
      <w:r>
        <w:rPr>
          <w:rFonts w:hint="eastAsia" w:ascii="仿宋_GB2312" w:hAnsi="宋体" w:eastAsia="仿宋_GB2312" w:cs="Courier New"/>
          <w:b/>
          <w:bCs/>
          <w:sz w:val="32"/>
          <w:szCs w:val="32"/>
        </w:rPr>
        <w:t>管理事务（款）</w:t>
      </w:r>
      <w:r>
        <w:rPr>
          <w:rFonts w:hint="eastAsia" w:ascii="仿宋_GB2312" w:hAnsi="宋体" w:eastAsia="仿宋_GB2312" w:cs="Courier New"/>
          <w:b/>
          <w:bCs/>
          <w:sz w:val="32"/>
          <w:szCs w:val="32"/>
          <w:lang w:eastAsia="zh-CN"/>
        </w:rPr>
        <w:t>其他市场</w:t>
      </w:r>
      <w:r>
        <w:rPr>
          <w:rFonts w:hint="eastAsia" w:ascii="仿宋_GB2312" w:hAnsi="宋体" w:eastAsia="仿宋_GB2312" w:cs="Courier New"/>
          <w:b/>
          <w:bCs/>
          <w:sz w:val="32"/>
          <w:szCs w:val="32"/>
          <w:lang w:val="en-US" w:eastAsia="zh-CN"/>
        </w:rPr>
        <w:t>监督管理</w:t>
      </w:r>
      <w:r>
        <w:rPr>
          <w:rFonts w:hint="eastAsia" w:ascii="仿宋_GB2312" w:hAnsi="宋体" w:eastAsia="仿宋_GB2312" w:cs="Courier New"/>
          <w:b/>
          <w:bCs/>
          <w:sz w:val="32"/>
          <w:szCs w:val="32"/>
          <w:lang w:eastAsia="zh-CN"/>
        </w:rPr>
        <w:t>事务</w:t>
      </w:r>
      <w:r>
        <w:rPr>
          <w:rFonts w:hint="eastAsia" w:ascii="仿宋_GB2312" w:hAnsi="宋体" w:eastAsia="仿宋_GB2312" w:cs="Courier New"/>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0.00万元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3.57</w:t>
      </w:r>
      <w:r>
        <w:rPr>
          <w:rFonts w:hint="eastAsia" w:ascii="仿宋_GB2312" w:hAnsi="仿宋_GB2312" w:eastAsia="仿宋_GB2312" w:cs="仿宋_GB2312"/>
          <w:sz w:val="32"/>
          <w:szCs w:val="32"/>
        </w:rPr>
        <w:t>万元。决算数与年初预算数存在差异的主要原因是</w:t>
      </w:r>
      <w:r>
        <w:rPr>
          <w:rFonts w:hint="eastAsia" w:ascii="仿宋_GB2312" w:hAnsi="仿宋_GB2312" w:eastAsia="仿宋_GB2312" w:cs="仿宋_GB2312"/>
          <w:sz w:val="32"/>
          <w:szCs w:val="32"/>
          <w:lang w:eastAsia="zh-CN"/>
        </w:rPr>
        <w:t>年中</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val="en-US" w:eastAsia="zh-CN"/>
        </w:rPr>
        <w:t>财政追加</w:t>
      </w:r>
      <w:r>
        <w:rPr>
          <w:rFonts w:hint="eastAsia" w:ascii="仿宋_GB2312" w:hAnsi="仿宋_GB2312" w:eastAsia="仿宋_GB2312" w:cs="仿宋_GB2312"/>
          <w:sz w:val="32"/>
          <w:szCs w:val="32"/>
        </w:rPr>
        <w:t>下达市场监督管理补助专项</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590" w:lineRule="exact"/>
        <w:ind w:firstLine="643" w:firstLineChars="200"/>
        <w:textAlignment w:val="auto"/>
        <w:rPr>
          <w:rFonts w:hint="eastAsia" w:ascii="仿宋_GB2312" w:hAnsi="宋体" w:eastAsia="仿宋_GB2312" w:cs="Courier New"/>
          <w:b/>
          <w:bCs/>
          <w:color w:val="0070C0"/>
          <w:sz w:val="32"/>
          <w:szCs w:val="32"/>
          <w:lang w:eastAsia="zh-CN"/>
        </w:rPr>
      </w:pPr>
      <w:r>
        <w:rPr>
          <w:rFonts w:hint="eastAsia" w:ascii="仿宋_GB2312" w:hAnsi="宋体" w:eastAsia="仿宋_GB2312" w:cs="Courier New"/>
          <w:b/>
          <w:bCs/>
          <w:sz w:val="32"/>
          <w:szCs w:val="32"/>
        </w:rPr>
        <w:t>3、一般公共服务（类）</w:t>
      </w:r>
      <w:r>
        <w:rPr>
          <w:rFonts w:hint="eastAsia" w:ascii="仿宋_GB2312" w:hAnsi="宋体" w:eastAsia="仿宋_GB2312" w:cs="Courier New"/>
          <w:b/>
          <w:bCs/>
          <w:sz w:val="32"/>
          <w:szCs w:val="32"/>
          <w:lang w:eastAsia="zh-CN"/>
        </w:rPr>
        <w:t>群众团体事务</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工会事务</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3.44万元</w:t>
      </w:r>
      <w:r>
        <w:rPr>
          <w:rFonts w:hint="eastAsia" w:ascii="仿宋_GB2312" w:hAnsi="宋体" w:eastAsia="仿宋_GB2312" w:cs="Courier New"/>
          <w:sz w:val="32"/>
          <w:szCs w:val="32"/>
        </w:rPr>
        <w:t>，支出决算为</w:t>
      </w:r>
      <w:r>
        <w:rPr>
          <w:rFonts w:hint="eastAsia" w:ascii="仿宋_GB2312" w:hAnsi="宋体" w:eastAsia="仿宋_GB2312" w:cs="Courier New"/>
          <w:sz w:val="32"/>
          <w:szCs w:val="32"/>
          <w:lang w:val="en-US" w:eastAsia="zh-CN"/>
        </w:rPr>
        <w:t>3.44</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val="0"/>
        <w:snapToGrid w:val="0"/>
        <w:spacing w:line="590" w:lineRule="exact"/>
        <w:ind w:firstLine="642"/>
        <w:textAlignment w:val="auto"/>
        <w:rPr>
          <w:rFonts w:hint="eastAsia" w:ascii="仿宋_GB2312" w:hAnsi="宋体" w:eastAsia="仿宋_GB2312" w:cs="Courier New"/>
          <w:sz w:val="32"/>
          <w:szCs w:val="32"/>
        </w:rPr>
      </w:pPr>
      <w:r>
        <w:rPr>
          <w:rFonts w:hint="eastAsia" w:ascii="仿宋_GB2312" w:hAnsi="宋体" w:eastAsia="仿宋_GB2312" w:cs="Courier New"/>
          <w:b/>
          <w:bCs/>
          <w:sz w:val="32"/>
          <w:szCs w:val="32"/>
          <w:lang w:val="en-US" w:eastAsia="zh-CN"/>
        </w:rPr>
        <w:t>4</w:t>
      </w:r>
      <w:r>
        <w:rPr>
          <w:rFonts w:hint="eastAsia" w:ascii="仿宋_GB2312" w:hAnsi="宋体" w:eastAsia="仿宋_GB2312" w:cs="Courier New"/>
          <w:b/>
          <w:bCs/>
          <w:sz w:val="32"/>
          <w:szCs w:val="32"/>
        </w:rPr>
        <w:t>、社会保障和就业（类）行政事业单位</w:t>
      </w:r>
      <w:r>
        <w:rPr>
          <w:rFonts w:hint="eastAsia" w:ascii="仿宋_GB2312" w:hAnsi="宋体" w:eastAsia="仿宋_GB2312" w:cs="Courier New"/>
          <w:b/>
          <w:bCs/>
          <w:sz w:val="32"/>
          <w:szCs w:val="32"/>
          <w:lang w:eastAsia="zh-CN"/>
        </w:rPr>
        <w:t>养老支出</w:t>
      </w:r>
      <w:r>
        <w:rPr>
          <w:rFonts w:hint="eastAsia" w:ascii="仿宋_GB2312" w:hAnsi="宋体" w:eastAsia="仿宋_GB2312" w:cs="Courier New"/>
          <w:b/>
          <w:bCs/>
          <w:sz w:val="32"/>
          <w:szCs w:val="32"/>
        </w:rPr>
        <w:t>（款）行政单位离退休（项）。</w:t>
      </w:r>
      <w:r>
        <w:rPr>
          <w:rFonts w:hint="eastAsia" w:ascii="仿宋_GB2312" w:hAnsi="宋体" w:eastAsia="仿宋_GB2312" w:cs="Courier New"/>
          <w:sz w:val="32"/>
          <w:szCs w:val="32"/>
        </w:rPr>
        <w:t>年初预算为</w:t>
      </w:r>
      <w:r>
        <w:rPr>
          <w:rFonts w:hint="eastAsia" w:ascii="仿宋_GB2312" w:hAnsi="宋体" w:eastAsia="仿宋_GB2312" w:cs="Courier New"/>
          <w:color w:val="auto"/>
          <w:sz w:val="32"/>
          <w:szCs w:val="32"/>
          <w:lang w:val="en-US" w:eastAsia="zh-CN"/>
        </w:rPr>
        <w:t>19.33</w:t>
      </w:r>
      <w:r>
        <w:rPr>
          <w:rFonts w:hint="eastAsia" w:ascii="仿宋_GB2312" w:hAnsi="宋体" w:eastAsia="仿宋_GB2312" w:cs="Courier New"/>
          <w:sz w:val="32"/>
          <w:szCs w:val="32"/>
        </w:rPr>
        <w:t>，支出决算为</w:t>
      </w:r>
      <w:r>
        <w:rPr>
          <w:rFonts w:hint="eastAsia" w:ascii="仿宋_GB2312" w:hAnsi="宋体" w:eastAsia="仿宋_GB2312" w:cs="Courier New"/>
          <w:sz w:val="32"/>
          <w:szCs w:val="32"/>
          <w:lang w:val="en-US" w:eastAsia="zh-CN"/>
        </w:rPr>
        <w:t>21.04</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108.85</w:t>
      </w:r>
      <w:r>
        <w:rPr>
          <w:rFonts w:hint="eastAsia" w:ascii="仿宋_GB2312" w:hAnsi="宋体" w:eastAsia="仿宋_GB2312" w:cs="Courier New"/>
          <w:sz w:val="32"/>
          <w:szCs w:val="32"/>
        </w:rPr>
        <w:t>%。</w:t>
      </w:r>
      <w:r>
        <w:rPr>
          <w:rFonts w:hint="eastAsia" w:ascii="仿宋_GB2312" w:hAnsi="仿宋_GB2312" w:eastAsia="仿宋_GB2312" w:cs="仿宋_GB2312"/>
          <w:sz w:val="32"/>
          <w:szCs w:val="32"/>
        </w:rPr>
        <w:t>决算数与年初预算数存在差异的主要原因</w:t>
      </w:r>
      <w:r>
        <w:rPr>
          <w:rFonts w:hint="eastAsia" w:ascii="仿宋_GB2312" w:hAnsi="宋体" w:eastAsia="仿宋_GB2312" w:cs="Courier New"/>
          <w:sz w:val="32"/>
          <w:szCs w:val="32"/>
        </w:rPr>
        <w:t>是</w:t>
      </w:r>
      <w:r>
        <w:rPr>
          <w:rFonts w:hint="eastAsia" w:ascii="仿宋_GB2312" w:hAnsi="宋体" w:eastAsia="仿宋_GB2312" w:cs="Courier New"/>
          <w:sz w:val="32"/>
          <w:szCs w:val="32"/>
          <w:lang w:eastAsia="zh-CN"/>
        </w:rPr>
        <w:t>年中增加退休人员</w:t>
      </w:r>
      <w:r>
        <w:rPr>
          <w:rFonts w:hint="eastAsia" w:ascii="仿宋_GB2312" w:hAnsi="宋体" w:eastAsia="仿宋_GB2312" w:cs="Courier New"/>
          <w:sz w:val="32"/>
          <w:szCs w:val="32"/>
        </w:rPr>
        <w:t>。</w:t>
      </w:r>
    </w:p>
    <w:p>
      <w:pPr>
        <w:keepNext w:val="0"/>
        <w:keepLines w:val="0"/>
        <w:pageBreakBefore w:val="0"/>
        <w:kinsoku/>
        <w:wordWrap/>
        <w:overflowPunct/>
        <w:topLinePunct w:val="0"/>
        <w:bidi w:val="0"/>
        <w:adjustRightInd w:val="0"/>
        <w:snapToGrid w:val="0"/>
        <w:spacing w:line="590" w:lineRule="exact"/>
        <w:ind w:firstLine="642"/>
        <w:textAlignment w:val="auto"/>
        <w:rPr>
          <w:rFonts w:hint="eastAsia" w:ascii="仿宋_GB2312" w:hAnsi="仿宋_GB2312" w:eastAsia="仿宋_GB2312" w:cs="仿宋_GB2312"/>
          <w:sz w:val="32"/>
          <w:szCs w:val="32"/>
          <w:highlight w:val="none"/>
          <w:lang w:val="en-US" w:eastAsia="zh-CN"/>
        </w:rPr>
      </w:pPr>
      <w:r>
        <w:rPr>
          <w:rFonts w:hint="eastAsia" w:ascii="仿宋_GB2312" w:hAnsi="宋体" w:eastAsia="仿宋_GB2312" w:cs="Courier New"/>
          <w:b/>
          <w:bCs/>
          <w:sz w:val="32"/>
          <w:szCs w:val="32"/>
          <w:lang w:val="en-US" w:eastAsia="zh-CN"/>
        </w:rPr>
        <w:t>5、</w:t>
      </w:r>
      <w:r>
        <w:rPr>
          <w:rFonts w:hint="eastAsia" w:ascii="仿宋_GB2312" w:hAnsi="宋体" w:eastAsia="仿宋_GB2312" w:cs="Courier New"/>
          <w:b/>
          <w:bCs/>
          <w:sz w:val="32"/>
          <w:szCs w:val="32"/>
        </w:rPr>
        <w:t>社会保障和就业（类）行政事业单位</w:t>
      </w:r>
      <w:r>
        <w:rPr>
          <w:rFonts w:hint="eastAsia" w:ascii="仿宋_GB2312" w:hAnsi="宋体" w:eastAsia="仿宋_GB2312" w:cs="Courier New"/>
          <w:b/>
          <w:bCs/>
          <w:sz w:val="32"/>
          <w:szCs w:val="32"/>
          <w:lang w:eastAsia="zh-CN"/>
        </w:rPr>
        <w:t>养老支出</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机关事业单位基本养老保险缴费支出</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0.00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6.28</w:t>
      </w:r>
      <w:r>
        <w:rPr>
          <w:rFonts w:hint="eastAsia" w:ascii="仿宋_GB2312" w:hAnsi="宋体" w:eastAsia="仿宋_GB2312" w:cs="Courier New"/>
          <w:sz w:val="32"/>
          <w:szCs w:val="32"/>
        </w:rPr>
        <w:t>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主要原因为以前年度结转经费用于本年支出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宋体" w:eastAsia="仿宋_GB2312" w:cs="Courier New"/>
          <w:b/>
          <w:bCs/>
          <w:sz w:val="32"/>
          <w:szCs w:val="32"/>
          <w:lang w:val="en-US" w:eastAsia="zh-CN"/>
        </w:rPr>
        <w:t>6、</w:t>
      </w:r>
      <w:r>
        <w:rPr>
          <w:rFonts w:hint="eastAsia" w:ascii="仿宋_GB2312" w:hAnsi="宋体" w:eastAsia="仿宋_GB2312" w:cs="Courier New"/>
          <w:b/>
          <w:bCs/>
          <w:sz w:val="32"/>
          <w:szCs w:val="32"/>
          <w:lang w:eastAsia="zh-CN"/>
        </w:rPr>
        <w:t>卫生健康支出</w:t>
      </w:r>
      <w:r>
        <w:rPr>
          <w:rFonts w:hint="eastAsia" w:ascii="仿宋_GB2312" w:hAnsi="宋体" w:eastAsia="仿宋_GB2312" w:cs="Courier New"/>
          <w:b/>
          <w:bCs/>
          <w:sz w:val="32"/>
          <w:szCs w:val="32"/>
        </w:rPr>
        <w:t>（类）行政事业单位</w:t>
      </w:r>
      <w:r>
        <w:rPr>
          <w:rFonts w:hint="eastAsia" w:ascii="仿宋_GB2312" w:hAnsi="宋体" w:eastAsia="仿宋_GB2312" w:cs="Courier New"/>
          <w:b/>
          <w:bCs/>
          <w:sz w:val="32"/>
          <w:szCs w:val="32"/>
          <w:lang w:eastAsia="zh-CN"/>
        </w:rPr>
        <w:t>医疗</w:t>
      </w:r>
      <w:r>
        <w:rPr>
          <w:rFonts w:hint="eastAsia" w:ascii="仿宋_GB2312" w:hAnsi="宋体" w:eastAsia="仿宋_GB2312" w:cs="Courier New"/>
          <w:b/>
          <w:bCs/>
          <w:sz w:val="32"/>
          <w:szCs w:val="32"/>
        </w:rPr>
        <w:t>（款）</w:t>
      </w:r>
      <w:r>
        <w:rPr>
          <w:rFonts w:hint="eastAsia" w:ascii="仿宋_GB2312" w:hAnsi="宋体" w:eastAsia="仿宋_GB2312" w:cs="Courier New"/>
          <w:b/>
          <w:bCs/>
          <w:sz w:val="32"/>
          <w:szCs w:val="32"/>
          <w:lang w:eastAsia="zh-CN"/>
        </w:rPr>
        <w:t>行政单位医疗</w:t>
      </w:r>
      <w:r>
        <w:rPr>
          <w:rFonts w:hint="eastAsia" w:ascii="仿宋_GB2312" w:hAnsi="宋体" w:eastAsia="仿宋_GB2312" w:cs="Courier New"/>
          <w:b/>
          <w:bCs/>
          <w:sz w:val="32"/>
          <w:szCs w:val="32"/>
        </w:rPr>
        <w:t>（项）。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0.00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4.24</w:t>
      </w:r>
      <w:r>
        <w:rPr>
          <w:rFonts w:hint="eastAsia" w:ascii="仿宋_GB2312" w:hAnsi="宋体" w:eastAsia="仿宋_GB2312" w:cs="Courier New"/>
          <w:sz w:val="32"/>
          <w:szCs w:val="32"/>
        </w:rPr>
        <w:t>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主要原因为以前年度结转经费用于本年支出</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宋体" w:eastAsia="仿宋_GB2312" w:cs="Courier New"/>
          <w:b/>
          <w:bCs/>
          <w:sz w:val="32"/>
          <w:szCs w:val="32"/>
          <w:lang w:val="en-US" w:eastAsia="zh-CN"/>
        </w:rPr>
        <w:t>7、</w:t>
      </w:r>
      <w:r>
        <w:rPr>
          <w:rFonts w:hint="eastAsia" w:ascii="仿宋_GB2312" w:hAnsi="宋体" w:eastAsia="仿宋_GB2312" w:cs="Courier New"/>
          <w:b/>
          <w:bCs/>
          <w:sz w:val="32"/>
          <w:szCs w:val="32"/>
          <w:lang w:eastAsia="zh-CN"/>
        </w:rPr>
        <w:t>卫生健康支出（类）行政事业单位医疗（款）公务员医疗补助（项）。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0.00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6.14</w:t>
      </w:r>
      <w:r>
        <w:rPr>
          <w:rFonts w:hint="eastAsia" w:ascii="仿宋_GB2312" w:hAnsi="宋体" w:eastAsia="仿宋_GB2312" w:cs="Courier New"/>
          <w:sz w:val="32"/>
          <w:szCs w:val="32"/>
        </w:rPr>
        <w:t>万元，</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color w:val="auto"/>
          <w:sz w:val="32"/>
          <w:szCs w:val="32"/>
          <w:highlight w:val="none"/>
          <w:lang w:val="en-US" w:eastAsia="zh-CN"/>
        </w:rPr>
        <w:t>主要原因为以前年度结转经费用于本年支出</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spacing w:line="590" w:lineRule="exact"/>
        <w:ind w:firstLine="640" w:firstLineChars="200"/>
        <w:textAlignment w:val="auto"/>
        <w:rPr>
          <w:rFonts w:hint="eastAsia" w:ascii="仿宋_GB2312" w:hAnsi="仿宋_GB2312" w:eastAsia="仿宋_GB2312" w:cs="仿宋_GB2312"/>
          <w:sz w:val="32"/>
          <w:szCs w:val="32"/>
          <w:highlight w:val="none"/>
          <w:lang w:eastAsia="zh-CN"/>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年度一般公共预算财政拨款基本支出</w:t>
      </w:r>
      <w:r>
        <w:rPr>
          <w:rFonts w:hint="eastAsia" w:ascii="仿宋_GB2312" w:hAnsi="仿宋_GB2312" w:eastAsia="仿宋_GB2312" w:cs="仿宋_GB2312"/>
          <w:sz w:val="32"/>
          <w:szCs w:val="32"/>
          <w:highlight w:val="none"/>
          <w:lang w:val="en-US" w:eastAsia="zh-CN"/>
        </w:rPr>
        <w:t>813.72</w:t>
      </w:r>
      <w:r>
        <w:rPr>
          <w:rFonts w:hint="eastAsia" w:ascii="仿宋_GB2312" w:hAnsi="仿宋_GB2312" w:eastAsia="仿宋_GB2312" w:cs="仿宋_GB2312"/>
          <w:sz w:val="32"/>
          <w:szCs w:val="32"/>
          <w:highlight w:val="none"/>
        </w:rPr>
        <w:t>万元。其中：人员经费</w:t>
      </w:r>
      <w:r>
        <w:rPr>
          <w:rFonts w:hint="eastAsia" w:ascii="仿宋_GB2312" w:hAnsi="仿宋_GB2312" w:eastAsia="仿宋_GB2312" w:cs="仿宋_GB2312"/>
          <w:sz w:val="32"/>
          <w:szCs w:val="32"/>
          <w:highlight w:val="none"/>
          <w:lang w:val="en-US" w:eastAsia="zh-CN"/>
        </w:rPr>
        <w:t>727.39</w:t>
      </w:r>
      <w:r>
        <w:rPr>
          <w:rFonts w:hint="eastAsia" w:ascii="仿宋_GB2312" w:hAnsi="仿宋_GB2312" w:eastAsia="仿宋_GB2312" w:cs="仿宋_GB2312"/>
          <w:sz w:val="32"/>
          <w:szCs w:val="32"/>
          <w:highlight w:val="none"/>
        </w:rPr>
        <w:t>万元，主要包括：基本工资、津贴补贴、</w:t>
      </w:r>
      <w:r>
        <w:rPr>
          <w:rFonts w:hint="eastAsia" w:ascii="仿宋_GB2312" w:hAnsi="仿宋_GB2312" w:eastAsia="仿宋_GB2312" w:cs="仿宋_GB2312"/>
          <w:sz w:val="32"/>
          <w:szCs w:val="32"/>
          <w:highlight w:val="none"/>
          <w:lang w:eastAsia="zh-CN"/>
        </w:rPr>
        <w:t>奖金、</w:t>
      </w:r>
      <w:r>
        <w:rPr>
          <w:rFonts w:hint="eastAsia" w:ascii="仿宋_GB2312" w:hAnsi="仿宋_GB2312" w:eastAsia="仿宋_GB2312" w:cs="仿宋_GB2312"/>
          <w:sz w:val="32"/>
          <w:szCs w:val="32"/>
          <w:highlight w:val="none"/>
        </w:rPr>
        <w:t>机关事业单位基本养老保险缴费、</w:t>
      </w:r>
      <w:r>
        <w:rPr>
          <w:rFonts w:hint="eastAsia" w:ascii="仿宋_GB2312" w:hAnsi="仿宋_GB2312" w:eastAsia="仿宋_GB2312" w:cs="仿宋_GB2312"/>
          <w:sz w:val="32"/>
          <w:szCs w:val="32"/>
          <w:highlight w:val="none"/>
          <w:lang w:eastAsia="zh-CN"/>
        </w:rPr>
        <w:t>职工基本医疗保险缴费、公务员医疗补助缴费、</w:t>
      </w:r>
      <w:r>
        <w:rPr>
          <w:rFonts w:hint="eastAsia" w:ascii="仿宋_GB2312" w:hAnsi="仿宋_GB2312" w:eastAsia="仿宋_GB2312" w:cs="仿宋_GB2312"/>
          <w:sz w:val="32"/>
          <w:szCs w:val="32"/>
          <w:highlight w:val="none"/>
        </w:rPr>
        <w:t>其他社会保障缴费、</w:t>
      </w:r>
      <w:r>
        <w:rPr>
          <w:rFonts w:hint="eastAsia" w:ascii="仿宋_GB2312" w:hAnsi="仿宋_GB2312" w:eastAsia="仿宋_GB2312" w:cs="仿宋_GB2312"/>
          <w:sz w:val="32"/>
          <w:szCs w:val="32"/>
          <w:highlight w:val="none"/>
          <w:lang w:eastAsia="zh-CN"/>
        </w:rPr>
        <w:t>其他工资福利支出、</w:t>
      </w:r>
      <w:r>
        <w:rPr>
          <w:rFonts w:hint="eastAsia" w:ascii="仿宋_GB2312" w:hAnsi="仿宋_GB2312" w:eastAsia="仿宋_GB2312" w:cs="仿宋_GB2312"/>
          <w:sz w:val="32"/>
          <w:szCs w:val="32"/>
          <w:highlight w:val="none"/>
        </w:rPr>
        <w:t>退休费、住房公积金；公用经费</w:t>
      </w:r>
      <w:r>
        <w:rPr>
          <w:rFonts w:hint="eastAsia" w:ascii="仿宋_GB2312" w:hAnsi="仿宋_GB2312" w:eastAsia="仿宋_GB2312" w:cs="仿宋_GB2312"/>
          <w:sz w:val="32"/>
          <w:szCs w:val="32"/>
          <w:highlight w:val="none"/>
          <w:lang w:val="en-US" w:eastAsia="zh-CN"/>
        </w:rPr>
        <w:t>86.34</w:t>
      </w:r>
      <w:r>
        <w:rPr>
          <w:rFonts w:hint="eastAsia" w:ascii="仿宋_GB2312" w:hAnsi="仿宋_GB2312" w:eastAsia="仿宋_GB2312" w:cs="仿宋_GB2312"/>
          <w:sz w:val="32"/>
          <w:szCs w:val="32"/>
          <w:highlight w:val="none"/>
        </w:rPr>
        <w:t>万元，主要包括：办公费、印刷费、电费、邮电费、物业管理费、差旅费、</w:t>
      </w:r>
      <w:r>
        <w:rPr>
          <w:rFonts w:hint="eastAsia" w:ascii="仿宋_GB2312" w:hAnsi="仿宋_GB2312" w:eastAsia="仿宋_GB2312" w:cs="仿宋_GB2312"/>
          <w:sz w:val="32"/>
          <w:szCs w:val="32"/>
          <w:highlight w:val="none"/>
          <w:lang w:eastAsia="zh-CN"/>
        </w:rPr>
        <w:t>租赁费、</w:t>
      </w:r>
      <w:r>
        <w:rPr>
          <w:rFonts w:hint="eastAsia" w:ascii="仿宋_GB2312" w:hAnsi="仿宋_GB2312" w:eastAsia="仿宋_GB2312" w:cs="仿宋_GB2312"/>
          <w:sz w:val="32"/>
          <w:szCs w:val="32"/>
          <w:highlight w:val="none"/>
        </w:rPr>
        <w:t>会议费、培训费、劳务费、委托业务费、工会经费、福利费、公务用车运行维护费、其他交通费用、其他商品和服务支出</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（一）“三公”经费财政拨款支出决算总体情况说明。</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年度“三公”经费财政拨款支出预算为</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84.00</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年度“三公”经费支出决算数与预算数存在差异的主要原因是</w:t>
      </w:r>
      <w:r>
        <w:rPr>
          <w:rFonts w:hint="eastAsia" w:ascii="仿宋_GB2312" w:eastAsia="仿宋_GB2312"/>
          <w:sz w:val="32"/>
          <w:szCs w:val="32"/>
        </w:rPr>
        <w:t>本年度严格控制公车运行费用和公务接待支出。</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outlineLvl w:val="2"/>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年度“三公”经费财政拨款支出决算中，因公出国（境）费支出决算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%；公务用车购置及运行费支出决算</w:t>
      </w:r>
      <w:r>
        <w:rPr>
          <w:rFonts w:hint="eastAsia" w:ascii="仿宋_GB2312" w:hAnsi="仿宋_GB2312" w:eastAsia="仿宋_GB2312" w:cs="仿宋_GB2312"/>
          <w:sz w:val="32"/>
          <w:szCs w:val="32"/>
          <w:highlight w:val="none"/>
          <w:lang w:val="en-US" w:eastAsia="zh-CN"/>
        </w:rPr>
        <w:t>2.10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84.00</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val="en-US" w:eastAsia="zh-CN"/>
        </w:rPr>
        <w:t>100.00</w:t>
      </w:r>
      <w:r>
        <w:rPr>
          <w:rFonts w:hint="eastAsia" w:ascii="仿宋_GB2312" w:hAnsi="仿宋_GB2312" w:eastAsia="仿宋_GB2312" w:cs="仿宋_GB2312"/>
          <w:sz w:val="32"/>
          <w:szCs w:val="32"/>
          <w:highlight w:val="none"/>
        </w:rPr>
        <w:t>%；公务接待费支出决算</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%。具体情况如下：</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1．因公出国（境）费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万元。决算数与预算数不存在差异。因公出国（境）团组数0个，因公出国（境）人次数0人。</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2．公务用车购置及运行费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2.50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2.10</w:t>
      </w:r>
      <w:r>
        <w:rPr>
          <w:rFonts w:hint="eastAsia" w:ascii="仿宋_GB2312" w:hAnsi="仿宋_GB2312" w:eastAsia="仿宋_GB2312" w:cs="仿宋_GB2312"/>
          <w:sz w:val="32"/>
          <w:szCs w:val="32"/>
          <w:highlight w:val="none"/>
        </w:rPr>
        <w:t>万元，完成预算的</w:t>
      </w:r>
      <w:r>
        <w:rPr>
          <w:rFonts w:hint="eastAsia" w:ascii="仿宋_GB2312" w:hAnsi="仿宋_GB2312" w:eastAsia="仿宋_GB2312" w:cs="仿宋_GB2312"/>
          <w:sz w:val="32"/>
          <w:szCs w:val="32"/>
          <w:highlight w:val="none"/>
          <w:lang w:val="en-US" w:eastAsia="zh-CN"/>
        </w:rPr>
        <w:t>84.00</w:t>
      </w:r>
      <w:r>
        <w:rPr>
          <w:rFonts w:hint="eastAsia" w:ascii="仿宋_GB2312" w:hAnsi="仿宋_GB2312" w:eastAsia="仿宋_GB2312" w:cs="仿宋_GB2312"/>
          <w:sz w:val="32"/>
          <w:szCs w:val="32"/>
          <w:highlight w:val="none"/>
        </w:rPr>
        <w:t>%。决算数与预算数存在差异的主要原因是</w:t>
      </w:r>
      <w:r>
        <w:rPr>
          <w:rFonts w:hint="eastAsia" w:ascii="仿宋_GB2312" w:hAnsi="仿宋_GB2312" w:eastAsia="仿宋_GB2312" w:cs="仿宋_GB2312"/>
          <w:sz w:val="32"/>
          <w:szCs w:val="32"/>
          <w:highlight w:val="none"/>
          <w:lang w:eastAsia="zh-CN"/>
        </w:rPr>
        <w:t>加强车辆管理，严格控制公车运行支出</w:t>
      </w:r>
      <w:r>
        <w:rPr>
          <w:rFonts w:hint="eastAsia" w:ascii="仿宋_GB2312" w:hAnsi="仿宋_GB2312"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公务用车购置支出</w:t>
      </w:r>
      <w:r>
        <w:rPr>
          <w:rFonts w:hint="eastAsia" w:ascii="仿宋_GB2312" w:hAnsi="仿宋_GB2312" w:eastAsia="仿宋_GB2312" w:cs="仿宋_GB2312"/>
          <w:sz w:val="32"/>
          <w:szCs w:val="32"/>
          <w:highlight w:val="none"/>
        </w:rPr>
        <w:t>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万元，购置车辆</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公务用车运行支出</w:t>
      </w:r>
      <w:r>
        <w:rPr>
          <w:rFonts w:hint="eastAsia" w:ascii="仿宋_GB2312" w:hAnsi="仿宋_GB2312" w:eastAsia="仿宋_GB2312" w:cs="仿宋_GB2312"/>
          <w:sz w:val="32"/>
          <w:szCs w:val="32"/>
          <w:highlight w:val="none"/>
          <w:lang w:val="en-US" w:eastAsia="zh-CN"/>
        </w:rPr>
        <w:t>2.10</w:t>
      </w:r>
      <w:r>
        <w:rPr>
          <w:rFonts w:hint="eastAsia" w:ascii="仿宋_GB2312" w:hAnsi="仿宋_GB2312" w:eastAsia="仿宋_GB2312" w:cs="仿宋_GB2312"/>
          <w:sz w:val="32"/>
          <w:szCs w:val="32"/>
          <w:highlight w:val="none"/>
        </w:rPr>
        <w:t>万元。主要用于</w:t>
      </w:r>
      <w:r>
        <w:rPr>
          <w:rFonts w:hint="eastAsia" w:ascii="仿宋_GB2312" w:hAnsi="仿宋_GB2312" w:eastAsia="仿宋_GB2312" w:cs="仿宋_GB2312"/>
          <w:sz w:val="32"/>
          <w:szCs w:val="32"/>
          <w:highlight w:val="none"/>
          <w:lang w:eastAsia="zh-CN"/>
        </w:rPr>
        <w:t>燃料费、维修费、保险费等支出</w:t>
      </w:r>
      <w:r>
        <w:rPr>
          <w:rFonts w:hint="eastAsia" w:ascii="仿宋_GB2312" w:hAnsi="仿宋_GB2312" w:eastAsia="仿宋_GB2312" w:cs="仿宋_GB2312"/>
          <w:sz w:val="32"/>
          <w:szCs w:val="32"/>
          <w:highlight w:val="none"/>
        </w:rPr>
        <w:t>。</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年期末，单位开支财政拨款的公务用车保有量为</w:t>
      </w:r>
      <w:r>
        <w:rPr>
          <w:rFonts w:hint="eastAsia" w:ascii="仿宋_GB2312" w:hAnsi="仿宋_GB2312" w:eastAsia="仿宋_GB2312" w:cs="仿宋_GB2312"/>
          <w:sz w:val="32"/>
          <w:szCs w:val="32"/>
          <w:highlight w:val="none"/>
          <w:lang w:val="en-US" w:eastAsia="zh-CN"/>
        </w:rPr>
        <w:t>4辆</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3.公务接待费</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万元。决算数与预算数</w:t>
      </w:r>
      <w:r>
        <w:rPr>
          <w:rFonts w:hint="eastAsia" w:ascii="仿宋_GB2312" w:hAnsi="仿宋_GB2312" w:eastAsia="仿宋_GB2312" w:cs="仿宋_GB2312"/>
          <w:sz w:val="32"/>
          <w:szCs w:val="32"/>
          <w:highlight w:val="none"/>
          <w:lang w:eastAsia="zh-CN"/>
        </w:rPr>
        <w:t>无</w:t>
      </w:r>
      <w:r>
        <w:rPr>
          <w:rFonts w:hint="eastAsia" w:ascii="仿宋_GB2312" w:hAnsi="仿宋_GB2312" w:eastAsia="仿宋_GB2312" w:cs="仿宋_GB2312"/>
          <w:sz w:val="32"/>
          <w:szCs w:val="32"/>
          <w:highlight w:val="none"/>
        </w:rPr>
        <w:t>差异。其中：</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外宾接待支出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年共接待国（境）外来访团组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个、来访外宾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其他国内公务接待支出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年共接待国内来访团组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个、来宾</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人次（不包括陪同人员）。</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年度政府性基金预算财政拨款支出</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不存在</w:t>
      </w:r>
      <w:r>
        <w:rPr>
          <w:rFonts w:hint="eastAsia" w:ascii="仿宋_GB2312" w:hAnsi="仿宋_GB2312" w:eastAsia="仿宋_GB2312" w:cs="仿宋_GB2312"/>
          <w:sz w:val="32"/>
          <w:szCs w:val="32"/>
          <w:highlight w:val="none"/>
        </w:rPr>
        <w:t>项目年末结转和结余资金数额较大，</w:t>
      </w:r>
      <w:r>
        <w:rPr>
          <w:rFonts w:hint="eastAsia" w:ascii="仿宋_GB2312" w:hAnsi="仿宋_GB2312" w:eastAsia="仿宋_GB2312" w:cs="仿宋_GB2312"/>
          <w:sz w:val="32"/>
          <w:szCs w:val="32"/>
          <w:highlight w:val="none"/>
          <w:lang w:eastAsia="zh-CN"/>
        </w:rPr>
        <w:t>情况说明：</w:t>
      </w:r>
      <w:r>
        <w:rPr>
          <w:rFonts w:hint="eastAsia" w:ascii="仿宋_GB2312" w:hAnsi="仿宋_GB2312" w:eastAsia="仿宋_GB2312" w:cs="仿宋_GB2312"/>
          <w:sz w:val="32"/>
          <w:szCs w:val="32"/>
          <w:highlight w:val="none"/>
        </w:rPr>
        <w:t>我</w:t>
      </w:r>
      <w:r>
        <w:rPr>
          <w:rFonts w:hint="eastAsia" w:ascii="仿宋_GB2312" w:hAnsi="仿宋_GB2312" w:eastAsia="仿宋_GB2312" w:cs="仿宋_GB2312"/>
          <w:sz w:val="32"/>
          <w:szCs w:val="32"/>
          <w:highlight w:val="none"/>
          <w:lang w:val="en-US" w:eastAsia="zh-CN"/>
        </w:rPr>
        <w:t>单位2021年度</w:t>
      </w:r>
      <w:r>
        <w:rPr>
          <w:rFonts w:hint="eastAsia" w:ascii="仿宋_GB2312" w:hAnsi="仿宋_GB2312" w:eastAsia="仿宋_GB2312" w:cs="仿宋_GB2312"/>
          <w:sz w:val="32"/>
          <w:szCs w:val="32"/>
          <w:highlight w:val="none"/>
        </w:rPr>
        <w:t>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年度机关运行经费</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预算为</w:t>
      </w:r>
      <w:r>
        <w:rPr>
          <w:rFonts w:hint="eastAsia" w:ascii="仿宋_GB2312" w:hAnsi="仿宋_GB2312" w:eastAsia="仿宋_GB2312" w:cs="仿宋_GB2312"/>
          <w:sz w:val="32"/>
          <w:szCs w:val="32"/>
          <w:highlight w:val="none"/>
          <w:lang w:val="en-US" w:eastAsia="zh-CN"/>
        </w:rPr>
        <w:t>110.01</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86.34</w:t>
      </w:r>
      <w:r>
        <w:rPr>
          <w:rFonts w:hint="eastAsia" w:ascii="仿宋_GB2312" w:hAnsi="仿宋_GB2312" w:eastAsia="仿宋_GB2312" w:cs="仿宋_GB2312"/>
          <w:sz w:val="32"/>
          <w:szCs w:val="32"/>
          <w:highlight w:val="none"/>
        </w:rPr>
        <w:t>万元，完成</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预算的</w:t>
      </w:r>
      <w:r>
        <w:rPr>
          <w:rFonts w:hint="eastAsia" w:ascii="仿宋_GB2312" w:hAnsi="仿宋_GB2312" w:eastAsia="仿宋_GB2312" w:cs="仿宋_GB2312"/>
          <w:sz w:val="32"/>
          <w:szCs w:val="32"/>
          <w:highlight w:val="none"/>
          <w:lang w:val="en-US" w:eastAsia="zh-CN"/>
        </w:rPr>
        <w:t>78.48</w:t>
      </w:r>
      <w:r>
        <w:rPr>
          <w:rFonts w:hint="eastAsia" w:ascii="仿宋_GB2312" w:hAnsi="仿宋_GB2312" w:eastAsia="仿宋_GB2312" w:cs="仿宋_GB2312"/>
          <w:sz w:val="32"/>
          <w:szCs w:val="32"/>
          <w:highlight w:val="none"/>
        </w:rPr>
        <w:t>%。决算数与</w:t>
      </w:r>
      <w:r>
        <w:rPr>
          <w:rFonts w:hint="eastAsia" w:ascii="仿宋_GB2312" w:hAnsi="仿宋_GB2312" w:eastAsia="仿宋_GB2312" w:cs="仿宋_GB2312"/>
          <w:sz w:val="32"/>
          <w:szCs w:val="32"/>
          <w:highlight w:val="none"/>
          <w:lang w:eastAsia="zh-CN"/>
        </w:rPr>
        <w:t>年初</w:t>
      </w:r>
      <w:r>
        <w:rPr>
          <w:rFonts w:hint="eastAsia" w:ascii="仿宋_GB2312" w:hAnsi="仿宋_GB2312" w:eastAsia="仿宋_GB2312" w:cs="仿宋_GB2312"/>
          <w:sz w:val="32"/>
          <w:szCs w:val="32"/>
          <w:highlight w:val="none"/>
        </w:rPr>
        <w:t>预算数存在差异的主要原因是</w:t>
      </w:r>
      <w:r>
        <w:rPr>
          <w:rFonts w:hint="eastAsia" w:ascii="仿宋_GB2312" w:eastAsia="仿宋_GB2312" w:cs="宋体"/>
          <w:kern w:val="0"/>
          <w:sz w:val="32"/>
          <w:szCs w:val="32"/>
          <w:highlight w:val="none"/>
          <w:lang w:val="zh-CN"/>
        </w:rPr>
        <w:t>严格落实中央八项规定，厉行节约，压缩各项办公经费开支</w:t>
      </w:r>
      <w:r>
        <w:rPr>
          <w:rFonts w:hint="eastAsia" w:ascii="仿宋_GB2312" w:hAnsi="仿宋_GB2312" w:eastAsia="仿宋_GB2312" w:cs="仿宋_GB2312"/>
          <w:sz w:val="32"/>
          <w:szCs w:val="32"/>
          <w:highlight w:val="none"/>
        </w:rPr>
        <w:t>。</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年度政府采购支出总额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万元，其中：政府采购货物支出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万元、政府采购工程支出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万元、政府采购服务支出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万元。授予中小企业合同金额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万元，其中：授予小微企业合同金额</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2021</w:t>
      </w:r>
      <w:r>
        <w:rPr>
          <w:rFonts w:hint="eastAsia" w:ascii="仿宋_GB2312" w:hAnsi="仿宋_GB2312" w:eastAsia="仿宋_GB2312" w:cs="仿宋_GB2312"/>
          <w:sz w:val="32"/>
          <w:szCs w:val="32"/>
          <w:highlight w:val="none"/>
        </w:rPr>
        <w:t>年期末，我单位共有车辆</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辆，其中：省级领导干部用车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辆、主要领导干部用车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辆、机要通信用车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辆、应急保障车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辆、执法执勤用车</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辆、特种专业技术用车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辆、离退休干部用车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辆、其他用车</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辆；单位价值50万元以上通用设备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台（套），单位价值100万元以上专用设备</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台（套）。</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firstLine="640" w:firstLineChars="200"/>
        <w:textAlignment w:val="auto"/>
        <w:outlineLvl w:val="1"/>
        <w:rPr>
          <w:rFonts w:hint="eastAsia" w:ascii="黑体" w:hAnsi="黑体" w:eastAsia="黑体" w:cs="黑体"/>
          <w:sz w:val="32"/>
          <w:szCs w:val="32"/>
          <w:highlight w:val="none"/>
        </w:rPr>
      </w:pPr>
      <w:r>
        <w:rPr>
          <w:rFonts w:hint="eastAsia" w:ascii="黑体" w:hAnsi="黑体" w:eastAsia="黑体" w:cs="黑体"/>
          <w:sz w:val="32"/>
          <w:szCs w:val="32"/>
          <w:highlight w:val="none"/>
        </w:rPr>
        <w:t>预算绩效情况说明</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我单位按照《中共许昌市委 许昌市人民政府关于全面实施预算绩效管理的实施意见》（许发〔2021〕13号）文件要求，对本单位整体支出和项目支出开展全过程预算绩效管理。我单位多次召开相关科室人员会议，加强学习预算绩效相关制度文件，提高对预算绩效管理工作的重视程度，提升预算绩效管理相关人员绩效管理意识和业务水平。并以单位职责为依据，确定单位预算项目和预算额度，清晰描述预算项目开支范围和内容，确定预算项目的绩效目标和评价标准，为预算绩效控制、绩效分析、绩效评价打下了基础。</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（二）单位整体和项目绩效自评结果。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按照《许昌市财政局关于开展2021年度市级预算绩效自评工作的通知》（许财效〔202</w:t>
      </w:r>
      <w:r>
        <w:rPr>
          <w:rFonts w:hint="default" w:ascii="仿宋_GB2312" w:hAnsi="仿宋_GB2312" w:eastAsia="仿宋_GB2312" w:cs="仿宋_GB2312"/>
          <w:color w:val="auto"/>
          <w:sz w:val="32"/>
          <w:szCs w:val="32"/>
          <w:highlight w:val="none"/>
          <w:lang w:val="en" w:eastAsia="zh-CN"/>
        </w:rPr>
        <w:t>2</w:t>
      </w:r>
      <w:r>
        <w:rPr>
          <w:rFonts w:hint="eastAsia" w:ascii="仿宋_GB2312" w:hAnsi="仿宋_GB2312" w:eastAsia="仿宋_GB2312" w:cs="仿宋_GB2312"/>
          <w:color w:val="auto"/>
          <w:sz w:val="32"/>
          <w:szCs w:val="32"/>
          <w:highlight w:val="none"/>
          <w:lang w:val="en-US" w:eastAsia="zh-CN"/>
        </w:rPr>
        <w:t>〕1号）等文件精神，我单位对本单位整体绩效目标和项目支出绩效目标进行了自评。一是单位整体绩效自评情况根据绩效自评的要求，对照自评方案进行研究和部署，按照自评方案的要求，对照各实施项目逐条逐项自评。在自评过程中发现问题，查找原因，及时纠正偏差，为下一步工作夯实基础。二是项目绩效自评情况。我单位共有0个项目批复了绩效目标，项目金额</w:t>
      </w:r>
      <w:r>
        <w:rPr>
          <w:rFonts w:hint="eastAsia" w:ascii="仿宋_GB2312" w:hAnsi="仿宋_GB2312" w:eastAsia="仿宋_GB2312"/>
          <w:sz w:val="32"/>
          <w:szCs w:val="24"/>
          <w:lang w:val="en-US" w:eastAsia="zh-CN"/>
        </w:rPr>
        <w:t>0.00</w:t>
      </w:r>
      <w:r>
        <w:rPr>
          <w:rFonts w:hint="eastAsia" w:ascii="仿宋_GB2312" w:hAnsi="仿宋_GB2312" w:eastAsia="仿宋_GB2312" w:cs="仿宋_GB2312"/>
          <w:color w:val="auto"/>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（三）重点绩效评价结果。</w:t>
      </w:r>
    </w:p>
    <w:p>
      <w:pPr>
        <w:keepNext w:val="0"/>
        <w:keepLines w:val="0"/>
        <w:pageBreakBefore w:val="0"/>
        <w:widowControl/>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2021年度我单位没有开展重点绩效评价的项目。</w:t>
      </w: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widowControl/>
        <w:jc w:val="left"/>
        <w:rPr>
          <w:rFonts w:hint="eastAsia" w:ascii="黑体" w:hAnsi="宋体" w:eastAsia="黑体" w:cs="宋体"/>
          <w:kern w:val="0"/>
          <w:sz w:val="28"/>
          <w:szCs w:val="2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p>
    <w:p>
      <w:pPr>
        <w:jc w:val="both"/>
        <w:outlineLvl w:val="0"/>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pPr>
      <w:r>
        <w:rPr>
          <w:rFonts w:hint="eastAsia" w:ascii="黑体" w:hAnsi="黑体" w:eastAsia="黑体" w:cs="黑体"/>
          <w:sz w:val="48"/>
          <w:szCs w:val="48"/>
          <w:highlight w:val="none"/>
        </w:rPr>
        <w:t>第四部分  名词解释</w:t>
      </w:r>
    </w:p>
    <w:p>
      <w:pPr>
        <w:jc w:val="center"/>
        <w:rPr>
          <w:rFonts w:hint="eastAsia" w:ascii="黑体" w:hAnsi="黑体" w:eastAsia="黑体" w:cs="黑体"/>
          <w:sz w:val="48"/>
          <w:szCs w:val="48"/>
          <w:highlight w:val="none"/>
        </w:rPr>
      </w:pPr>
    </w:p>
    <w:p>
      <w:pPr>
        <w:jc w:val="center"/>
        <w:outlineLvl w:val="0"/>
        <w:rPr>
          <w:rFonts w:hint="eastAsia" w:ascii="黑体" w:hAnsi="黑体" w:eastAsia="黑体" w:cs="黑体"/>
          <w:sz w:val="48"/>
          <w:szCs w:val="48"/>
          <w:highlight w:val="none"/>
        </w:rPr>
        <w:sectPr>
          <w:pgSz w:w="11906" w:h="16838"/>
          <w:pgMar w:top="1440" w:right="1531" w:bottom="1440" w:left="1587" w:header="850" w:footer="992" w:gutter="0"/>
          <w:pgNumType w:fmt="numberInDash"/>
          <w:cols w:space="720" w:num="1"/>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一、财政拨款收入：单位从同级政府财政部门取得的财政预算资金。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七、使用非财政拨款结余：指事业单位使用以前年度积累的非财政拨款结余弥补当年收支差额的金额。</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Cu/G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rPr>
                              <w:rFonts w:hint="eastAsia"/>
                            </w:rPr>
                          </w:pP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GewwJDjAQAAzwMAAA4A&#10;AAAAAAAAAQAgAAAAHgEAAGRycy9lMm9Eb2MueG1sUEsFBgAAAAAGAAYAWQEAAHMFA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2kRv5eIBAADMAwAADgAA&#10;AAAAAAABACAAAAAeAQAAZHJzL2Uyb0RvYy54bWxQSwUGAAAAAAYABgBZAQAAc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FF7307"/>
    <w:multiLevelType w:val="singleLevel"/>
    <w:tmpl w:val="FBFF7307"/>
    <w:lvl w:ilvl="0" w:tentative="0">
      <w:start w:val="1"/>
      <w:numFmt w:val="chineseCounting"/>
      <w:suff w:val="space"/>
      <w:lvlText w:val="第%1部分"/>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abstractNum w:abstractNumId="2">
    <w:nsid w:val="6DFECC18"/>
    <w:multiLevelType w:val="singleLevel"/>
    <w:tmpl w:val="6DFECC18"/>
    <w:lvl w:ilvl="0" w:tentative="0">
      <w:start w:val="1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jNzc3YTRmMDRiOWVjMDkxNzUyZGJmYjE3YmRiMjE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1E303F1"/>
    <w:rsid w:val="0210063F"/>
    <w:rsid w:val="02A3489A"/>
    <w:rsid w:val="02CA138D"/>
    <w:rsid w:val="033646FC"/>
    <w:rsid w:val="03B42718"/>
    <w:rsid w:val="03C75F80"/>
    <w:rsid w:val="0478364D"/>
    <w:rsid w:val="053D4C0D"/>
    <w:rsid w:val="0557532E"/>
    <w:rsid w:val="0799329C"/>
    <w:rsid w:val="08397436"/>
    <w:rsid w:val="085C7B16"/>
    <w:rsid w:val="086F16A7"/>
    <w:rsid w:val="0A0F7225"/>
    <w:rsid w:val="0A2B7D82"/>
    <w:rsid w:val="0ADC40E9"/>
    <w:rsid w:val="0AE607F4"/>
    <w:rsid w:val="0B386127"/>
    <w:rsid w:val="0B451598"/>
    <w:rsid w:val="0BEC73F4"/>
    <w:rsid w:val="0C392698"/>
    <w:rsid w:val="0D447276"/>
    <w:rsid w:val="0E7BAA35"/>
    <w:rsid w:val="10BD36F6"/>
    <w:rsid w:val="11BF0649"/>
    <w:rsid w:val="123E3E08"/>
    <w:rsid w:val="125877B4"/>
    <w:rsid w:val="12A4667E"/>
    <w:rsid w:val="13260CDC"/>
    <w:rsid w:val="133212F4"/>
    <w:rsid w:val="13D22E22"/>
    <w:rsid w:val="13FA0089"/>
    <w:rsid w:val="161C2DFF"/>
    <w:rsid w:val="16373578"/>
    <w:rsid w:val="16D3336B"/>
    <w:rsid w:val="17200028"/>
    <w:rsid w:val="17806C36"/>
    <w:rsid w:val="17A74F62"/>
    <w:rsid w:val="17D30C78"/>
    <w:rsid w:val="181808BC"/>
    <w:rsid w:val="18A47774"/>
    <w:rsid w:val="18D06A98"/>
    <w:rsid w:val="1A8D28EB"/>
    <w:rsid w:val="1A9F2D78"/>
    <w:rsid w:val="1B2E6FD8"/>
    <w:rsid w:val="1B5EA339"/>
    <w:rsid w:val="1B877D21"/>
    <w:rsid w:val="1BFF206C"/>
    <w:rsid w:val="1C4319A9"/>
    <w:rsid w:val="1C6C4AA5"/>
    <w:rsid w:val="1D8B2B4F"/>
    <w:rsid w:val="1DF84E2A"/>
    <w:rsid w:val="1DFEBB75"/>
    <w:rsid w:val="1E443B4B"/>
    <w:rsid w:val="1E994F4A"/>
    <w:rsid w:val="1EAF0224"/>
    <w:rsid w:val="1F2230A4"/>
    <w:rsid w:val="1FCF98FF"/>
    <w:rsid w:val="20210932"/>
    <w:rsid w:val="202448E0"/>
    <w:rsid w:val="20F614FE"/>
    <w:rsid w:val="21302EEA"/>
    <w:rsid w:val="22376FB5"/>
    <w:rsid w:val="22462EF8"/>
    <w:rsid w:val="23E152D7"/>
    <w:rsid w:val="23E730CC"/>
    <w:rsid w:val="23EE2489"/>
    <w:rsid w:val="25406175"/>
    <w:rsid w:val="255D43C8"/>
    <w:rsid w:val="26714EF8"/>
    <w:rsid w:val="26876BDD"/>
    <w:rsid w:val="2714632A"/>
    <w:rsid w:val="27541E73"/>
    <w:rsid w:val="27B0539E"/>
    <w:rsid w:val="29365CF8"/>
    <w:rsid w:val="299469B3"/>
    <w:rsid w:val="29FF6959"/>
    <w:rsid w:val="2A805789"/>
    <w:rsid w:val="2ADC0D75"/>
    <w:rsid w:val="2B4A0E52"/>
    <w:rsid w:val="2BDF8DC0"/>
    <w:rsid w:val="2C975890"/>
    <w:rsid w:val="2DEF21BB"/>
    <w:rsid w:val="2E4A2F05"/>
    <w:rsid w:val="2E7DB70C"/>
    <w:rsid w:val="2ECC1061"/>
    <w:rsid w:val="2EEF3969"/>
    <w:rsid w:val="2FA476AD"/>
    <w:rsid w:val="2FFD4FCA"/>
    <w:rsid w:val="303F7540"/>
    <w:rsid w:val="31DD00BF"/>
    <w:rsid w:val="3293174C"/>
    <w:rsid w:val="32BB38D4"/>
    <w:rsid w:val="32C9376D"/>
    <w:rsid w:val="3319235B"/>
    <w:rsid w:val="33780472"/>
    <w:rsid w:val="33AF0905"/>
    <w:rsid w:val="34655258"/>
    <w:rsid w:val="355932F4"/>
    <w:rsid w:val="35611882"/>
    <w:rsid w:val="36746FC3"/>
    <w:rsid w:val="368763AE"/>
    <w:rsid w:val="37DB2C49"/>
    <w:rsid w:val="37FFBA9A"/>
    <w:rsid w:val="39142E6C"/>
    <w:rsid w:val="395D59E7"/>
    <w:rsid w:val="39A93932"/>
    <w:rsid w:val="3A837285"/>
    <w:rsid w:val="3A915562"/>
    <w:rsid w:val="3ABE0E63"/>
    <w:rsid w:val="3B83319D"/>
    <w:rsid w:val="3B8D4765"/>
    <w:rsid w:val="3C000DBA"/>
    <w:rsid w:val="3CD3CA12"/>
    <w:rsid w:val="3DB7410A"/>
    <w:rsid w:val="3DBF049A"/>
    <w:rsid w:val="3DC045D3"/>
    <w:rsid w:val="3DFFB34B"/>
    <w:rsid w:val="3E1BD959"/>
    <w:rsid w:val="3E504FFB"/>
    <w:rsid w:val="3E615CD0"/>
    <w:rsid w:val="3E9C47F6"/>
    <w:rsid w:val="3ECEFC76"/>
    <w:rsid w:val="3EDAF80C"/>
    <w:rsid w:val="3F8B0112"/>
    <w:rsid w:val="3FAB3095"/>
    <w:rsid w:val="3FB798C7"/>
    <w:rsid w:val="3FE45947"/>
    <w:rsid w:val="3FF7E775"/>
    <w:rsid w:val="3FFFDD7D"/>
    <w:rsid w:val="41242965"/>
    <w:rsid w:val="41B71CC5"/>
    <w:rsid w:val="435671EA"/>
    <w:rsid w:val="440809E9"/>
    <w:rsid w:val="442407A6"/>
    <w:rsid w:val="44805EA1"/>
    <w:rsid w:val="45710696"/>
    <w:rsid w:val="46142B1B"/>
    <w:rsid w:val="47942167"/>
    <w:rsid w:val="47C75559"/>
    <w:rsid w:val="47E60DD0"/>
    <w:rsid w:val="48735039"/>
    <w:rsid w:val="492C684B"/>
    <w:rsid w:val="49500594"/>
    <w:rsid w:val="49E7604E"/>
    <w:rsid w:val="4A6F91CD"/>
    <w:rsid w:val="4BF67CDD"/>
    <w:rsid w:val="4D173441"/>
    <w:rsid w:val="4D603DD6"/>
    <w:rsid w:val="4D7E178D"/>
    <w:rsid w:val="4DB53FB4"/>
    <w:rsid w:val="4DF50B66"/>
    <w:rsid w:val="4DFF7FE8"/>
    <w:rsid w:val="4EBF010F"/>
    <w:rsid w:val="4EED7B9F"/>
    <w:rsid w:val="4F0C7544"/>
    <w:rsid w:val="4F471EB0"/>
    <w:rsid w:val="4FFFE297"/>
    <w:rsid w:val="505C7A00"/>
    <w:rsid w:val="51331326"/>
    <w:rsid w:val="51740A7F"/>
    <w:rsid w:val="51A5541E"/>
    <w:rsid w:val="51C96242"/>
    <w:rsid w:val="53906AE1"/>
    <w:rsid w:val="53CA78E4"/>
    <w:rsid w:val="54353F9D"/>
    <w:rsid w:val="54F46F60"/>
    <w:rsid w:val="55A37BEA"/>
    <w:rsid w:val="55C7559A"/>
    <w:rsid w:val="56362CD2"/>
    <w:rsid w:val="56C1680E"/>
    <w:rsid w:val="56D8466F"/>
    <w:rsid w:val="56F3629C"/>
    <w:rsid w:val="577F5A9F"/>
    <w:rsid w:val="5784687B"/>
    <w:rsid w:val="57846959"/>
    <w:rsid w:val="578E6A87"/>
    <w:rsid w:val="57F222CB"/>
    <w:rsid w:val="57F2F79E"/>
    <w:rsid w:val="59FB1B4B"/>
    <w:rsid w:val="5AC2203A"/>
    <w:rsid w:val="5BDB493B"/>
    <w:rsid w:val="5CBB3334"/>
    <w:rsid w:val="5D115FAF"/>
    <w:rsid w:val="5DED6348"/>
    <w:rsid w:val="5DEDEDA3"/>
    <w:rsid w:val="5F5746BB"/>
    <w:rsid w:val="61C827FF"/>
    <w:rsid w:val="62811722"/>
    <w:rsid w:val="62E75A72"/>
    <w:rsid w:val="63E304FC"/>
    <w:rsid w:val="64571880"/>
    <w:rsid w:val="649125B6"/>
    <w:rsid w:val="652F4C1A"/>
    <w:rsid w:val="657D6283"/>
    <w:rsid w:val="666D37F1"/>
    <w:rsid w:val="67087D8F"/>
    <w:rsid w:val="671F687E"/>
    <w:rsid w:val="67774B40"/>
    <w:rsid w:val="67F415F8"/>
    <w:rsid w:val="682640D1"/>
    <w:rsid w:val="684B73E5"/>
    <w:rsid w:val="687F95C9"/>
    <w:rsid w:val="6A047A2A"/>
    <w:rsid w:val="6A564EFD"/>
    <w:rsid w:val="6BD67AE8"/>
    <w:rsid w:val="6BF890D7"/>
    <w:rsid w:val="6C7F7C77"/>
    <w:rsid w:val="6D523D84"/>
    <w:rsid w:val="6E1B7EF6"/>
    <w:rsid w:val="6EFB7548"/>
    <w:rsid w:val="6F3831C3"/>
    <w:rsid w:val="6F5D4DFE"/>
    <w:rsid w:val="6F8B71C1"/>
    <w:rsid w:val="6FDF8B2A"/>
    <w:rsid w:val="70753482"/>
    <w:rsid w:val="707B522A"/>
    <w:rsid w:val="73194D05"/>
    <w:rsid w:val="73A83B0E"/>
    <w:rsid w:val="73BF6D83"/>
    <w:rsid w:val="744D3EF9"/>
    <w:rsid w:val="74794411"/>
    <w:rsid w:val="751753A4"/>
    <w:rsid w:val="75867C40"/>
    <w:rsid w:val="75B10B26"/>
    <w:rsid w:val="75BD6836"/>
    <w:rsid w:val="76432199"/>
    <w:rsid w:val="767FEC10"/>
    <w:rsid w:val="76E92374"/>
    <w:rsid w:val="76F44829"/>
    <w:rsid w:val="77471B73"/>
    <w:rsid w:val="777F2B8C"/>
    <w:rsid w:val="778959A1"/>
    <w:rsid w:val="77A267C0"/>
    <w:rsid w:val="78882278"/>
    <w:rsid w:val="78B118A6"/>
    <w:rsid w:val="79135044"/>
    <w:rsid w:val="797EBA35"/>
    <w:rsid w:val="7A7D0F99"/>
    <w:rsid w:val="7AFF02EA"/>
    <w:rsid w:val="7B336D95"/>
    <w:rsid w:val="7B7BAE94"/>
    <w:rsid w:val="7B7F027E"/>
    <w:rsid w:val="7BDD4092"/>
    <w:rsid w:val="7BFB8C48"/>
    <w:rsid w:val="7CF99E12"/>
    <w:rsid w:val="7D1F88B9"/>
    <w:rsid w:val="7D7B2513"/>
    <w:rsid w:val="7DDD1DD8"/>
    <w:rsid w:val="7DFAFCC0"/>
    <w:rsid w:val="7DFF55D5"/>
    <w:rsid w:val="7E4A0E7C"/>
    <w:rsid w:val="7EAEE3B8"/>
    <w:rsid w:val="7EDD9603"/>
    <w:rsid w:val="7EFD449D"/>
    <w:rsid w:val="7EFF28E5"/>
    <w:rsid w:val="7EFF5B84"/>
    <w:rsid w:val="7F422CB5"/>
    <w:rsid w:val="7F50D905"/>
    <w:rsid w:val="7F6D0749"/>
    <w:rsid w:val="7FBCDBDE"/>
    <w:rsid w:val="7FBD0CC4"/>
    <w:rsid w:val="7FBE6E95"/>
    <w:rsid w:val="7FD7A2B9"/>
    <w:rsid w:val="7FDE8843"/>
    <w:rsid w:val="7FDF0165"/>
    <w:rsid w:val="7FF7C264"/>
    <w:rsid w:val="7FFBE222"/>
    <w:rsid w:val="7FFFA139"/>
    <w:rsid w:val="9B342605"/>
    <w:rsid w:val="9CAF2E5C"/>
    <w:rsid w:val="9CB3BD1B"/>
    <w:rsid w:val="9F473597"/>
    <w:rsid w:val="ABAAA4D7"/>
    <w:rsid w:val="AFD541EC"/>
    <w:rsid w:val="B057F18D"/>
    <w:rsid w:val="B1FFFEB3"/>
    <w:rsid w:val="B3F47523"/>
    <w:rsid w:val="B75F8CF5"/>
    <w:rsid w:val="BB2F5CF2"/>
    <w:rsid w:val="BBFFCEBE"/>
    <w:rsid w:val="BDD73D88"/>
    <w:rsid w:val="BDE784AE"/>
    <w:rsid w:val="BF6FE8A2"/>
    <w:rsid w:val="BF7EF059"/>
    <w:rsid w:val="BFEA0E9E"/>
    <w:rsid w:val="BFFB2669"/>
    <w:rsid w:val="BFFBE31F"/>
    <w:rsid w:val="CCFB61F7"/>
    <w:rsid w:val="CEDC1975"/>
    <w:rsid w:val="D372A623"/>
    <w:rsid w:val="D7FE7507"/>
    <w:rsid w:val="DDBA89C1"/>
    <w:rsid w:val="DF7B5A1B"/>
    <w:rsid w:val="DFBFADF3"/>
    <w:rsid w:val="DFFBF74B"/>
    <w:rsid w:val="DFFDF7E0"/>
    <w:rsid w:val="E5FFEAA1"/>
    <w:rsid w:val="E7574648"/>
    <w:rsid w:val="E96501FF"/>
    <w:rsid w:val="EBFEFF8F"/>
    <w:rsid w:val="EBFF7670"/>
    <w:rsid w:val="ED7BDA6A"/>
    <w:rsid w:val="EDD755D7"/>
    <w:rsid w:val="EDFAB92F"/>
    <w:rsid w:val="EEBFE4DE"/>
    <w:rsid w:val="EF5B06EF"/>
    <w:rsid w:val="EFFDF996"/>
    <w:rsid w:val="EFFE8262"/>
    <w:rsid w:val="F376D3DE"/>
    <w:rsid w:val="F3FEB740"/>
    <w:rsid w:val="F73AA8BD"/>
    <w:rsid w:val="F7CAC00C"/>
    <w:rsid w:val="F7DB9077"/>
    <w:rsid w:val="F7DEB284"/>
    <w:rsid w:val="F7E564BF"/>
    <w:rsid w:val="F7EA9CF4"/>
    <w:rsid w:val="F7F748B0"/>
    <w:rsid w:val="F7FF1FB4"/>
    <w:rsid w:val="FA96AB6F"/>
    <w:rsid w:val="FBF3CBF1"/>
    <w:rsid w:val="FC59EDCC"/>
    <w:rsid w:val="FDFD6FF8"/>
    <w:rsid w:val="FEC49386"/>
    <w:rsid w:val="FF2D2297"/>
    <w:rsid w:val="FF3F9732"/>
    <w:rsid w:val="FF676E87"/>
    <w:rsid w:val="FF6D003A"/>
    <w:rsid w:val="FF75FFA9"/>
    <w:rsid w:val="FF9DF698"/>
    <w:rsid w:val="FFB17ADF"/>
    <w:rsid w:val="FFDCFF3B"/>
    <w:rsid w:val="FFDF5BE7"/>
    <w:rsid w:val="FFF7A46D"/>
    <w:rsid w:val="FFFBEC79"/>
    <w:rsid w:val="FFFD025F"/>
    <w:rsid w:val="FFFE0286"/>
    <w:rsid w:val="FFFE15DC"/>
    <w:rsid w:val="FFFE6207"/>
    <w:rsid w:val="FFFF5630"/>
    <w:rsid w:val="FFFF9346"/>
    <w:rsid w:val="FFFFEB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3">
    <w:name w:val="Balloon Text"/>
    <w:basedOn w:val="1"/>
    <w:link w:val="11"/>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批注框文本 Char"/>
    <w:link w:val="3"/>
    <w:semiHidden/>
    <w:qFormat/>
    <w:uiPriority w:val="99"/>
    <w:rPr>
      <w:kern w:val="2"/>
      <w:sz w:val="18"/>
      <w:szCs w:val="18"/>
    </w:rPr>
  </w:style>
  <w:style w:type="character" w:customStyle="1" w:styleId="12">
    <w:name w:val="页脚 Char"/>
    <w:link w:val="4"/>
    <w:qFormat/>
    <w:uiPriority w:val="99"/>
    <w:rPr>
      <w:kern w:val="2"/>
      <w:sz w:val="18"/>
      <w:szCs w:val="18"/>
    </w:rPr>
  </w:style>
  <w:style w:type="character" w:customStyle="1" w:styleId="13">
    <w:name w:val="页眉 Char"/>
    <w:link w:val="5"/>
    <w:qFormat/>
    <w:uiPriority w:val="99"/>
    <w:rPr>
      <w:kern w:val="2"/>
      <w:sz w:val="18"/>
      <w:szCs w:val="18"/>
    </w:rPr>
  </w:style>
  <w:style w:type="paragraph" w:customStyle="1" w:styleId="14">
    <w:name w:val="Normal Indent1"/>
    <w:basedOn w:val="1"/>
    <w:qFormat/>
    <w:uiPriority w:val="0"/>
    <w:pPr>
      <w:ind w:firstLine="420" w:firstLineChars="200"/>
    </w:pPr>
  </w:style>
  <w:style w:type="character" w:customStyle="1" w:styleId="15">
    <w:name w:val="font01"/>
    <w:qFormat/>
    <w:uiPriority w:val="0"/>
    <w:rPr>
      <w:rFonts w:hint="eastAsia" w:ascii="宋体" w:hAnsi="宋体" w:eastAsia="宋体" w:cs="宋体"/>
      <w:color w:val="000000"/>
      <w:sz w:val="22"/>
      <w:szCs w:val="22"/>
      <w:u w:val="none"/>
    </w:rPr>
  </w:style>
  <w:style w:type="character" w:customStyle="1" w:styleId="16">
    <w:name w:val="font21"/>
    <w:qFormat/>
    <w:uiPriority w:val="0"/>
    <w:rPr>
      <w:rFonts w:hint="eastAsia" w:ascii="宋体" w:hAnsi="宋体" w:eastAsia="宋体" w:cs="宋体"/>
      <w:color w:val="000000"/>
      <w:sz w:val="22"/>
      <w:szCs w:val="22"/>
      <w:u w:val="none"/>
    </w:rPr>
  </w:style>
  <w:style w:type="character" w:customStyle="1" w:styleId="17">
    <w:name w:val="font51"/>
    <w:qFormat/>
    <w:uiPriority w:val="0"/>
    <w:rPr>
      <w:rFonts w:hint="eastAsia" w:ascii="宋体" w:hAnsi="宋体" w:eastAsia="宋体" w:cs="宋体"/>
      <w:color w:val="000000"/>
      <w:sz w:val="24"/>
      <w:szCs w:val="24"/>
      <w:u w:val="none"/>
    </w:rPr>
  </w:style>
  <w:style w:type="character" w:customStyle="1" w:styleId="18">
    <w:name w:val="font11"/>
    <w:qFormat/>
    <w:uiPriority w:val="0"/>
    <w:rPr>
      <w:rFonts w:hint="eastAsia" w:ascii="宋体" w:hAnsi="宋体" w:eastAsia="宋体" w:cs="宋体"/>
      <w:color w:val="000000"/>
      <w:sz w:val="20"/>
      <w:szCs w:val="20"/>
      <w:u w:val="none"/>
    </w:rPr>
  </w:style>
  <w:style w:type="character" w:customStyle="1" w:styleId="19">
    <w:name w:val="font41"/>
    <w:qFormat/>
    <w:uiPriority w:val="0"/>
    <w:rPr>
      <w:rFonts w:hint="eastAsia" w:ascii="宋体" w:hAnsi="宋体" w:eastAsia="宋体" w:cs="宋体"/>
      <w:color w:val="000000"/>
      <w:sz w:val="24"/>
      <w:szCs w:val="24"/>
      <w:u w:val="none"/>
    </w:rPr>
  </w:style>
  <w:style w:type="paragraph" w:customStyle="1" w:styleId="20">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8069</Words>
  <Characters>9715</Characters>
  <Lines>1</Lines>
  <Paragraphs>1</Paragraphs>
  <TotalTime>124.333333333333</TotalTime>
  <ScaleCrop>false</ScaleCrop>
  <LinksUpToDate>false</LinksUpToDate>
  <CharactersWithSpaces>9931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2007-12-03T11:41:00Z</dcterms:created>
  <dc:creator>管理者</dc:creator>
  <cp:lastModifiedBy>悟の</cp:lastModifiedBy>
  <cp:lastPrinted>2018-07-28T18:50:00Z</cp:lastPrinted>
  <dcterms:modified xsi:type="dcterms:W3CDTF">2023-05-29T03:09:13Z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9C10F73B07EF4BB4A65A68A1070F1613_13</vt:lpwstr>
  </property>
</Properties>
</file>