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color w:val="auto"/>
          <w:kern w:val="0"/>
          <w:sz w:val="28"/>
          <w:szCs w:val="28"/>
          <w:highlight w:val="none"/>
        </w:rPr>
      </w:pPr>
      <w:bookmarkStart w:id="0" w:name="_GoBack"/>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20</w:t>
      </w:r>
      <w:r>
        <w:rPr>
          <w:rFonts w:ascii="黑体" w:hAnsi="黑体" w:eastAsia="黑体" w:cs="黑体"/>
          <w:color w:val="auto"/>
          <w:sz w:val="52"/>
          <w:szCs w:val="52"/>
          <w:highlight w:val="none"/>
        </w:rPr>
        <w:t>21</w:t>
      </w:r>
      <w:r>
        <w:rPr>
          <w:rFonts w:hint="eastAsia" w:ascii="黑体" w:hAnsi="黑体" w:eastAsia="黑体" w:cs="黑体"/>
          <w:color w:val="auto"/>
          <w:sz w:val="52"/>
          <w:szCs w:val="52"/>
          <w:highlight w:val="none"/>
        </w:rPr>
        <w:t>年度</w:t>
      </w:r>
    </w:p>
    <w:p>
      <w:pPr>
        <w:jc w:val="center"/>
        <w:rPr>
          <w:rFonts w:hint="eastAsia" w:ascii="黑体" w:hAnsi="黑体" w:eastAsia="黑体" w:cs="黑体"/>
          <w:color w:val="auto"/>
          <w:sz w:val="52"/>
          <w:szCs w:val="52"/>
          <w:highlight w:val="none"/>
        </w:rPr>
      </w:pPr>
      <w:r>
        <w:rPr>
          <w:rFonts w:hint="eastAsia" w:ascii="黑体" w:hAnsi="黑体" w:eastAsia="黑体" w:cs="黑体"/>
          <w:color w:val="auto"/>
          <w:sz w:val="52"/>
          <w:szCs w:val="52"/>
          <w:highlight w:val="none"/>
        </w:rPr>
        <w:t>许昌市工商行政管理局经济检查支队</w:t>
      </w:r>
      <w:r>
        <w:rPr>
          <w:rFonts w:hint="eastAsia" w:ascii="黑体" w:hAnsi="黑体" w:eastAsia="黑体" w:cs="黑体"/>
          <w:color w:val="auto"/>
          <w:sz w:val="52"/>
          <w:szCs w:val="52"/>
          <w:highlight w:val="none"/>
          <w:lang w:eastAsia="zh-CN"/>
        </w:rPr>
        <w:t>单位</w:t>
      </w:r>
      <w:r>
        <w:rPr>
          <w:rFonts w:hint="eastAsia" w:ascii="黑体" w:hAnsi="黑体" w:eastAsia="黑体" w:cs="黑体"/>
          <w:color w:val="auto"/>
          <w:sz w:val="52"/>
          <w:szCs w:val="52"/>
          <w:highlight w:val="none"/>
        </w:rPr>
        <w:t>决算</w:t>
      </w:r>
    </w:p>
    <w:p>
      <w:pPr>
        <w:jc w:val="center"/>
        <w:rPr>
          <w:rFonts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52"/>
          <w:szCs w:val="52"/>
          <w:highlight w:val="none"/>
        </w:rPr>
      </w:pPr>
    </w:p>
    <w:p>
      <w:pPr>
        <w:jc w:val="center"/>
        <w:rPr>
          <w:rFonts w:hint="eastAsia" w:ascii="黑体" w:hAnsi="黑体" w:eastAsia="黑体" w:cs="黑体"/>
          <w:color w:val="auto"/>
          <w:sz w:val="32"/>
          <w:szCs w:val="32"/>
          <w:highlight w:val="none"/>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color w:val="auto"/>
          <w:sz w:val="32"/>
          <w:szCs w:val="32"/>
          <w:highlight w:val="none"/>
        </w:rPr>
        <w:t>二〇二二年九月</w:t>
      </w:r>
    </w:p>
    <w:p>
      <w:pPr>
        <w:jc w:val="center"/>
        <w:rPr>
          <w:rFonts w:ascii="黑体" w:hAnsi="黑体" w:eastAsia="黑体" w:cs="黑体"/>
          <w:color w:val="auto"/>
          <w:sz w:val="36"/>
          <w:szCs w:val="36"/>
          <w:highlight w:val="none"/>
        </w:rPr>
      </w:pPr>
      <w:r>
        <w:rPr>
          <w:rFonts w:hint="eastAsia" w:ascii="黑体" w:hAnsi="黑体" w:eastAsia="黑体" w:cs="黑体"/>
          <w:color w:val="auto"/>
          <w:sz w:val="36"/>
          <w:szCs w:val="36"/>
          <w:highlight w:val="none"/>
        </w:rPr>
        <w:t>目　　录</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第一部分　许昌市工商行政管理局经济检查支队概况</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lang w:eastAsia="zh-CN"/>
        </w:rPr>
        <w:t>单位</w:t>
      </w:r>
      <w:r>
        <w:rPr>
          <w:rFonts w:hint="eastAsia" w:ascii="宋体" w:hAnsi="宋体" w:cs="宋体"/>
          <w:color w:val="auto"/>
          <w:sz w:val="32"/>
          <w:szCs w:val="32"/>
          <w:highlight w:val="none"/>
        </w:rPr>
        <w:t>职责</w:t>
      </w:r>
    </w:p>
    <w:p>
      <w:pPr>
        <w:numPr>
          <w:ilvl w:val="0"/>
          <w:numId w:val="1"/>
        </w:num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机构设置</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第二部分  2021年度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一、收入支出决算总表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二、收入决算表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三、支出决算表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四、财政拨款收入支出决算总表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五、一般公共预算财政拨款支出决算表</w:t>
      </w:r>
    </w:p>
    <w:p>
      <w:pPr>
        <w:ind w:firstLine="640" w:firstLineChars="200"/>
        <w:jc w:val="left"/>
        <w:rPr>
          <w:rFonts w:ascii="宋体" w:hAnsi="宋体" w:cs="黑体"/>
          <w:color w:val="auto"/>
          <w:sz w:val="32"/>
          <w:szCs w:val="32"/>
          <w:highlight w:val="none"/>
        </w:rPr>
      </w:pPr>
      <w:r>
        <w:rPr>
          <w:rFonts w:hint="eastAsia" w:ascii="宋体" w:hAnsi="宋体" w:cs="黑体"/>
          <w:color w:val="auto"/>
          <w:sz w:val="32"/>
          <w:szCs w:val="32"/>
          <w:highlight w:val="none"/>
        </w:rPr>
        <w:t>六、一般公共预算财政拨款基本支出决算明细表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七、一般公共预算财政拨款“三公”经费支出决算表</w:t>
      </w:r>
    </w:p>
    <w:p>
      <w:pPr>
        <w:ind w:firstLine="640" w:firstLineChars="200"/>
        <w:jc w:val="left"/>
        <w:rPr>
          <w:rFonts w:hint="eastAsia" w:ascii="宋体" w:hAnsi="宋体" w:cs="黑体"/>
          <w:color w:val="auto"/>
          <w:sz w:val="32"/>
          <w:szCs w:val="32"/>
          <w:highlight w:val="none"/>
        </w:rPr>
      </w:pPr>
      <w:r>
        <w:rPr>
          <w:rFonts w:hint="eastAsia" w:ascii="宋体" w:hAnsi="宋体" w:cs="黑体"/>
          <w:color w:val="auto"/>
          <w:sz w:val="32"/>
          <w:szCs w:val="32"/>
          <w:highlight w:val="none"/>
        </w:rPr>
        <w:t>八、政府性基金预算财政拨款收入支出决算表</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第三部分　</w:t>
      </w:r>
      <w:r>
        <w:rPr>
          <w:rFonts w:ascii="黑体" w:hAnsi="黑体" w:eastAsia="黑体" w:cs="黑体"/>
          <w:color w:val="auto"/>
          <w:sz w:val="32"/>
          <w:szCs w:val="32"/>
          <w:highlight w:val="none"/>
        </w:rPr>
        <w:t>2021</w:t>
      </w:r>
      <w:r>
        <w:rPr>
          <w:rFonts w:hint="eastAsia" w:ascii="黑体" w:hAnsi="黑体" w:eastAsia="黑体" w:cs="黑体"/>
          <w:color w:val="auto"/>
          <w:sz w:val="32"/>
          <w:szCs w:val="32"/>
          <w:highlight w:val="none"/>
        </w:rPr>
        <w:t>年度</w:t>
      </w:r>
      <w:r>
        <w:rPr>
          <w:rFonts w:hint="eastAsia" w:ascii="黑体" w:hAnsi="黑体" w:eastAsia="黑体" w:cs="黑体"/>
          <w:color w:val="auto"/>
          <w:sz w:val="32"/>
          <w:szCs w:val="32"/>
          <w:highlight w:val="none"/>
          <w:lang w:eastAsia="zh-CN"/>
        </w:rPr>
        <w:t>单位</w:t>
      </w:r>
      <w:r>
        <w:rPr>
          <w:rFonts w:hint="eastAsia" w:ascii="黑体" w:hAnsi="黑体" w:eastAsia="黑体" w:cs="黑体"/>
          <w:color w:val="auto"/>
          <w:sz w:val="32"/>
          <w:szCs w:val="32"/>
          <w:highlight w:val="none"/>
        </w:rPr>
        <w:t>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一、收入支出决算总体情况说明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二、收入决算情况说明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三、支出决算情况说明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四、财政拨款收入支出决算总体情况说明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五、一般公共预算财政拨款支出决算情况说明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六、一般公共预算财政拨款基本支出决算情况说明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七、一般公共预算财政拨款“三公”经费支出决算情况说明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八、政府性基金预算财政拨款支出决算情况说明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九、机关运行经费支出情况说明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十、政府采购支出情况说明</w:t>
      </w:r>
    </w:p>
    <w:p>
      <w:pPr>
        <w:ind w:firstLine="640" w:firstLineChars="200"/>
        <w:jc w:val="left"/>
        <w:rPr>
          <w:rFonts w:ascii="宋体" w:hAnsi="宋体" w:cs="宋体"/>
          <w:color w:val="auto"/>
          <w:sz w:val="32"/>
          <w:szCs w:val="32"/>
          <w:highlight w:val="none"/>
        </w:rPr>
      </w:pPr>
      <w:r>
        <w:rPr>
          <w:rFonts w:hint="eastAsia" w:ascii="宋体" w:hAnsi="宋体" w:cs="宋体"/>
          <w:color w:val="auto"/>
          <w:sz w:val="32"/>
          <w:szCs w:val="32"/>
          <w:highlight w:val="none"/>
        </w:rPr>
        <w:t>十一、国有资产占用情况说明</w:t>
      </w:r>
    </w:p>
    <w:p>
      <w:pPr>
        <w:ind w:firstLine="640" w:firstLineChars="200"/>
        <w:jc w:val="left"/>
        <w:rPr>
          <w:rFonts w:hint="eastAsia" w:ascii="宋体" w:hAnsi="宋体" w:cs="宋体"/>
          <w:color w:val="auto"/>
          <w:sz w:val="32"/>
          <w:szCs w:val="32"/>
          <w:highlight w:val="none"/>
        </w:rPr>
      </w:pPr>
      <w:r>
        <w:rPr>
          <w:rFonts w:hint="eastAsia" w:ascii="宋体" w:hAnsi="宋体" w:cs="宋体"/>
          <w:color w:val="auto"/>
          <w:sz w:val="32"/>
          <w:szCs w:val="32"/>
          <w:highlight w:val="none"/>
        </w:rPr>
        <w:t>十二、预算绩效情况说明</w:t>
      </w:r>
    </w:p>
    <w:p>
      <w:pPr>
        <w:jc w:val="left"/>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第四部分　　名词解释</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center"/>
        <w:outlineLvl w:val="0"/>
        <w:rPr>
          <w:rFonts w:hint="eastAsia" w:ascii="黑体" w:hAnsi="黑体" w:eastAsia="黑体" w:cs="黑体"/>
          <w:color w:val="auto"/>
          <w:sz w:val="48"/>
          <w:szCs w:val="48"/>
          <w:highlight w:val="none"/>
        </w:rPr>
      </w:pPr>
    </w:p>
    <w:p>
      <w:pPr>
        <w:widowControl/>
        <w:jc w:val="both"/>
        <w:outlineLvl w:val="0"/>
        <w:rPr>
          <w:rFonts w:hint="eastAsia" w:ascii="黑体" w:hAnsi="黑体" w:eastAsia="黑体" w:cs="黑体"/>
          <w:color w:val="auto"/>
          <w:sz w:val="48"/>
          <w:szCs w:val="48"/>
          <w:highlight w:val="none"/>
        </w:rPr>
      </w:pPr>
    </w:p>
    <w:p>
      <w:pPr>
        <w:widowControl/>
        <w:numPr>
          <w:ilvl w:val="0"/>
          <w:numId w:val="2"/>
        </w:num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 xml:space="preserve"> 许昌市工商行政管理局</w:t>
      </w:r>
    </w:p>
    <w:p>
      <w:pPr>
        <w:widowControl/>
        <w:numPr>
          <w:ilvl w:val="0"/>
          <w:numId w:val="0"/>
        </w:numPr>
        <w:ind w:firstLine="3360" w:firstLineChars="700"/>
        <w:jc w:val="both"/>
        <w:outlineLvl w:val="0"/>
        <w:rPr>
          <w:rFonts w:hint="eastAsia" w:ascii="黑体" w:hAnsi="宋体" w:eastAsia="黑体" w:cs="宋体"/>
          <w:color w:val="auto"/>
          <w:kern w:val="0"/>
          <w:sz w:val="28"/>
          <w:szCs w:val="28"/>
          <w:highlight w:val="none"/>
        </w:rPr>
      </w:pPr>
      <w:r>
        <w:rPr>
          <w:rFonts w:hint="eastAsia" w:ascii="黑体" w:hAnsi="黑体" w:eastAsia="黑体" w:cs="黑体"/>
          <w:color w:val="auto"/>
          <w:sz w:val="48"/>
          <w:szCs w:val="48"/>
          <w:highlight w:val="none"/>
        </w:rPr>
        <w:t>经济检查支队概况</w:t>
      </w: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ascii="黑体" w:hAnsi="黑体" w:eastAsia="黑体" w:cs="黑体"/>
          <w:color w:val="auto"/>
          <w:kern w:val="0"/>
          <w:sz w:val="32"/>
          <w:szCs w:val="32"/>
          <w:highlight w:val="none"/>
        </w:rPr>
      </w:pPr>
    </w:p>
    <w:p>
      <w:pPr>
        <w:widowControl/>
        <w:jc w:val="left"/>
        <w:outlineLvl w:val="1"/>
        <w:rPr>
          <w:rFonts w:ascii="黑体" w:hAnsi="黑体" w:eastAsia="黑体" w:cs="黑体"/>
          <w:color w:val="auto"/>
          <w:kern w:val="0"/>
          <w:sz w:val="32"/>
          <w:szCs w:val="32"/>
          <w:highlight w:val="none"/>
        </w:rPr>
      </w:pP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一、</w:t>
      </w:r>
      <w:r>
        <w:rPr>
          <w:rFonts w:hint="eastAsia" w:ascii="黑体" w:hAnsi="黑体" w:eastAsia="黑体" w:cs="黑体"/>
          <w:color w:val="auto"/>
          <w:kern w:val="0"/>
          <w:sz w:val="32"/>
          <w:szCs w:val="32"/>
          <w:highlight w:val="none"/>
          <w:lang w:eastAsia="zh-CN"/>
        </w:rPr>
        <w:t>单位</w:t>
      </w:r>
      <w:r>
        <w:rPr>
          <w:rFonts w:hint="eastAsia" w:ascii="黑体" w:hAnsi="黑体" w:eastAsia="黑体" w:cs="黑体"/>
          <w:bCs/>
          <w:color w:val="auto"/>
          <w:sz w:val="32"/>
          <w:szCs w:val="32"/>
          <w:highlight w:val="none"/>
        </w:rPr>
        <w:t>职责</w:t>
      </w:r>
    </w:p>
    <w:p>
      <w:pPr>
        <w:spacing w:line="590" w:lineRule="exact"/>
        <w:ind w:firstLine="640" w:firstLineChars="200"/>
        <w:rPr>
          <w:rFonts w:hint="eastAsia" w:ascii="仿宋_GB2312" w:hAnsi="宋体" w:eastAsia="仿宋_GB2312" w:cs="宋体"/>
          <w:color w:val="auto"/>
          <w:kern w:val="0"/>
          <w:sz w:val="32"/>
          <w:szCs w:val="32"/>
          <w:highlight w:val="none"/>
        </w:rPr>
      </w:pPr>
      <w:r>
        <w:rPr>
          <w:rFonts w:hint="eastAsia" w:ascii="仿宋_GB2312" w:eastAsia="仿宋_GB2312"/>
          <w:color w:val="auto"/>
          <w:sz w:val="32"/>
          <w:szCs w:val="32"/>
          <w:highlight w:val="none"/>
          <w:shd w:val="clear" w:color="auto" w:fill="FFFFFF"/>
        </w:rPr>
        <w:t>规范行政执法行为，依法查处管辖范围内的重大经济违法案件,会同市局相关科室协调办理跨区域案件;承办市政府、河南省市场监督管理局交办的案件。</w:t>
      </w:r>
    </w:p>
    <w:p>
      <w:pPr>
        <w:widowControl/>
        <w:ind w:firstLine="640" w:firstLineChars="200"/>
        <w:jc w:val="left"/>
        <w:outlineLvl w:val="1"/>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rPr>
        <w:t>二、机构设置</w:t>
      </w:r>
    </w:p>
    <w:p>
      <w:pPr>
        <w:widowControl/>
        <w:spacing w:line="59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许昌市工商行政管理局经济检查支队内设机构4个，包括：办公室、案件审理科和2个经济检查队。</w:t>
      </w:r>
    </w:p>
    <w:p>
      <w:pPr>
        <w:widowControl/>
        <w:spacing w:line="590" w:lineRule="exact"/>
        <w:ind w:firstLine="640" w:firstLineChars="200"/>
        <w:jc w:val="left"/>
        <w:rPr>
          <w:rFonts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从决算单位构成看，许昌市工商行政管理局经济检查支队</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决算包括：本级决算</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lang w:val="en-US" w:eastAsia="zh-CN"/>
        </w:rPr>
        <w:t>1个</w:t>
      </w:r>
      <w:r>
        <w:rPr>
          <w:rFonts w:hint="eastAsia" w:ascii="仿宋_GB2312" w:hAnsi="仿宋_GB2312" w:eastAsia="仿宋_GB2312" w:cs="仿宋_GB2312"/>
          <w:color w:val="auto"/>
          <w:kern w:val="0"/>
          <w:sz w:val="32"/>
          <w:szCs w:val="32"/>
          <w:highlight w:val="none"/>
          <w:lang w:eastAsia="zh-CN"/>
        </w:rPr>
        <w:t>）</w:t>
      </w:r>
      <w:r>
        <w:rPr>
          <w:rFonts w:hint="eastAsia" w:ascii="仿宋_GB2312" w:hAnsi="仿宋_GB2312" w:eastAsia="仿宋_GB2312" w:cs="仿宋_GB2312"/>
          <w:color w:val="auto"/>
          <w:kern w:val="0"/>
          <w:sz w:val="32"/>
          <w:szCs w:val="32"/>
          <w:highlight w:val="none"/>
        </w:rPr>
        <w:t>。</w:t>
      </w:r>
    </w:p>
    <w:p>
      <w:pPr>
        <w:widowControl/>
        <w:spacing w:line="590" w:lineRule="exact"/>
        <w:ind w:firstLine="640" w:firstLineChars="200"/>
        <w:jc w:val="left"/>
        <w:rPr>
          <w:rFonts w:hint="eastAsia" w:ascii="仿宋_GB2312" w:hAnsi="仿宋_GB2312" w:eastAsia="仿宋_GB2312" w:cs="仿宋_GB2312"/>
          <w:color w:val="auto"/>
          <w:kern w:val="0"/>
          <w:sz w:val="32"/>
          <w:szCs w:val="32"/>
          <w:highlight w:val="none"/>
        </w:rPr>
      </w:pPr>
      <w:r>
        <w:rPr>
          <w:rFonts w:hint="eastAsia" w:ascii="仿宋_GB2312" w:hAnsi="仿宋_GB2312" w:eastAsia="仿宋_GB2312" w:cs="仿宋_GB2312"/>
          <w:color w:val="auto"/>
          <w:kern w:val="0"/>
          <w:sz w:val="32"/>
          <w:szCs w:val="32"/>
          <w:highlight w:val="none"/>
        </w:rPr>
        <w:t>纳入本</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202</w:t>
      </w: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rPr>
        <w:t xml:space="preserve"> 年度</w:t>
      </w:r>
      <w:r>
        <w:rPr>
          <w:rFonts w:hint="eastAsia" w:ascii="仿宋_GB2312" w:hAnsi="仿宋_GB2312" w:eastAsia="仿宋_GB2312" w:cs="仿宋_GB2312"/>
          <w:color w:val="auto"/>
          <w:kern w:val="0"/>
          <w:sz w:val="32"/>
          <w:szCs w:val="32"/>
          <w:highlight w:val="none"/>
          <w:lang w:eastAsia="zh-CN"/>
        </w:rPr>
        <w:t>单位</w:t>
      </w:r>
      <w:r>
        <w:rPr>
          <w:rFonts w:hint="eastAsia" w:ascii="仿宋_GB2312" w:hAnsi="仿宋_GB2312" w:eastAsia="仿宋_GB2312" w:cs="仿宋_GB2312"/>
          <w:color w:val="auto"/>
          <w:kern w:val="0"/>
          <w:sz w:val="32"/>
          <w:szCs w:val="32"/>
          <w:highlight w:val="none"/>
        </w:rPr>
        <w:t>决算编制范围的单位共1个，具体是：</w:t>
      </w:r>
    </w:p>
    <w:p>
      <w:pPr>
        <w:widowControl/>
        <w:spacing w:line="590" w:lineRule="exact"/>
        <w:ind w:firstLine="640" w:firstLineChars="200"/>
        <w:jc w:val="left"/>
        <w:rPr>
          <w:rFonts w:hint="eastAsia" w:ascii="黑体" w:hAnsi="宋体" w:eastAsia="黑体" w:cs="宋体"/>
          <w:color w:val="auto"/>
          <w:kern w:val="0"/>
          <w:sz w:val="28"/>
          <w:szCs w:val="28"/>
          <w:highlight w:val="none"/>
        </w:rPr>
      </w:pPr>
      <w:r>
        <w:rPr>
          <w:rFonts w:hint="eastAsia" w:ascii="仿宋_GB2312" w:hAnsi="仿宋_GB2312" w:eastAsia="仿宋_GB2312" w:cs="仿宋_GB2312"/>
          <w:color w:val="auto"/>
          <w:kern w:val="0"/>
          <w:sz w:val="32"/>
          <w:szCs w:val="32"/>
          <w:highlight w:val="none"/>
        </w:rPr>
        <w:t>1. 许昌市工商行政管理局经济检查支队</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第二部分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决算表</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tbl>
      <w:tblPr>
        <w:tblStyle w:val="5"/>
        <w:tblW w:w="12221" w:type="dxa"/>
        <w:tblInd w:w="392" w:type="dxa"/>
        <w:tblLayout w:type="autofit"/>
        <w:tblCellMar>
          <w:top w:w="0" w:type="dxa"/>
          <w:left w:w="108" w:type="dxa"/>
          <w:bottom w:w="0" w:type="dxa"/>
          <w:right w:w="108" w:type="dxa"/>
        </w:tblCellMar>
      </w:tblPr>
      <w:tblGrid>
        <w:gridCol w:w="4370"/>
        <w:gridCol w:w="618"/>
        <w:gridCol w:w="908"/>
        <w:gridCol w:w="4380"/>
        <w:gridCol w:w="213"/>
        <w:gridCol w:w="709"/>
        <w:gridCol w:w="1023"/>
      </w:tblGrid>
      <w:tr>
        <w:tblPrEx>
          <w:tblCellMar>
            <w:top w:w="0" w:type="dxa"/>
            <w:left w:w="108" w:type="dxa"/>
            <w:bottom w:w="0" w:type="dxa"/>
            <w:right w:w="108" w:type="dxa"/>
          </w:tblCellMar>
        </w:tblPrEx>
        <w:trPr>
          <w:trHeight w:val="390" w:hRule="atLeast"/>
        </w:trPr>
        <w:tc>
          <w:tcPr>
            <w:tcW w:w="12221" w:type="dxa"/>
            <w:gridSpan w:val="7"/>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收入支出决算总表</w:t>
            </w:r>
          </w:p>
        </w:tc>
      </w:tr>
      <w:tr>
        <w:tblPrEx>
          <w:tblCellMar>
            <w:top w:w="0" w:type="dxa"/>
            <w:left w:w="108" w:type="dxa"/>
            <w:bottom w:w="0" w:type="dxa"/>
            <w:right w:w="108" w:type="dxa"/>
          </w:tblCellMar>
        </w:tblPrEx>
        <w:trPr>
          <w:trHeight w:val="255" w:hRule="atLeast"/>
        </w:trPr>
        <w:tc>
          <w:tcPr>
            <w:tcW w:w="437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61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0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3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945" w:type="dxa"/>
            <w:gridSpan w:val="3"/>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公开01表</w:t>
            </w:r>
          </w:p>
        </w:tc>
      </w:tr>
      <w:tr>
        <w:tblPrEx>
          <w:tblCellMar>
            <w:top w:w="0" w:type="dxa"/>
            <w:left w:w="108" w:type="dxa"/>
            <w:bottom w:w="0" w:type="dxa"/>
            <w:right w:w="108" w:type="dxa"/>
          </w:tblCellMar>
        </w:tblPrEx>
        <w:trPr>
          <w:trHeight w:val="255" w:hRule="atLeast"/>
        </w:trPr>
        <w:tc>
          <w:tcPr>
            <w:tcW w:w="5896" w:type="dxa"/>
            <w:gridSpan w:val="3"/>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43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945"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896"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收入</w:t>
            </w:r>
          </w:p>
        </w:tc>
        <w:tc>
          <w:tcPr>
            <w:tcW w:w="6325" w:type="dxa"/>
            <w:gridSpan w:val="4"/>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支出</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90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023"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0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23"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479.44</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428.42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三、国有资本经营预算财政拨款收入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四、上级补助收入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五、事业收入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六、经营收入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七、附属单位上缴收入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八、其他收入</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24</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25</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0"/>
                <w:szCs w:val="20"/>
                <w:highlight w:val="none"/>
              </w:rPr>
            </w:pPr>
            <w:r>
              <w:rPr>
                <w:rFonts w:hint="eastAsia" w:ascii="宋体" w:hAnsi="宋体" w:cs="Arial"/>
                <w:color w:val="auto"/>
                <w:kern w:val="0"/>
                <w:sz w:val="20"/>
                <w:szCs w:val="20"/>
                <w:highlight w:val="none"/>
              </w:rPr>
              <w:t>26</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479.44</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使用非财政拨款结余</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结余分配</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年初结转和结余</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79.51</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年末结转和结余</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35.03</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18"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4593" w:type="dxa"/>
            <w:gridSpan w:val="2"/>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1023"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37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618" w:type="dxa"/>
            <w:tcBorders>
              <w:top w:val="nil"/>
              <w:left w:val="nil"/>
              <w:bottom w:val="single" w:color="000000" w:sz="8"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908"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558.96</w:t>
            </w:r>
          </w:p>
        </w:tc>
        <w:tc>
          <w:tcPr>
            <w:tcW w:w="4593" w:type="dxa"/>
            <w:gridSpan w:val="2"/>
            <w:tcBorders>
              <w:top w:val="nil"/>
              <w:left w:val="nil"/>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70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102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558.96</w:t>
            </w:r>
          </w:p>
        </w:tc>
      </w:tr>
      <w:tr>
        <w:tblPrEx>
          <w:tblCellMar>
            <w:top w:w="0" w:type="dxa"/>
            <w:left w:w="108" w:type="dxa"/>
            <w:bottom w:w="0" w:type="dxa"/>
            <w:right w:w="108" w:type="dxa"/>
          </w:tblCellMar>
        </w:tblPrEx>
        <w:trPr>
          <w:trHeight w:val="308" w:hRule="atLeast"/>
        </w:trPr>
        <w:tc>
          <w:tcPr>
            <w:tcW w:w="12221" w:type="dxa"/>
            <w:gridSpan w:val="7"/>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4190" w:type="dxa"/>
        <w:tblInd w:w="93" w:type="dxa"/>
        <w:tblLayout w:type="autofit"/>
        <w:tblCellMar>
          <w:top w:w="0" w:type="dxa"/>
          <w:left w:w="108" w:type="dxa"/>
          <w:bottom w:w="0" w:type="dxa"/>
          <w:right w:w="108" w:type="dxa"/>
        </w:tblCellMar>
      </w:tblPr>
      <w:tblGrid>
        <w:gridCol w:w="401"/>
        <w:gridCol w:w="89"/>
        <w:gridCol w:w="224"/>
        <w:gridCol w:w="164"/>
        <w:gridCol w:w="108"/>
        <w:gridCol w:w="186"/>
        <w:gridCol w:w="3991"/>
        <w:gridCol w:w="955"/>
        <w:gridCol w:w="604"/>
        <w:gridCol w:w="904"/>
        <w:gridCol w:w="655"/>
        <w:gridCol w:w="826"/>
        <w:gridCol w:w="733"/>
        <w:gridCol w:w="583"/>
        <w:gridCol w:w="693"/>
        <w:gridCol w:w="484"/>
        <w:gridCol w:w="650"/>
        <w:gridCol w:w="405"/>
        <w:gridCol w:w="587"/>
        <w:gridCol w:w="577"/>
        <w:gridCol w:w="557"/>
      </w:tblGrid>
      <w:tr>
        <w:tblPrEx>
          <w:tblCellMar>
            <w:top w:w="0" w:type="dxa"/>
            <w:left w:w="108" w:type="dxa"/>
            <w:bottom w:w="0" w:type="dxa"/>
            <w:right w:w="108" w:type="dxa"/>
          </w:tblCellMar>
        </w:tblPrEx>
        <w:trPr>
          <w:trHeight w:val="390" w:hRule="atLeast"/>
        </w:trPr>
        <w:tc>
          <w:tcPr>
            <w:tcW w:w="14190" w:type="dxa"/>
            <w:gridSpan w:val="21"/>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收入决算表</w:t>
            </w:r>
          </w:p>
        </w:tc>
      </w:tr>
      <w:tr>
        <w:tblPrEx>
          <w:tblCellMar>
            <w:top w:w="0" w:type="dxa"/>
            <w:left w:w="108" w:type="dxa"/>
            <w:bottom w:w="0" w:type="dxa"/>
            <w:right w:w="108" w:type="dxa"/>
          </w:tblCellMar>
        </w:tblPrEx>
        <w:trPr>
          <w:trHeight w:val="255" w:hRule="atLeast"/>
        </w:trPr>
        <w:tc>
          <w:tcPr>
            <w:tcW w:w="401"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13"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72"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99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7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34"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126" w:type="dxa"/>
            <w:gridSpan w:val="4"/>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公开02表</w:t>
            </w:r>
          </w:p>
        </w:tc>
      </w:tr>
      <w:tr>
        <w:tblPrEx>
          <w:tblCellMar>
            <w:top w:w="0" w:type="dxa"/>
            <w:left w:w="108" w:type="dxa"/>
            <w:bottom w:w="0" w:type="dxa"/>
            <w:right w:w="108" w:type="dxa"/>
          </w:tblCellMar>
        </w:tblPrEx>
        <w:trPr>
          <w:trHeight w:val="255" w:hRule="atLeast"/>
        </w:trPr>
        <w:tc>
          <w:tcPr>
            <w:tcW w:w="4977" w:type="dxa"/>
            <w:gridSpan w:val="7"/>
            <w:tcBorders>
              <w:top w:val="nil"/>
              <w:left w:val="nil"/>
              <w:bottom w:val="nil"/>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59"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7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34"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126" w:type="dxa"/>
            <w:gridSpan w:val="4"/>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4977" w:type="dxa"/>
            <w:gridSpan w:val="7"/>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本年收入合计</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财政拨款收入</w:t>
            </w:r>
          </w:p>
        </w:tc>
        <w:tc>
          <w:tcPr>
            <w:tcW w:w="1559"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上级补助收入</w:t>
            </w:r>
          </w:p>
        </w:tc>
        <w:tc>
          <w:tcPr>
            <w:tcW w:w="127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事业收入</w:t>
            </w:r>
          </w:p>
        </w:tc>
        <w:tc>
          <w:tcPr>
            <w:tcW w:w="1134"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经营收入</w:t>
            </w:r>
          </w:p>
        </w:tc>
        <w:tc>
          <w:tcPr>
            <w:tcW w:w="992"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附属单位上缴收入</w:t>
            </w:r>
          </w:p>
        </w:tc>
        <w:tc>
          <w:tcPr>
            <w:tcW w:w="113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其他收入</w:t>
            </w:r>
          </w:p>
        </w:tc>
      </w:tr>
      <w:tr>
        <w:tblPrEx>
          <w:tblCellMar>
            <w:top w:w="0" w:type="dxa"/>
            <w:left w:w="108" w:type="dxa"/>
            <w:bottom w:w="0" w:type="dxa"/>
            <w:right w:w="108" w:type="dxa"/>
          </w:tblCellMar>
        </w:tblPrEx>
        <w:trPr>
          <w:trHeight w:val="312" w:hRule="atLeast"/>
        </w:trPr>
        <w:tc>
          <w:tcPr>
            <w:tcW w:w="986" w:type="dxa"/>
            <w:gridSpan w:val="6"/>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3991"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6"/>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6" w:type="dxa"/>
            <w:gridSpan w:val="6"/>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99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59"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7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92"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3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4977" w:type="dxa"/>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559"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276"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992"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13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r>
      <w:tr>
        <w:tblPrEx>
          <w:tblCellMar>
            <w:top w:w="0" w:type="dxa"/>
            <w:left w:w="108" w:type="dxa"/>
            <w:bottom w:w="0" w:type="dxa"/>
            <w:right w:w="108" w:type="dxa"/>
          </w:tblCellMar>
        </w:tblPrEx>
        <w:trPr>
          <w:trHeight w:val="308" w:hRule="atLeast"/>
        </w:trPr>
        <w:tc>
          <w:tcPr>
            <w:tcW w:w="4977" w:type="dxa"/>
            <w:gridSpan w:val="7"/>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479.44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479.44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390.67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390.67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388.57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388.57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382.04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382.04</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65.87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42.78</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42.78</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23.09</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23.09</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22.90</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11.73</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11.73</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6" w:type="dxa"/>
            <w:gridSpan w:val="6"/>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3991"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11.17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11.17</w:t>
            </w:r>
          </w:p>
        </w:tc>
        <w:tc>
          <w:tcPr>
            <w:tcW w:w="1559"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992"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3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4190" w:type="dxa"/>
            <w:gridSpan w:val="21"/>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本年度取得的各项收入情况。本表金额转换为万元时，因四舍五入可能存在尾差。</w:t>
            </w:r>
          </w:p>
        </w:tc>
      </w:tr>
      <w:tr>
        <w:tblPrEx>
          <w:tblCellMar>
            <w:top w:w="0" w:type="dxa"/>
            <w:left w:w="108" w:type="dxa"/>
            <w:bottom w:w="0" w:type="dxa"/>
            <w:right w:w="108" w:type="dxa"/>
          </w:tblCellMar>
        </w:tblPrEx>
        <w:trPr>
          <w:trHeight w:val="308" w:hRule="atLeast"/>
        </w:trPr>
        <w:tc>
          <w:tcPr>
            <w:tcW w:w="14190" w:type="dxa"/>
            <w:gridSpan w:val="21"/>
            <w:tcBorders>
              <w:top w:val="nil"/>
              <w:left w:val="nil"/>
              <w:bottom w:val="nil"/>
              <w:right w:val="nil"/>
            </w:tcBorders>
            <w:noWrap/>
            <w:vAlign w:val="center"/>
          </w:tcPr>
          <w:p>
            <w:pPr>
              <w:widowControl/>
              <w:ind w:firstLine="6000" w:firstLineChars="2000"/>
              <w:jc w:val="both"/>
              <w:rPr>
                <w:rFonts w:ascii="宋体" w:hAnsi="宋体" w:cs="Arial"/>
                <w:color w:val="auto"/>
                <w:kern w:val="0"/>
                <w:sz w:val="30"/>
                <w:szCs w:val="30"/>
                <w:highlight w:val="none"/>
              </w:rPr>
            </w:pPr>
            <w:r>
              <w:rPr>
                <w:rFonts w:hint="eastAsia" w:ascii="宋体" w:hAnsi="宋体" w:cs="Arial"/>
                <w:color w:val="auto"/>
                <w:kern w:val="0"/>
                <w:sz w:val="30"/>
                <w:szCs w:val="30"/>
                <w:highlight w:val="none"/>
              </w:rPr>
              <w:t>支出决算表</w:t>
            </w:r>
          </w:p>
        </w:tc>
      </w:tr>
      <w:tr>
        <w:tblPrEx>
          <w:tblCellMar>
            <w:top w:w="0" w:type="dxa"/>
            <w:left w:w="108" w:type="dxa"/>
            <w:bottom w:w="0" w:type="dxa"/>
            <w:right w:w="108" w:type="dxa"/>
          </w:tblCellMar>
        </w:tblPrEx>
        <w:trPr>
          <w:gridAfter w:val="1"/>
          <w:wAfter w:w="557" w:type="dxa"/>
          <w:trHeight w:val="255" w:hRule="atLeast"/>
        </w:trPr>
        <w:tc>
          <w:tcPr>
            <w:tcW w:w="328"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5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1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132" w:type="dxa"/>
            <w:gridSpan w:val="3"/>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508"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481"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31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77"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19" w:type="dxa"/>
            <w:gridSpan w:val="4"/>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公开03表</w:t>
            </w:r>
          </w:p>
        </w:tc>
      </w:tr>
      <w:tr>
        <w:tblPrEx>
          <w:tblCellMar>
            <w:top w:w="0" w:type="dxa"/>
            <w:left w:w="108" w:type="dxa"/>
            <w:bottom w:w="0" w:type="dxa"/>
            <w:right w:w="108" w:type="dxa"/>
          </w:tblCellMar>
        </w:tblPrEx>
        <w:trPr>
          <w:gridAfter w:val="1"/>
          <w:wAfter w:w="557" w:type="dxa"/>
          <w:trHeight w:val="255" w:hRule="atLeast"/>
        </w:trPr>
        <w:tc>
          <w:tcPr>
            <w:tcW w:w="5932" w:type="dxa"/>
            <w:gridSpan w:val="8"/>
            <w:tcBorders>
              <w:top w:val="nil"/>
              <w:left w:val="nil"/>
              <w:bottom w:val="nil"/>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1508"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481"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316"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77" w:type="dxa"/>
            <w:gridSpan w:val="2"/>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19" w:type="dxa"/>
            <w:gridSpan w:val="4"/>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1508"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本年支出合计</w:t>
            </w:r>
          </w:p>
        </w:tc>
        <w:tc>
          <w:tcPr>
            <w:tcW w:w="1481"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1316"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c>
          <w:tcPr>
            <w:tcW w:w="1177" w:type="dxa"/>
            <w:gridSpan w:val="2"/>
            <w:vMerge w:val="restart"/>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上缴上级支出</w:t>
            </w:r>
          </w:p>
        </w:tc>
        <w:tc>
          <w:tcPr>
            <w:tcW w:w="1055"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经营支出</w:t>
            </w:r>
          </w:p>
        </w:tc>
        <w:tc>
          <w:tcPr>
            <w:tcW w:w="1164" w:type="dxa"/>
            <w:gridSpan w:val="2"/>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对附属单位补助支出</w:t>
            </w: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132" w:type="dxa"/>
            <w:gridSpan w:val="3"/>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132"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557" w:type="dxa"/>
          <w:trHeight w:val="312" w:hRule="atLeast"/>
        </w:trPr>
        <w:tc>
          <w:tcPr>
            <w:tcW w:w="800" w:type="dxa"/>
            <w:gridSpan w:val="5"/>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132" w:type="dxa"/>
            <w:gridSpan w:val="3"/>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508"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481"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316"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77" w:type="dxa"/>
            <w:gridSpan w:val="2"/>
            <w:vMerge w:val="continue"/>
            <w:tcBorders>
              <w:top w:val="single" w:color="000000" w:sz="4" w:space="0"/>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055"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4" w:type="dxa"/>
            <w:gridSpan w:val="2"/>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508"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481"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316"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77"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055"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64" w:type="dxa"/>
            <w:gridSpan w:val="2"/>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r>
      <w:tr>
        <w:tblPrEx>
          <w:tblCellMar>
            <w:top w:w="0" w:type="dxa"/>
            <w:left w:w="108" w:type="dxa"/>
            <w:bottom w:w="0" w:type="dxa"/>
            <w:right w:w="108" w:type="dxa"/>
          </w:tblCellMar>
        </w:tblPrEx>
        <w:trPr>
          <w:gridAfter w:val="1"/>
          <w:wAfter w:w="557" w:type="dxa"/>
          <w:trHeight w:val="308" w:hRule="atLeast"/>
        </w:trPr>
        <w:tc>
          <w:tcPr>
            <w:tcW w:w="5932" w:type="dxa"/>
            <w:gridSpan w:val="8"/>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523.92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514.90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b/>
                <w:bCs/>
                <w:color w:val="auto"/>
                <w:kern w:val="0"/>
                <w:sz w:val="22"/>
                <w:highlight w:val="none"/>
              </w:rPr>
            </w:pPr>
            <w:r>
              <w:rPr>
                <w:rFonts w:hint="eastAsia" w:ascii="宋体" w:hAnsi="宋体" w:cs="Arial"/>
                <w:b/>
                <w:bCs/>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428.42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419.40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426.32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市场秩序执法</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2.50</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45.38</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45.38</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26.30</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26.30</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800" w:type="dxa"/>
            <w:gridSpan w:val="5"/>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5132" w:type="dxa"/>
            <w:gridSpan w:val="3"/>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1508"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11.94</w:t>
            </w:r>
          </w:p>
        </w:tc>
        <w:tc>
          <w:tcPr>
            <w:tcW w:w="1481"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11.94</w:t>
            </w:r>
          </w:p>
        </w:tc>
        <w:tc>
          <w:tcPr>
            <w:tcW w:w="1316"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77"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055"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64" w:type="dxa"/>
            <w:gridSpan w:val="2"/>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gridAfter w:val="1"/>
          <w:wAfter w:w="557" w:type="dxa"/>
          <w:trHeight w:val="308" w:hRule="atLeast"/>
        </w:trPr>
        <w:tc>
          <w:tcPr>
            <w:tcW w:w="13633" w:type="dxa"/>
            <w:gridSpan w:val="20"/>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本年度各项支出情况。本表金额转换为万元时，因四舍五入可能存在尾差。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color w:val="auto"/>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2720" w:type="dxa"/>
        <w:tblInd w:w="93" w:type="dxa"/>
        <w:tblLayout w:type="autofit"/>
        <w:tblCellMar>
          <w:top w:w="0" w:type="dxa"/>
          <w:left w:w="108" w:type="dxa"/>
          <w:bottom w:w="0" w:type="dxa"/>
          <w:right w:w="108" w:type="dxa"/>
        </w:tblCellMar>
      </w:tblPr>
      <w:tblGrid>
        <w:gridCol w:w="2890"/>
        <w:gridCol w:w="580"/>
        <w:gridCol w:w="1220"/>
        <w:gridCol w:w="3330"/>
        <w:gridCol w:w="580"/>
        <w:gridCol w:w="876"/>
        <w:gridCol w:w="1180"/>
        <w:gridCol w:w="1129"/>
        <w:gridCol w:w="1121"/>
      </w:tblGrid>
      <w:tr>
        <w:tblPrEx>
          <w:tblCellMar>
            <w:top w:w="0" w:type="dxa"/>
            <w:left w:w="108" w:type="dxa"/>
            <w:bottom w:w="0" w:type="dxa"/>
            <w:right w:w="108" w:type="dxa"/>
          </w:tblCellMar>
        </w:tblPrEx>
        <w:trPr>
          <w:trHeight w:val="390" w:hRule="atLeast"/>
        </w:trPr>
        <w:tc>
          <w:tcPr>
            <w:tcW w:w="12720" w:type="dxa"/>
            <w:gridSpan w:val="9"/>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财政拨款收入支出决算总表</w:t>
            </w:r>
          </w:p>
        </w:tc>
      </w:tr>
      <w:tr>
        <w:tblPrEx>
          <w:tblCellMar>
            <w:top w:w="0" w:type="dxa"/>
            <w:left w:w="108" w:type="dxa"/>
            <w:bottom w:w="0" w:type="dxa"/>
            <w:right w:w="108" w:type="dxa"/>
          </w:tblCellMar>
        </w:tblPrEx>
        <w:trPr>
          <w:trHeight w:val="255" w:hRule="atLeast"/>
        </w:trPr>
        <w:tc>
          <w:tcPr>
            <w:tcW w:w="289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2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33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69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50"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公开04表</w:t>
            </w:r>
          </w:p>
        </w:tc>
      </w:tr>
      <w:tr>
        <w:tblPrEx>
          <w:tblCellMar>
            <w:top w:w="0" w:type="dxa"/>
            <w:left w:w="108" w:type="dxa"/>
            <w:bottom w:w="0" w:type="dxa"/>
            <w:right w:w="108" w:type="dxa"/>
          </w:tblCellMar>
        </w:tblPrEx>
        <w:trPr>
          <w:trHeight w:val="255" w:hRule="atLeast"/>
        </w:trPr>
        <w:tc>
          <w:tcPr>
            <w:tcW w:w="4690" w:type="dxa"/>
            <w:gridSpan w:val="3"/>
            <w:tcBorders>
              <w:top w:val="nil"/>
              <w:left w:val="nil"/>
              <w:bottom w:val="nil"/>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333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69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50"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4690"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收     入</w:t>
            </w:r>
          </w:p>
        </w:tc>
        <w:tc>
          <w:tcPr>
            <w:tcW w:w="8030"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支     出</w:t>
            </w:r>
          </w:p>
        </w:tc>
      </w:tr>
      <w:tr>
        <w:tblPrEx>
          <w:tblCellMar>
            <w:top w:w="0" w:type="dxa"/>
            <w:left w:w="108" w:type="dxa"/>
            <w:bottom w:w="0" w:type="dxa"/>
            <w:right w:w="108" w:type="dxa"/>
          </w:tblCellMar>
        </w:tblPrEx>
        <w:trPr>
          <w:trHeight w:val="312" w:hRule="atLeast"/>
        </w:trPr>
        <w:tc>
          <w:tcPr>
            <w:tcW w:w="289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12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金额</w:t>
            </w:r>
          </w:p>
        </w:tc>
        <w:tc>
          <w:tcPr>
            <w:tcW w:w="33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行次</w:t>
            </w:r>
          </w:p>
        </w:tc>
        <w:tc>
          <w:tcPr>
            <w:tcW w:w="690"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一般公共预算财政拨款</w:t>
            </w:r>
          </w:p>
        </w:tc>
        <w:tc>
          <w:tcPr>
            <w:tcW w:w="1129"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政府性基金预算财政拨款</w:t>
            </w:r>
          </w:p>
        </w:tc>
        <w:tc>
          <w:tcPr>
            <w:tcW w:w="1121"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国有资本经营预算财政拨款</w:t>
            </w:r>
          </w:p>
        </w:tc>
      </w:tr>
      <w:tr>
        <w:tblPrEx>
          <w:tblCellMar>
            <w:top w:w="0" w:type="dxa"/>
            <w:left w:w="108" w:type="dxa"/>
            <w:bottom w:w="0" w:type="dxa"/>
            <w:right w:w="108" w:type="dxa"/>
          </w:tblCellMar>
        </w:tblPrEx>
        <w:trPr>
          <w:trHeight w:val="615" w:hRule="atLeast"/>
        </w:trPr>
        <w:tc>
          <w:tcPr>
            <w:tcW w:w="289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3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69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1"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2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69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129"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21"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479.44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一、一般公共服务支出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428.42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428.42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二、政府性基金预算财政拨款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二、外交支出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三、国有资本经营财政拨款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三、国防支出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四、公共安全支出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五、教育支出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六、科学技术支出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七、文化旅游体育与传媒支出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八、社会保障和就业支出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九、卫生健康支出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十、节能环保支出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十一、城乡社区支出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十二、农林水支出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十三、交通运输支出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十四、资源勘探工业信息等支出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十五、商业服务业等支出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十六、金融支出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十七、援助其他地区支出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十八、自然资源海洋气象等支出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十九、住房保障支出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二十、粮油物资储备支出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二十一、国有资本经营预算支出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二十二、灾害防治及应急管理支出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23</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二十三、其他支出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55</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0"/>
                <w:szCs w:val="20"/>
                <w:highlight w:val="none"/>
              </w:rPr>
            </w:pPr>
            <w:r>
              <w:rPr>
                <w:rFonts w:hint="eastAsia" w:ascii="宋体" w:hAnsi="宋体" w:cs="Arial"/>
                <w:b/>
                <w:bCs/>
                <w:color w:val="auto"/>
                <w:kern w:val="0"/>
                <w:sz w:val="20"/>
                <w:szCs w:val="20"/>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24</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二十四、债务还本支出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56</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25</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二十五、债务付息支出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57</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0"/>
                <w:szCs w:val="20"/>
                <w:highlight w:val="none"/>
              </w:rPr>
            </w:pPr>
            <w:r>
              <w:rPr>
                <w:rFonts w:hint="eastAsia" w:ascii="宋体" w:hAnsi="宋体" w:cs="Arial"/>
                <w:color w:val="auto"/>
                <w:kern w:val="0"/>
                <w:sz w:val="20"/>
                <w:szCs w:val="20"/>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26</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二十六、抗疫特别国债安排的支出</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58</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本年收入合计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27</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479.44</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本年支出合计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59</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年初财政拨款结转和结余</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28</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44.48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年末财政拨款结转和结余</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60</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一般公共预算财政拨款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29</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44.48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61</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政府性基金预算财政拨款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30</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62</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国有资本经营预算财政拨款</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31</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63</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2890" w:type="dxa"/>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80" w:type="dxa"/>
            <w:tcBorders>
              <w:top w:val="nil"/>
              <w:left w:val="nil"/>
              <w:bottom w:val="single" w:color="000000" w:sz="8"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32</w:t>
            </w:r>
          </w:p>
        </w:tc>
        <w:tc>
          <w:tcPr>
            <w:tcW w:w="12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c>
          <w:tcPr>
            <w:tcW w:w="3330" w:type="dxa"/>
            <w:tcBorders>
              <w:top w:val="nil"/>
              <w:left w:val="nil"/>
              <w:bottom w:val="single" w:color="000000" w:sz="4" w:space="0"/>
              <w:right w:val="single" w:color="000000" w:sz="4" w:space="0"/>
            </w:tcBorders>
            <w:noWrap/>
            <w:vAlign w:val="center"/>
          </w:tcPr>
          <w:p>
            <w:pPr>
              <w:widowControl/>
              <w:jc w:val="center"/>
              <w:rPr>
                <w:rFonts w:ascii="宋体" w:hAnsi="宋体" w:cs="Arial"/>
                <w:b/>
                <w:bCs/>
                <w:color w:val="auto"/>
                <w:kern w:val="0"/>
                <w:sz w:val="22"/>
                <w:highlight w:val="none"/>
              </w:rPr>
            </w:pPr>
            <w:r>
              <w:rPr>
                <w:rFonts w:hint="eastAsia" w:ascii="宋体" w:hAnsi="宋体" w:cs="Arial"/>
                <w:b/>
                <w:bCs/>
                <w:color w:val="auto"/>
                <w:kern w:val="0"/>
                <w:sz w:val="22"/>
                <w:highlight w:val="none"/>
              </w:rPr>
              <w:t>总计</w:t>
            </w:r>
          </w:p>
        </w:tc>
        <w:tc>
          <w:tcPr>
            <w:tcW w:w="580"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64</w:t>
            </w:r>
          </w:p>
        </w:tc>
        <w:tc>
          <w:tcPr>
            <w:tcW w:w="69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523.92</w:t>
            </w:r>
          </w:p>
        </w:tc>
        <w:tc>
          <w:tcPr>
            <w:tcW w:w="1129"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21"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585" w:hRule="atLeast"/>
        </w:trPr>
        <w:tc>
          <w:tcPr>
            <w:tcW w:w="12720" w:type="dxa"/>
            <w:gridSpan w:val="9"/>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本年度一般公共预算财政拨款、政府性基金预算财政拨款和国有资本经营预算财政拨款的总收支和年末结转结余情况。本表金额转换为万元时，因四舍五入可能存在尾差。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2489" w:type="dxa"/>
        <w:tblInd w:w="93" w:type="dxa"/>
        <w:tblLayout w:type="autofit"/>
        <w:tblCellMar>
          <w:top w:w="0" w:type="dxa"/>
          <w:left w:w="108" w:type="dxa"/>
          <w:bottom w:w="0" w:type="dxa"/>
          <w:right w:w="108" w:type="dxa"/>
        </w:tblCellMar>
      </w:tblPr>
      <w:tblGrid>
        <w:gridCol w:w="400"/>
        <w:gridCol w:w="316"/>
        <w:gridCol w:w="271"/>
        <w:gridCol w:w="5549"/>
        <w:gridCol w:w="1672"/>
        <w:gridCol w:w="2155"/>
        <w:gridCol w:w="2126"/>
      </w:tblGrid>
      <w:tr>
        <w:tblPrEx>
          <w:tblCellMar>
            <w:top w:w="0" w:type="dxa"/>
            <w:left w:w="108" w:type="dxa"/>
            <w:bottom w:w="0" w:type="dxa"/>
            <w:right w:w="108" w:type="dxa"/>
          </w:tblCellMar>
        </w:tblPrEx>
        <w:trPr>
          <w:trHeight w:val="345" w:hRule="atLeast"/>
        </w:trPr>
        <w:tc>
          <w:tcPr>
            <w:tcW w:w="12489" w:type="dxa"/>
            <w:gridSpan w:val="7"/>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一般公共预算财政拨款支出决算表</w:t>
            </w:r>
          </w:p>
        </w:tc>
      </w:tr>
      <w:tr>
        <w:tblPrEx>
          <w:tblCellMar>
            <w:top w:w="0" w:type="dxa"/>
            <w:left w:w="108" w:type="dxa"/>
            <w:bottom w:w="0" w:type="dxa"/>
            <w:right w:w="108" w:type="dxa"/>
          </w:tblCellMar>
        </w:tblPrEx>
        <w:trPr>
          <w:trHeight w:val="225" w:hRule="atLeast"/>
        </w:trPr>
        <w:tc>
          <w:tcPr>
            <w:tcW w:w="40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1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71"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5549"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67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281"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公开05表</w:t>
            </w:r>
          </w:p>
        </w:tc>
      </w:tr>
      <w:tr>
        <w:tblPrEx>
          <w:tblCellMar>
            <w:top w:w="0" w:type="dxa"/>
            <w:left w:w="108" w:type="dxa"/>
            <w:bottom w:w="0" w:type="dxa"/>
            <w:right w:w="108" w:type="dxa"/>
          </w:tblCellMar>
        </w:tblPrEx>
        <w:trPr>
          <w:trHeight w:val="210" w:hRule="atLeast"/>
        </w:trPr>
        <w:tc>
          <w:tcPr>
            <w:tcW w:w="6536" w:type="dxa"/>
            <w:gridSpan w:val="4"/>
            <w:tcBorders>
              <w:top w:val="nil"/>
              <w:left w:val="nil"/>
              <w:bottom w:val="nil"/>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167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281"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536" w:type="dxa"/>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w:t>
            </w:r>
          </w:p>
        </w:tc>
        <w:tc>
          <w:tcPr>
            <w:tcW w:w="5953" w:type="dxa"/>
            <w:gridSpan w:val="3"/>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本年支出</w:t>
            </w:r>
          </w:p>
        </w:tc>
      </w:tr>
      <w:tr>
        <w:tblPrEx>
          <w:tblCellMar>
            <w:top w:w="0" w:type="dxa"/>
            <w:left w:w="108" w:type="dxa"/>
            <w:bottom w:w="0" w:type="dxa"/>
            <w:right w:w="108" w:type="dxa"/>
          </w:tblCellMar>
        </w:tblPrEx>
        <w:trPr>
          <w:trHeight w:val="312" w:hRule="atLeast"/>
        </w:trPr>
        <w:tc>
          <w:tcPr>
            <w:tcW w:w="987"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功能分类科目编码</w:t>
            </w:r>
          </w:p>
        </w:tc>
        <w:tc>
          <w:tcPr>
            <w:tcW w:w="5549" w:type="dxa"/>
            <w:vMerge w:val="restart"/>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67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215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基本支出</w:t>
            </w:r>
          </w:p>
        </w:tc>
        <w:tc>
          <w:tcPr>
            <w:tcW w:w="212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项目支出</w:t>
            </w: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1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1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12" w:hRule="atLeast"/>
        </w:trPr>
        <w:tc>
          <w:tcPr>
            <w:tcW w:w="987" w:type="dxa"/>
            <w:gridSpan w:val="3"/>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5549"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67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15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12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6536"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栏次</w:t>
            </w:r>
          </w:p>
        </w:tc>
        <w:tc>
          <w:tcPr>
            <w:tcW w:w="1672"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2155"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2126" w:type="dxa"/>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r>
      <w:tr>
        <w:tblPrEx>
          <w:tblCellMar>
            <w:top w:w="0" w:type="dxa"/>
            <w:left w:w="108" w:type="dxa"/>
            <w:bottom w:w="0" w:type="dxa"/>
            <w:right w:w="108" w:type="dxa"/>
          </w:tblCellMar>
        </w:tblPrEx>
        <w:trPr>
          <w:trHeight w:val="308" w:hRule="atLeast"/>
        </w:trPr>
        <w:tc>
          <w:tcPr>
            <w:tcW w:w="6536" w:type="dxa"/>
            <w:gridSpan w:val="4"/>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523.92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514.90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b w:val="0"/>
                <w:bCs w:val="0"/>
                <w:color w:val="auto"/>
                <w:kern w:val="0"/>
                <w:sz w:val="22"/>
                <w:highlight w:val="none"/>
              </w:rPr>
            </w:pPr>
            <w:r>
              <w:rPr>
                <w:rFonts w:hint="eastAsia" w:ascii="宋体" w:hAnsi="宋体" w:cs="Arial"/>
                <w:b w:val="0"/>
                <w:bCs w:val="0"/>
                <w:color w:val="auto"/>
                <w:kern w:val="0"/>
                <w:sz w:val="22"/>
                <w:highlight w:val="none"/>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一般公共服务支出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428.42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419.40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群众团体事务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2012906</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市场监督管理事务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426.32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9.02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行政运行</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417.30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市场秩序执法</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2.50</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2013899</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其他市场监督管理事务</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6.52</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社会保障和就业支出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行政事业单位养老支出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71.69</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行政单位离退休</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45.38</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45.38</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2080505</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26.30</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26.30</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卫生健康支出</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行政事业单位医疗</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23.82</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2101101</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行政单位医疗</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11.88</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987" w:type="dxa"/>
            <w:gridSpan w:val="3"/>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2101103</w:t>
            </w:r>
          </w:p>
        </w:tc>
        <w:tc>
          <w:tcPr>
            <w:tcW w:w="5549"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w:t>
            </w:r>
          </w:p>
        </w:tc>
        <w:tc>
          <w:tcPr>
            <w:tcW w:w="167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11.94</w:t>
            </w:r>
          </w:p>
        </w:tc>
        <w:tc>
          <w:tcPr>
            <w:tcW w:w="215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11.94</w:t>
            </w:r>
          </w:p>
        </w:tc>
        <w:tc>
          <w:tcPr>
            <w:tcW w:w="2126"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12489" w:type="dxa"/>
            <w:gridSpan w:val="7"/>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本年度一般公共预算财政拨款支出情况。本套报表金额单位转换时可能存在尾数误差。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4190" w:type="dxa"/>
        <w:tblInd w:w="93" w:type="dxa"/>
        <w:tblLayout w:type="autofit"/>
        <w:tblCellMar>
          <w:top w:w="0" w:type="dxa"/>
          <w:left w:w="108" w:type="dxa"/>
          <w:bottom w:w="0" w:type="dxa"/>
          <w:right w:w="108" w:type="dxa"/>
        </w:tblCellMar>
      </w:tblPr>
      <w:tblGrid>
        <w:gridCol w:w="766"/>
        <w:gridCol w:w="3330"/>
        <w:gridCol w:w="1193"/>
        <w:gridCol w:w="766"/>
        <w:gridCol w:w="2230"/>
        <w:gridCol w:w="952"/>
        <w:gridCol w:w="766"/>
        <w:gridCol w:w="2912"/>
        <w:gridCol w:w="1275"/>
      </w:tblGrid>
      <w:tr>
        <w:tblPrEx>
          <w:tblCellMar>
            <w:top w:w="0" w:type="dxa"/>
            <w:left w:w="108" w:type="dxa"/>
            <w:bottom w:w="0" w:type="dxa"/>
            <w:right w:w="108" w:type="dxa"/>
          </w:tblCellMar>
        </w:tblPrEx>
        <w:trPr>
          <w:trHeight w:val="390" w:hRule="atLeast"/>
        </w:trPr>
        <w:tc>
          <w:tcPr>
            <w:tcW w:w="14190" w:type="dxa"/>
            <w:gridSpan w:val="9"/>
            <w:tcBorders>
              <w:top w:val="nil"/>
              <w:left w:val="nil"/>
              <w:bottom w:val="nil"/>
              <w:right w:val="nil"/>
            </w:tcBorders>
            <w:noWrap/>
            <w:vAlign w:val="bottom"/>
          </w:tcPr>
          <w:p>
            <w:pPr>
              <w:widowControl/>
              <w:jc w:val="center"/>
              <w:rPr>
                <w:rFonts w:ascii="宋体" w:hAnsi="宋体" w:cs="Arial"/>
                <w:color w:val="auto"/>
                <w:kern w:val="0"/>
                <w:sz w:val="30"/>
                <w:szCs w:val="30"/>
                <w:highlight w:val="none"/>
              </w:rPr>
            </w:pPr>
            <w:r>
              <w:rPr>
                <w:rFonts w:hint="eastAsia" w:ascii="宋体" w:hAnsi="宋体" w:cs="Arial"/>
                <w:color w:val="auto"/>
                <w:kern w:val="0"/>
                <w:sz w:val="30"/>
                <w:szCs w:val="30"/>
                <w:highlight w:val="none"/>
              </w:rPr>
              <w:t>一般公共预算财政拨款基本支出决算</w:t>
            </w:r>
            <w:r>
              <w:rPr>
                <w:rFonts w:hint="eastAsia" w:ascii="宋体" w:hAnsi="宋体" w:cs="Arial"/>
                <w:color w:val="auto"/>
                <w:kern w:val="0"/>
                <w:sz w:val="30"/>
                <w:szCs w:val="30"/>
                <w:highlight w:val="none"/>
                <w:lang w:eastAsia="zh-CN"/>
              </w:rPr>
              <w:t>明细</w:t>
            </w:r>
            <w:r>
              <w:rPr>
                <w:rFonts w:hint="eastAsia" w:ascii="宋体" w:hAnsi="宋体" w:cs="Arial"/>
                <w:color w:val="auto"/>
                <w:kern w:val="0"/>
                <w:sz w:val="30"/>
                <w:szCs w:val="30"/>
                <w:highlight w:val="none"/>
              </w:rPr>
              <w:t>表</w:t>
            </w:r>
          </w:p>
        </w:tc>
      </w:tr>
      <w:tr>
        <w:tblPrEx>
          <w:tblCellMar>
            <w:top w:w="0" w:type="dxa"/>
            <w:left w:w="108" w:type="dxa"/>
            <w:bottom w:w="0" w:type="dxa"/>
            <w:right w:w="108" w:type="dxa"/>
          </w:tblCellMar>
        </w:tblPrEx>
        <w:trPr>
          <w:trHeight w:val="255" w:hRule="atLeast"/>
        </w:trPr>
        <w:tc>
          <w:tcPr>
            <w:tcW w:w="7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33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93"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3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5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187"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公开06表</w:t>
            </w:r>
          </w:p>
        </w:tc>
      </w:tr>
      <w:tr>
        <w:tblPrEx>
          <w:tblCellMar>
            <w:top w:w="0" w:type="dxa"/>
            <w:left w:w="108" w:type="dxa"/>
            <w:bottom w:w="0" w:type="dxa"/>
            <w:right w:w="108" w:type="dxa"/>
          </w:tblCellMar>
        </w:tblPrEx>
        <w:trPr>
          <w:trHeight w:val="255" w:hRule="atLeast"/>
        </w:trPr>
        <w:tc>
          <w:tcPr>
            <w:tcW w:w="5289" w:type="dxa"/>
            <w:gridSpan w:val="3"/>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7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23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952"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66"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4187" w:type="dxa"/>
            <w:gridSpan w:val="2"/>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5289" w:type="dxa"/>
            <w:gridSpan w:val="3"/>
            <w:tcBorders>
              <w:top w:val="single" w:color="000000" w:sz="4" w:space="0"/>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w:t>
            </w:r>
          </w:p>
        </w:tc>
        <w:tc>
          <w:tcPr>
            <w:tcW w:w="8901" w:type="dxa"/>
            <w:gridSpan w:val="6"/>
            <w:tcBorders>
              <w:top w:val="single" w:color="000000" w:sz="4" w:space="0"/>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w:t>
            </w:r>
          </w:p>
        </w:tc>
      </w:tr>
      <w:tr>
        <w:tblPrEx>
          <w:tblCellMar>
            <w:top w:w="0" w:type="dxa"/>
            <w:left w:w="108" w:type="dxa"/>
            <w:bottom w:w="0" w:type="dxa"/>
            <w:right w:w="108" w:type="dxa"/>
          </w:tblCellMar>
        </w:tblPrEx>
        <w:trPr>
          <w:trHeight w:val="312" w:hRule="atLeast"/>
        </w:trPr>
        <w:tc>
          <w:tcPr>
            <w:tcW w:w="766"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33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193"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23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95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c>
          <w:tcPr>
            <w:tcW w:w="766"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科目编码</w:t>
            </w:r>
          </w:p>
        </w:tc>
        <w:tc>
          <w:tcPr>
            <w:tcW w:w="2912"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科目名称</w:t>
            </w:r>
          </w:p>
        </w:tc>
        <w:tc>
          <w:tcPr>
            <w:tcW w:w="1275"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12" w:hRule="atLeast"/>
        </w:trPr>
        <w:tc>
          <w:tcPr>
            <w:tcW w:w="766"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33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93"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23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95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766"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2912"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75"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工资福利支出</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414.89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商品和服务支出</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51.39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债务利息及费用支出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基本工资</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101.07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国内债务付息</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津贴补贴</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82.14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印刷费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30702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国外债务付息</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156.26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30203</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咨询费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资本性支出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30106</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伙食补助费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手续费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房屋建筑物购建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30107</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绩效工资</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水费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办公设备购置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机关事业单位基本养老保险缴费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25.20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电费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31003</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专用设备购置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30109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职业年金缴费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邮电费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4.27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31005</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基础设施建设</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30110</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职工基本医疗保险缴费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12.76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取暖费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31006</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大型修缮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公务员医疗补助缴费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12.16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30209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物业管理费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信息网络及软件购置更新</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其他社会保障缴费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0.17</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差旅费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13.04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31008</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物资储备</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住房公积金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24.16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30212</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因公出国（境）费用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31009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土地补偿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30114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30213</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维修（护）费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0.29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31010</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安置补助</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30199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其他工资福利支出</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0.98</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租赁费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地上附着物和青苗补偿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对个人和家庭的补助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48.62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会议费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拆迁补偿</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离休费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培训费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0.12</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31013</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30302</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退休费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46.91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公务接待费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31019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其他交通工具购置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30303</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退职（役）费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30218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专用材料费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31021</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文物和陈列品购置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30304</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抚恤金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30224</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被装购置费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31022</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无形资产购置</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30305</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生活补助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1.71</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30225</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专用燃料费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31099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其他资本性支出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30306</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救济费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30226</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劳务费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1.19</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其他支出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30307</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医疗费补助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30227</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委托业务费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1.04</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39906</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赠与</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30308</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助学金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30228</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工会经费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2.10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39907</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国家赔偿费用支出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30309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奖励金</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30229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福利费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1.65</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39908</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对民间非营利组织和群众性自治组织补贴</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30310</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个人农业生产补贴</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30231</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公务用车运行维护费</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39999</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其他支出</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30311</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代缴社会保险费</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30239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其他交通费用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18.86</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30399</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其他对个人和家庭的补助</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30240</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税金及附加费用</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766" w:type="dxa"/>
            <w:tcBorders>
              <w:top w:val="nil"/>
              <w:left w:val="single" w:color="000000" w:sz="4" w:space="0"/>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33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30299</w:t>
            </w:r>
          </w:p>
        </w:tc>
        <w:tc>
          <w:tcPr>
            <w:tcW w:w="2230"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xml:space="preserve">  其他商品和服务支出</w:t>
            </w:r>
          </w:p>
        </w:tc>
        <w:tc>
          <w:tcPr>
            <w:tcW w:w="952"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0.40</w:t>
            </w:r>
          </w:p>
        </w:tc>
        <w:tc>
          <w:tcPr>
            <w:tcW w:w="766"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2912" w:type="dxa"/>
            <w:tcBorders>
              <w:top w:val="nil"/>
              <w:left w:val="nil"/>
              <w:bottom w:val="single" w:color="000000" w:sz="4" w:space="0"/>
              <w:right w:val="single" w:color="000000" w:sz="4" w:space="0"/>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308" w:hRule="atLeast"/>
        </w:trPr>
        <w:tc>
          <w:tcPr>
            <w:tcW w:w="4096" w:type="dxa"/>
            <w:gridSpan w:val="2"/>
            <w:tcBorders>
              <w:top w:val="nil"/>
              <w:left w:val="single" w:color="000000" w:sz="4" w:space="0"/>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人员经费合计</w:t>
            </w:r>
          </w:p>
        </w:tc>
        <w:tc>
          <w:tcPr>
            <w:tcW w:w="1193"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463.51</w:t>
            </w:r>
          </w:p>
        </w:tc>
        <w:tc>
          <w:tcPr>
            <w:tcW w:w="7626" w:type="dxa"/>
            <w:gridSpan w:val="5"/>
            <w:tcBorders>
              <w:top w:val="nil"/>
              <w:left w:val="nil"/>
              <w:bottom w:val="single" w:color="000000" w:sz="4" w:space="0"/>
              <w:right w:val="single" w:color="000000" w:sz="4" w:space="0"/>
            </w:tcBorders>
            <w:noWrap/>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公用经费合计</w:t>
            </w:r>
          </w:p>
        </w:tc>
        <w:tc>
          <w:tcPr>
            <w:tcW w:w="1275"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51.39</w:t>
            </w:r>
          </w:p>
        </w:tc>
      </w:tr>
      <w:tr>
        <w:tblPrEx>
          <w:tblCellMar>
            <w:top w:w="0" w:type="dxa"/>
            <w:left w:w="108" w:type="dxa"/>
            <w:bottom w:w="0" w:type="dxa"/>
            <w:right w:w="108" w:type="dxa"/>
          </w:tblCellMar>
        </w:tblPrEx>
        <w:trPr>
          <w:trHeight w:val="308" w:hRule="atLeast"/>
        </w:trPr>
        <w:tc>
          <w:tcPr>
            <w:tcW w:w="14190" w:type="dxa"/>
            <w:gridSpan w:val="9"/>
            <w:tcBorders>
              <w:top w:val="nil"/>
              <w:left w:val="nil"/>
              <w:bottom w:val="nil"/>
              <w:right w:val="nil"/>
            </w:tcBorders>
            <w:noWrap/>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本年度一般公共预算财政拨款基本支出明细情况。本表金额转换为万元时，因四舍五入可能存在尾差。</w:t>
            </w:r>
          </w:p>
        </w:tc>
      </w:tr>
    </w:tbl>
    <w:p>
      <w:pPr>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tbl>
      <w:tblPr>
        <w:tblStyle w:val="5"/>
        <w:tblW w:w="14180" w:type="dxa"/>
        <w:tblInd w:w="93" w:type="dxa"/>
        <w:tblLayout w:type="autofit"/>
        <w:tblCellMar>
          <w:top w:w="0" w:type="dxa"/>
          <w:left w:w="108" w:type="dxa"/>
          <w:bottom w:w="0" w:type="dxa"/>
          <w:right w:w="108" w:type="dxa"/>
        </w:tblCellMar>
      </w:tblPr>
      <w:tblGrid>
        <w:gridCol w:w="1080"/>
        <w:gridCol w:w="1160"/>
        <w:gridCol w:w="1180"/>
        <w:gridCol w:w="780"/>
        <w:gridCol w:w="1180"/>
        <w:gridCol w:w="1180"/>
        <w:gridCol w:w="1260"/>
        <w:gridCol w:w="1120"/>
        <w:gridCol w:w="1260"/>
        <w:gridCol w:w="1260"/>
        <w:gridCol w:w="1420"/>
        <w:gridCol w:w="1300"/>
      </w:tblGrid>
      <w:tr>
        <w:tblPrEx>
          <w:tblCellMar>
            <w:top w:w="0" w:type="dxa"/>
            <w:left w:w="108" w:type="dxa"/>
            <w:bottom w:w="0" w:type="dxa"/>
            <w:right w:w="108" w:type="dxa"/>
          </w:tblCellMar>
        </w:tblPrEx>
        <w:trPr>
          <w:trHeight w:val="540" w:hRule="atLeast"/>
        </w:trPr>
        <w:tc>
          <w:tcPr>
            <w:tcW w:w="14180" w:type="dxa"/>
            <w:gridSpan w:val="12"/>
            <w:tcBorders>
              <w:top w:val="nil"/>
              <w:left w:val="nil"/>
              <w:bottom w:val="nil"/>
              <w:right w:val="nil"/>
            </w:tcBorders>
            <w:noWrap/>
            <w:vAlign w:val="bottom"/>
          </w:tcPr>
          <w:p>
            <w:pPr>
              <w:widowControl/>
              <w:jc w:val="center"/>
              <w:rPr>
                <w:rFonts w:ascii="宋体" w:hAnsi="宋体" w:cs="Arial"/>
                <w:color w:val="auto"/>
                <w:kern w:val="0"/>
                <w:sz w:val="44"/>
                <w:szCs w:val="44"/>
                <w:highlight w:val="none"/>
              </w:rPr>
            </w:pPr>
            <w:r>
              <w:rPr>
                <w:rFonts w:hint="eastAsia" w:ascii="宋体" w:hAnsi="宋体" w:cs="Arial"/>
                <w:color w:val="auto"/>
                <w:kern w:val="0"/>
                <w:sz w:val="30"/>
                <w:szCs w:val="30"/>
                <w:highlight w:val="none"/>
              </w:rPr>
              <w:t>一般公共预算财政拨款“三公”经费支出决算表</w:t>
            </w:r>
          </w:p>
        </w:tc>
      </w:tr>
      <w:tr>
        <w:tblPrEx>
          <w:tblCellMar>
            <w:top w:w="0" w:type="dxa"/>
            <w:left w:w="108" w:type="dxa"/>
            <w:bottom w:w="0" w:type="dxa"/>
            <w:right w:w="108" w:type="dxa"/>
          </w:tblCellMar>
        </w:tblPrEx>
        <w:trPr>
          <w:trHeight w:val="255" w:hRule="atLeast"/>
        </w:trPr>
        <w:tc>
          <w:tcPr>
            <w:tcW w:w="10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7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2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2720" w:type="dxa"/>
            <w:gridSpan w:val="2"/>
            <w:tcBorders>
              <w:top w:val="nil"/>
              <w:left w:val="nil"/>
              <w:bottom w:val="nil"/>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公开07表</w:t>
            </w:r>
          </w:p>
        </w:tc>
      </w:tr>
      <w:tr>
        <w:tblPrEx>
          <w:tblCellMar>
            <w:top w:w="0" w:type="dxa"/>
            <w:left w:w="108" w:type="dxa"/>
            <w:bottom w:w="0" w:type="dxa"/>
            <w:right w:w="108" w:type="dxa"/>
          </w:tblCellMar>
        </w:tblPrEx>
        <w:trPr>
          <w:trHeight w:val="255" w:hRule="atLeast"/>
        </w:trPr>
        <w:tc>
          <w:tcPr>
            <w:tcW w:w="5380" w:type="dxa"/>
            <w:gridSpan w:val="5"/>
            <w:tcBorders>
              <w:top w:val="nil"/>
              <w:left w:val="nil"/>
              <w:bottom w:val="single" w:color="000000" w:sz="4" w:space="0"/>
              <w:right w:val="nil"/>
            </w:tcBorders>
            <w:noWrap/>
            <w:vAlign w:val="bottom"/>
          </w:tcPr>
          <w:p>
            <w:pPr>
              <w:widowControl/>
              <w:jc w:val="left"/>
              <w:rPr>
                <w:rFonts w:ascii="宋体" w:hAnsi="宋体" w:cs="Arial"/>
                <w:color w:val="auto"/>
                <w:kern w:val="0"/>
                <w:sz w:val="18"/>
                <w:szCs w:val="18"/>
                <w:highlight w:val="none"/>
              </w:rPr>
            </w:pPr>
            <w:r>
              <w:rPr>
                <w:rFonts w:hint="eastAsia" w:ascii="宋体" w:hAnsi="宋体" w:cs="Arial"/>
                <w:color w:val="auto"/>
                <w:kern w:val="0"/>
                <w:sz w:val="18"/>
                <w:szCs w:val="18"/>
                <w:highlight w:val="none"/>
                <w:lang w:eastAsia="zh-CN"/>
              </w:rPr>
              <w:t>单位</w:t>
            </w:r>
            <w:r>
              <w:rPr>
                <w:rFonts w:hint="eastAsia" w:ascii="宋体" w:hAnsi="宋体" w:cs="Arial"/>
                <w:color w:val="auto"/>
                <w:kern w:val="0"/>
                <w:sz w:val="18"/>
                <w:szCs w:val="18"/>
                <w:highlight w:val="none"/>
              </w:rPr>
              <w:t>：许昌市工商行政管理局经济检查支队</w:t>
            </w:r>
          </w:p>
        </w:tc>
        <w:tc>
          <w:tcPr>
            <w:tcW w:w="118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12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1260" w:type="dxa"/>
            <w:tcBorders>
              <w:top w:val="nil"/>
              <w:left w:val="nil"/>
              <w:bottom w:val="nil"/>
              <w:right w:val="nil"/>
            </w:tcBorders>
            <w:noWrap/>
            <w:vAlign w:val="bottom"/>
          </w:tcPr>
          <w:p>
            <w:pPr>
              <w:widowControl/>
              <w:jc w:val="left"/>
              <w:rPr>
                <w:rFonts w:ascii="Arial" w:hAnsi="Arial" w:cs="Arial"/>
                <w:color w:val="auto"/>
                <w:kern w:val="0"/>
                <w:sz w:val="18"/>
                <w:szCs w:val="18"/>
                <w:highlight w:val="none"/>
              </w:rPr>
            </w:pPr>
          </w:p>
        </w:tc>
        <w:tc>
          <w:tcPr>
            <w:tcW w:w="3980" w:type="dxa"/>
            <w:gridSpan w:val="3"/>
            <w:tcBorders>
              <w:top w:val="nil"/>
              <w:left w:val="nil"/>
              <w:bottom w:val="single" w:color="000000" w:sz="4" w:space="0"/>
              <w:right w:val="nil"/>
            </w:tcBorders>
            <w:noWrap/>
            <w:vAlign w:val="bottom"/>
          </w:tcPr>
          <w:p>
            <w:pPr>
              <w:widowControl/>
              <w:jc w:val="right"/>
              <w:rPr>
                <w:rFonts w:ascii="宋体" w:hAnsi="宋体" w:cs="Arial"/>
                <w:color w:val="auto"/>
                <w:kern w:val="0"/>
                <w:sz w:val="18"/>
                <w:szCs w:val="18"/>
                <w:highlight w:val="none"/>
              </w:rPr>
            </w:pPr>
            <w:r>
              <w:rPr>
                <w:rFonts w:hint="eastAsia" w:ascii="宋体" w:hAnsi="宋体" w:cs="Arial"/>
                <w:color w:val="auto"/>
                <w:kern w:val="0"/>
                <w:sz w:val="18"/>
                <w:szCs w:val="18"/>
                <w:highlight w:val="none"/>
              </w:rPr>
              <w:t>金额单位：万元</w:t>
            </w:r>
          </w:p>
        </w:tc>
      </w:tr>
      <w:tr>
        <w:tblPrEx>
          <w:tblCellMar>
            <w:top w:w="0" w:type="dxa"/>
            <w:left w:w="108" w:type="dxa"/>
            <w:bottom w:w="0" w:type="dxa"/>
            <w:right w:w="108" w:type="dxa"/>
          </w:tblCellMar>
        </w:tblPrEx>
        <w:trPr>
          <w:trHeight w:val="308" w:hRule="atLeast"/>
        </w:trPr>
        <w:tc>
          <w:tcPr>
            <w:tcW w:w="6560" w:type="dxa"/>
            <w:gridSpan w:val="6"/>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预算数</w:t>
            </w:r>
          </w:p>
        </w:tc>
        <w:tc>
          <w:tcPr>
            <w:tcW w:w="7620" w:type="dxa"/>
            <w:gridSpan w:val="6"/>
            <w:tcBorders>
              <w:top w:val="single" w:color="000000" w:sz="4" w:space="0"/>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决算数</w:t>
            </w:r>
          </w:p>
        </w:tc>
      </w:tr>
      <w:tr>
        <w:tblPrEx>
          <w:tblCellMar>
            <w:top w:w="0" w:type="dxa"/>
            <w:left w:w="108" w:type="dxa"/>
            <w:bottom w:w="0" w:type="dxa"/>
            <w:right w:w="108" w:type="dxa"/>
          </w:tblCellMar>
        </w:tblPrEx>
        <w:trPr>
          <w:trHeight w:val="308" w:hRule="atLeast"/>
        </w:trPr>
        <w:tc>
          <w:tcPr>
            <w:tcW w:w="1080" w:type="dxa"/>
            <w:vMerge w:val="restart"/>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14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18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c>
          <w:tcPr>
            <w:tcW w:w="126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合计</w:t>
            </w:r>
          </w:p>
        </w:tc>
        <w:tc>
          <w:tcPr>
            <w:tcW w:w="112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因公出国（境）费</w:t>
            </w:r>
          </w:p>
        </w:tc>
        <w:tc>
          <w:tcPr>
            <w:tcW w:w="3940" w:type="dxa"/>
            <w:gridSpan w:val="3"/>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公务用车购置及运行费</w:t>
            </w:r>
          </w:p>
        </w:tc>
        <w:tc>
          <w:tcPr>
            <w:tcW w:w="1300" w:type="dxa"/>
            <w:vMerge w:val="restart"/>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公务接待费</w:t>
            </w:r>
          </w:p>
        </w:tc>
      </w:tr>
      <w:tr>
        <w:tblPrEx>
          <w:tblCellMar>
            <w:top w:w="0" w:type="dxa"/>
            <w:left w:w="108" w:type="dxa"/>
            <w:bottom w:w="0" w:type="dxa"/>
            <w:right w:w="108" w:type="dxa"/>
          </w:tblCellMar>
        </w:tblPrEx>
        <w:trPr>
          <w:trHeight w:val="615" w:hRule="atLeast"/>
        </w:trPr>
        <w:tc>
          <w:tcPr>
            <w:tcW w:w="1080" w:type="dxa"/>
            <w:vMerge w:val="continue"/>
            <w:tcBorders>
              <w:top w:val="nil"/>
              <w:left w:val="single" w:color="000000" w:sz="4" w:space="0"/>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18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6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12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小计</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公务用车购置费</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公务用车运行费</w:t>
            </w:r>
          </w:p>
        </w:tc>
        <w:tc>
          <w:tcPr>
            <w:tcW w:w="1300" w:type="dxa"/>
            <w:vMerge w:val="continue"/>
            <w:tcBorders>
              <w:top w:val="nil"/>
              <w:left w:val="nil"/>
              <w:bottom w:val="single" w:color="000000" w:sz="4" w:space="0"/>
              <w:right w:val="single" w:color="000000" w:sz="4" w:space="0"/>
            </w:tcBorders>
            <w:noWrap w:val="0"/>
            <w:vAlign w:val="center"/>
          </w:tcPr>
          <w:p>
            <w:pPr>
              <w:widowControl/>
              <w:jc w:val="left"/>
              <w:rPr>
                <w:rFonts w:ascii="宋体" w:hAnsi="宋体" w:cs="Arial"/>
                <w:color w:val="auto"/>
                <w:kern w:val="0"/>
                <w:sz w:val="22"/>
                <w:highlight w:val="none"/>
              </w:rPr>
            </w:pPr>
          </w:p>
        </w:tc>
      </w:tr>
      <w:tr>
        <w:tblPrEx>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w:t>
            </w:r>
          </w:p>
        </w:tc>
        <w:tc>
          <w:tcPr>
            <w:tcW w:w="11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2</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3</w:t>
            </w:r>
          </w:p>
        </w:tc>
        <w:tc>
          <w:tcPr>
            <w:tcW w:w="7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4</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5</w:t>
            </w:r>
          </w:p>
        </w:tc>
        <w:tc>
          <w:tcPr>
            <w:tcW w:w="118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6</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7</w:t>
            </w:r>
          </w:p>
        </w:tc>
        <w:tc>
          <w:tcPr>
            <w:tcW w:w="11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8</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9</w:t>
            </w:r>
          </w:p>
        </w:tc>
        <w:tc>
          <w:tcPr>
            <w:tcW w:w="126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10</w:t>
            </w:r>
          </w:p>
        </w:tc>
        <w:tc>
          <w:tcPr>
            <w:tcW w:w="142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11</w:t>
            </w:r>
          </w:p>
        </w:tc>
        <w:tc>
          <w:tcPr>
            <w:tcW w:w="1300" w:type="dxa"/>
            <w:tcBorders>
              <w:top w:val="nil"/>
              <w:left w:val="nil"/>
              <w:bottom w:val="single" w:color="000000" w:sz="4" w:space="0"/>
              <w:right w:val="single" w:color="000000" w:sz="4" w:space="0"/>
            </w:tcBorders>
            <w:noWrap w:val="0"/>
            <w:vAlign w:val="center"/>
          </w:tcPr>
          <w:p>
            <w:pPr>
              <w:widowControl/>
              <w:jc w:val="center"/>
              <w:rPr>
                <w:rFonts w:ascii="宋体" w:hAnsi="宋体" w:cs="Arial"/>
                <w:color w:val="auto"/>
                <w:kern w:val="0"/>
                <w:sz w:val="22"/>
                <w:highlight w:val="none"/>
              </w:rPr>
            </w:pPr>
            <w:r>
              <w:rPr>
                <w:rFonts w:hint="eastAsia" w:ascii="宋体" w:hAnsi="宋体" w:cs="Arial"/>
                <w:color w:val="auto"/>
                <w:kern w:val="0"/>
                <w:sz w:val="22"/>
                <w:highlight w:val="none"/>
              </w:rPr>
              <w:t>12</w:t>
            </w:r>
          </w:p>
        </w:tc>
      </w:tr>
      <w:tr>
        <w:tblPrEx>
          <w:tblCellMar>
            <w:top w:w="0" w:type="dxa"/>
            <w:left w:w="108" w:type="dxa"/>
            <w:bottom w:w="0" w:type="dxa"/>
            <w:right w:w="108" w:type="dxa"/>
          </w:tblCellMar>
        </w:tblPrEx>
        <w:trPr>
          <w:trHeight w:val="308" w:hRule="atLeast"/>
        </w:trPr>
        <w:tc>
          <w:tcPr>
            <w:tcW w:w="1080" w:type="dxa"/>
            <w:tcBorders>
              <w:top w:val="nil"/>
              <w:left w:val="single" w:color="000000" w:sz="4" w:space="0"/>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12.43</w:t>
            </w:r>
          </w:p>
        </w:tc>
        <w:tc>
          <w:tcPr>
            <w:tcW w:w="11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7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12.00</w:t>
            </w:r>
          </w:p>
        </w:tc>
        <w:tc>
          <w:tcPr>
            <w:tcW w:w="118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0.43</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3.36</w:t>
            </w:r>
          </w:p>
        </w:tc>
        <w:tc>
          <w:tcPr>
            <w:tcW w:w="11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3.36</w:t>
            </w:r>
          </w:p>
        </w:tc>
        <w:tc>
          <w:tcPr>
            <w:tcW w:w="126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c>
          <w:tcPr>
            <w:tcW w:w="142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3.36</w:t>
            </w:r>
          </w:p>
        </w:tc>
        <w:tc>
          <w:tcPr>
            <w:tcW w:w="1300" w:type="dxa"/>
            <w:tcBorders>
              <w:top w:val="nil"/>
              <w:left w:val="nil"/>
              <w:bottom w:val="single" w:color="000000" w:sz="4" w:space="0"/>
              <w:right w:val="single" w:color="000000" w:sz="4" w:space="0"/>
            </w:tcBorders>
            <w:noWrap/>
            <w:vAlign w:val="center"/>
          </w:tcPr>
          <w:p>
            <w:pPr>
              <w:widowControl/>
              <w:jc w:val="right"/>
              <w:rPr>
                <w:rFonts w:ascii="宋体" w:hAnsi="宋体" w:cs="Arial"/>
                <w:color w:val="auto"/>
                <w:kern w:val="0"/>
                <w:sz w:val="22"/>
                <w:highlight w:val="none"/>
              </w:rPr>
            </w:pPr>
            <w:r>
              <w:rPr>
                <w:rFonts w:hint="eastAsia" w:ascii="宋体" w:hAnsi="宋体" w:cs="Arial"/>
                <w:color w:val="auto"/>
                <w:kern w:val="0"/>
                <w:sz w:val="22"/>
                <w:highlight w:val="none"/>
              </w:rPr>
              <w:t>　</w:t>
            </w:r>
          </w:p>
        </w:tc>
      </w:tr>
      <w:tr>
        <w:tblPrEx>
          <w:tblCellMar>
            <w:top w:w="0" w:type="dxa"/>
            <w:left w:w="108" w:type="dxa"/>
            <w:bottom w:w="0" w:type="dxa"/>
            <w:right w:w="108" w:type="dxa"/>
          </w:tblCellMar>
        </w:tblPrEx>
        <w:trPr>
          <w:trHeight w:val="615" w:hRule="atLeast"/>
        </w:trPr>
        <w:tc>
          <w:tcPr>
            <w:tcW w:w="14180" w:type="dxa"/>
            <w:gridSpan w:val="12"/>
            <w:tcBorders>
              <w:top w:val="nil"/>
              <w:left w:val="nil"/>
              <w:bottom w:val="nil"/>
              <w:right w:val="nil"/>
            </w:tcBorders>
            <w:noWrap w:val="0"/>
            <w:vAlign w:val="center"/>
          </w:tcPr>
          <w:p>
            <w:pPr>
              <w:widowControl/>
              <w:jc w:val="left"/>
              <w:rPr>
                <w:rFonts w:ascii="宋体" w:hAnsi="宋体" w:cs="Arial"/>
                <w:color w:val="auto"/>
                <w:kern w:val="0"/>
                <w:sz w:val="22"/>
                <w:highlight w:val="none"/>
              </w:rPr>
            </w:pPr>
            <w:r>
              <w:rPr>
                <w:rFonts w:hint="eastAsia" w:ascii="宋体" w:hAnsi="宋体" w:cs="Arial"/>
                <w:color w:val="auto"/>
                <w:kern w:val="0"/>
                <w:sz w:val="22"/>
                <w:highlight w:val="none"/>
              </w:rPr>
              <w:t>注：本表反映</w:t>
            </w:r>
            <w:r>
              <w:rPr>
                <w:rFonts w:hint="eastAsia" w:ascii="宋体" w:hAnsi="宋体" w:cs="Arial"/>
                <w:color w:val="auto"/>
                <w:kern w:val="0"/>
                <w:sz w:val="22"/>
                <w:highlight w:val="none"/>
                <w:lang w:eastAsia="zh-CN"/>
              </w:rPr>
              <w:t>单位</w:t>
            </w:r>
            <w:r>
              <w:rPr>
                <w:rFonts w:hint="eastAsia" w:ascii="宋体" w:hAnsi="宋体" w:cs="Arial"/>
                <w:color w:val="auto"/>
                <w:kern w:val="0"/>
                <w:sz w:val="22"/>
                <w:highlight w:val="none"/>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p>
      <w:pPr>
        <w:rPr>
          <w:rFonts w:hint="eastAsia" w:ascii="仿宋_GB2312" w:hAnsi="仿宋_GB2312" w:eastAsia="仿宋_GB2312" w:cs="仿宋_GB2312"/>
          <w:color w:val="auto"/>
          <w:sz w:val="32"/>
          <w:szCs w:val="32"/>
          <w:highlight w:val="none"/>
        </w:rPr>
      </w:pPr>
    </w:p>
    <w:tbl>
      <w:tblPr>
        <w:tblStyle w:val="5"/>
        <w:tblW w:w="13801" w:type="dxa"/>
        <w:tblInd w:w="93" w:type="dxa"/>
        <w:tblLayout w:type="autofit"/>
        <w:tblCellMar>
          <w:top w:w="0" w:type="dxa"/>
          <w:left w:w="108" w:type="dxa"/>
          <w:bottom w:w="0" w:type="dxa"/>
          <w:right w:w="108" w:type="dxa"/>
        </w:tblCellMar>
      </w:tblPr>
      <w:tblGrid>
        <w:gridCol w:w="3636"/>
        <w:gridCol w:w="222"/>
        <w:gridCol w:w="222"/>
        <w:gridCol w:w="1096"/>
        <w:gridCol w:w="1416"/>
        <w:gridCol w:w="1416"/>
        <w:gridCol w:w="1416"/>
        <w:gridCol w:w="1416"/>
        <w:gridCol w:w="1416"/>
        <w:gridCol w:w="1545"/>
      </w:tblGrid>
      <w:tr>
        <w:tblPrEx>
          <w:tblCellMar>
            <w:top w:w="0" w:type="dxa"/>
            <w:left w:w="108" w:type="dxa"/>
            <w:bottom w:w="0" w:type="dxa"/>
            <w:right w:w="108" w:type="dxa"/>
          </w:tblCellMar>
        </w:tblPrEx>
        <w:trPr>
          <w:trHeight w:val="390" w:hRule="atLeast"/>
        </w:trPr>
        <w:tc>
          <w:tcPr>
            <w:tcW w:w="13801" w:type="dxa"/>
            <w:gridSpan w:val="10"/>
            <w:tcBorders>
              <w:top w:val="nil"/>
              <w:left w:val="nil"/>
              <w:bottom w:val="nil"/>
              <w:right w:val="nil"/>
            </w:tcBorders>
            <w:noWrap/>
            <w:vAlign w:val="bottom"/>
          </w:tcPr>
          <w:p>
            <w:pPr>
              <w:widowControl/>
              <w:jc w:val="both"/>
              <w:textAlignment w:val="bottom"/>
              <w:rPr>
                <w:rFonts w:hint="eastAsia" w:ascii="宋体" w:hAnsi="宋体" w:cs="宋体"/>
                <w:color w:val="auto"/>
                <w:kern w:val="0"/>
                <w:sz w:val="30"/>
                <w:szCs w:val="30"/>
                <w:highlight w:val="none"/>
                <w:lang w:bidi="ar"/>
              </w:rPr>
            </w:pPr>
          </w:p>
          <w:p>
            <w:pPr>
              <w:widowControl/>
              <w:jc w:val="center"/>
              <w:textAlignment w:val="bottom"/>
              <w:rPr>
                <w:rFonts w:hint="eastAsia" w:ascii="宋体" w:hAnsi="宋体" w:cs="宋体"/>
                <w:color w:val="auto"/>
                <w:sz w:val="30"/>
                <w:szCs w:val="30"/>
                <w:highlight w:val="none"/>
              </w:rPr>
            </w:pPr>
            <w:r>
              <w:rPr>
                <w:rFonts w:hint="eastAsia" w:ascii="宋体" w:hAnsi="宋体" w:cs="宋体"/>
                <w:color w:val="auto"/>
                <w:kern w:val="0"/>
                <w:sz w:val="30"/>
                <w:szCs w:val="30"/>
                <w:highlight w:val="none"/>
                <w:lang w:bidi="ar"/>
              </w:rPr>
              <w:t>政府性基金预算财政拨款收入支出决算表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rPr>
                <w:rFonts w:hint="eastAsia"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公开08表</w:t>
            </w:r>
          </w:p>
        </w:tc>
      </w:tr>
      <w:tr>
        <w:tblPrEx>
          <w:tblCellMar>
            <w:top w:w="0" w:type="dxa"/>
            <w:left w:w="108" w:type="dxa"/>
            <w:bottom w:w="0" w:type="dxa"/>
            <w:right w:w="108" w:type="dxa"/>
          </w:tblCellMar>
        </w:tblPrEx>
        <w:trPr>
          <w:trHeight w:val="255" w:hRule="atLeast"/>
        </w:trPr>
        <w:tc>
          <w:tcPr>
            <w:tcW w:w="0" w:type="auto"/>
            <w:tcBorders>
              <w:top w:val="nil"/>
              <w:left w:val="nil"/>
              <w:bottom w:val="nil"/>
              <w:right w:val="nil"/>
            </w:tcBorders>
            <w:noWrap/>
            <w:vAlign w:val="bottom"/>
          </w:tcPr>
          <w:p>
            <w:pPr>
              <w:widowControl/>
              <w:jc w:val="lef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eastAsia="zh-CN" w:bidi="ar"/>
              </w:rPr>
              <w:t>单位</w:t>
            </w:r>
            <w:r>
              <w:rPr>
                <w:rFonts w:hint="eastAsia" w:ascii="宋体" w:hAnsi="宋体" w:cs="宋体"/>
                <w:color w:val="auto"/>
                <w:kern w:val="0"/>
                <w:sz w:val="18"/>
                <w:szCs w:val="18"/>
                <w:highlight w:val="none"/>
                <w:lang w:bidi="ar"/>
              </w:rPr>
              <w:t>：许昌市工商行政管理局经济检查支队</w:t>
            </w: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rPr>
                <w:rFonts w:ascii="Arial" w:hAnsi="Arial" w:cs="Arial"/>
                <w:color w:val="auto"/>
                <w:sz w:val="18"/>
                <w:szCs w:val="18"/>
                <w:highlight w:val="none"/>
              </w:rPr>
            </w:pPr>
          </w:p>
        </w:tc>
        <w:tc>
          <w:tcPr>
            <w:tcW w:w="0" w:type="auto"/>
            <w:tcBorders>
              <w:top w:val="nil"/>
              <w:left w:val="nil"/>
              <w:bottom w:val="nil"/>
              <w:right w:val="nil"/>
            </w:tcBorders>
            <w:noWrap/>
            <w:vAlign w:val="bottom"/>
          </w:tcPr>
          <w:p>
            <w:pPr>
              <w:widowControl/>
              <w:jc w:val="right"/>
              <w:textAlignment w:val="bottom"/>
              <w:rPr>
                <w:rFonts w:hint="eastAsia" w:ascii="宋体" w:hAnsi="宋体" w:cs="宋体"/>
                <w:color w:val="auto"/>
                <w:sz w:val="18"/>
                <w:szCs w:val="18"/>
                <w:highlight w:val="none"/>
              </w:rPr>
            </w:pPr>
            <w:r>
              <w:rPr>
                <w:rFonts w:hint="eastAsia" w:ascii="宋体" w:hAnsi="宋体" w:cs="宋体"/>
                <w:color w:val="auto"/>
                <w:kern w:val="0"/>
                <w:sz w:val="18"/>
                <w:szCs w:val="18"/>
                <w:highlight w:val="none"/>
                <w:lang w:bidi="ar"/>
              </w:rPr>
              <w:t>金额单位：万元</w:t>
            </w:r>
          </w:p>
        </w:tc>
      </w:tr>
      <w:tr>
        <w:tblPrEx>
          <w:tblCellMar>
            <w:top w:w="0" w:type="dxa"/>
            <w:left w:w="108" w:type="dxa"/>
            <w:bottom w:w="0" w:type="dxa"/>
            <w:right w:w="108" w:type="dxa"/>
          </w:tblCellMar>
        </w:tblPrEx>
        <w:trPr>
          <w:trHeight w:val="308" w:hRule="atLeast"/>
        </w:trPr>
        <w:tc>
          <w:tcPr>
            <w:tcW w:w="0" w:type="auto"/>
            <w:gridSpan w:val="4"/>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w:t>
            </w:r>
          </w:p>
        </w:tc>
        <w:tc>
          <w:tcPr>
            <w:tcW w:w="141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年初结转和结余</w:t>
            </w:r>
          </w:p>
        </w:tc>
        <w:tc>
          <w:tcPr>
            <w:tcW w:w="1416"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本年收入</w:t>
            </w:r>
          </w:p>
        </w:tc>
        <w:tc>
          <w:tcPr>
            <w:tcW w:w="4248" w:type="dxa"/>
            <w:gridSpan w:val="3"/>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本年支出</w:t>
            </w:r>
          </w:p>
        </w:tc>
        <w:tc>
          <w:tcPr>
            <w:tcW w:w="1545" w:type="dxa"/>
            <w:vMerge w:val="restart"/>
            <w:tcBorders>
              <w:top w:val="single" w:color="000000" w:sz="4" w:space="0"/>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年末结转和结余</w:t>
            </w:r>
          </w:p>
        </w:tc>
      </w:tr>
      <w:tr>
        <w:tblPrEx>
          <w:tblCellMar>
            <w:top w:w="0" w:type="dxa"/>
            <w:left w:w="108" w:type="dxa"/>
            <w:bottom w:w="0" w:type="dxa"/>
            <w:right w:w="108" w:type="dxa"/>
          </w:tblCellMar>
        </w:tblPrEx>
        <w:trPr>
          <w:trHeight w:val="312" w:hRule="atLeast"/>
        </w:trPr>
        <w:tc>
          <w:tcPr>
            <w:tcW w:w="4080" w:type="dxa"/>
            <w:gridSpan w:val="3"/>
            <w:vMerge w:val="restart"/>
            <w:tcBorders>
              <w:top w:val="nil"/>
              <w:left w:val="single" w:color="000000" w:sz="4" w:space="0"/>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功能分类科目编码</w:t>
            </w:r>
          </w:p>
        </w:tc>
        <w:tc>
          <w:tcPr>
            <w:tcW w:w="0" w:type="auto"/>
            <w:vMerge w:val="restart"/>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科目名称</w:t>
            </w: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小计</w:t>
            </w: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基本支出</w:t>
            </w:r>
          </w:p>
        </w:tc>
        <w:tc>
          <w:tcPr>
            <w:tcW w:w="1416" w:type="dxa"/>
            <w:vMerge w:val="restart"/>
            <w:tcBorders>
              <w:top w:val="nil"/>
              <w:left w:val="nil"/>
              <w:bottom w:val="single" w:color="000000" w:sz="4" w:space="0"/>
              <w:right w:val="single" w:color="000000" w:sz="4" w:space="0"/>
            </w:tcBorders>
            <w:noWrap w:val="0"/>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项目支出</w:t>
            </w: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4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12" w:hRule="atLeast"/>
        </w:trPr>
        <w:tc>
          <w:tcPr>
            <w:tcW w:w="4080" w:type="dxa"/>
            <w:gridSpan w:val="3"/>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0" w:type="auto"/>
            <w:vMerge w:val="continue"/>
            <w:tcBorders>
              <w:top w:val="nil"/>
              <w:left w:val="nil"/>
              <w:bottom w:val="single" w:color="000000" w:sz="4" w:space="0"/>
              <w:right w:val="single" w:color="000000" w:sz="4" w:space="0"/>
            </w:tcBorders>
            <w:noWrap/>
            <w:vAlign w:val="center"/>
          </w:tcPr>
          <w:p>
            <w:pPr>
              <w:jc w:val="center"/>
              <w:rPr>
                <w:rFonts w:hint="eastAsia" w:ascii="宋体" w:hAnsi="宋体" w:cs="宋体"/>
                <w:color w:val="auto"/>
                <w:sz w:val="22"/>
                <w:highlight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416" w:type="dxa"/>
            <w:vMerge w:val="continue"/>
            <w:tcBorders>
              <w:top w:val="nil"/>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c>
          <w:tcPr>
            <w:tcW w:w="1545" w:type="dxa"/>
            <w:vMerge w:val="continue"/>
            <w:tcBorders>
              <w:top w:val="single" w:color="000000" w:sz="4" w:space="0"/>
              <w:left w:val="nil"/>
              <w:bottom w:val="single" w:color="000000" w:sz="4" w:space="0"/>
              <w:right w:val="single" w:color="000000" w:sz="4" w:space="0"/>
            </w:tcBorders>
            <w:noWrap w:val="0"/>
            <w:vAlign w:val="center"/>
          </w:tcPr>
          <w:p>
            <w:pPr>
              <w:jc w:val="center"/>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栏次</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1</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2</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3</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4</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5</w:t>
            </w:r>
          </w:p>
        </w:tc>
        <w:tc>
          <w:tcPr>
            <w:tcW w:w="0" w:type="auto"/>
            <w:tcBorders>
              <w:top w:val="nil"/>
              <w:left w:val="nil"/>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6</w:t>
            </w:r>
          </w:p>
        </w:tc>
      </w:tr>
      <w:tr>
        <w:tblPrEx>
          <w:tblCellMar>
            <w:top w:w="0" w:type="dxa"/>
            <w:left w:w="108" w:type="dxa"/>
            <w:bottom w:w="0" w:type="dxa"/>
            <w:right w:w="108" w:type="dxa"/>
          </w:tblCellMar>
        </w:tblPrEx>
        <w:trPr>
          <w:trHeight w:val="308" w:hRule="atLeast"/>
        </w:trPr>
        <w:tc>
          <w:tcPr>
            <w:tcW w:w="0" w:type="auto"/>
            <w:gridSpan w:val="4"/>
            <w:tcBorders>
              <w:top w:val="nil"/>
              <w:left w:val="single" w:color="000000" w:sz="4" w:space="0"/>
              <w:bottom w:val="single" w:color="000000" w:sz="4" w:space="0"/>
              <w:right w:val="single" w:color="000000" w:sz="4" w:space="0"/>
            </w:tcBorders>
            <w:noWrap/>
            <w:vAlign w:val="center"/>
          </w:tcPr>
          <w:p>
            <w:pPr>
              <w:widowControl/>
              <w:jc w:val="center"/>
              <w:textAlignment w:val="center"/>
              <w:rPr>
                <w:rFonts w:hint="eastAsia" w:ascii="宋体" w:hAnsi="宋体" w:cs="宋体"/>
                <w:color w:val="auto"/>
                <w:sz w:val="22"/>
                <w:highlight w:val="none"/>
              </w:rPr>
            </w:pPr>
            <w:r>
              <w:rPr>
                <w:rFonts w:hint="eastAsia" w:ascii="宋体" w:hAnsi="宋体" w:cs="宋体"/>
                <w:color w:val="auto"/>
                <w:kern w:val="0"/>
                <w:sz w:val="22"/>
                <w:highlight w:val="none"/>
                <w:lang w:bidi="ar"/>
              </w:rPr>
              <w:t>合计</w:t>
            </w: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b/>
                <w:bCs/>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3"/>
            <w:tcBorders>
              <w:top w:val="nil"/>
              <w:left w:val="single" w:color="000000" w:sz="4" w:space="0"/>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lef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c>
          <w:tcPr>
            <w:tcW w:w="0" w:type="auto"/>
            <w:tcBorders>
              <w:top w:val="nil"/>
              <w:left w:val="nil"/>
              <w:bottom w:val="single" w:color="000000" w:sz="4" w:space="0"/>
              <w:right w:val="single" w:color="000000" w:sz="4" w:space="0"/>
            </w:tcBorders>
            <w:noWrap/>
            <w:vAlign w:val="center"/>
          </w:tcPr>
          <w:p>
            <w:pPr>
              <w:jc w:val="right"/>
              <w:rPr>
                <w:rFonts w:hint="eastAsia" w:ascii="宋体" w:hAnsi="宋体" w:cs="宋体"/>
                <w:color w:val="auto"/>
                <w:sz w:val="22"/>
                <w:highlight w:val="none"/>
              </w:rPr>
            </w:pPr>
          </w:p>
        </w:tc>
      </w:tr>
      <w:tr>
        <w:tblPrEx>
          <w:tblCellMar>
            <w:top w:w="0" w:type="dxa"/>
            <w:left w:w="108" w:type="dxa"/>
            <w:bottom w:w="0" w:type="dxa"/>
            <w:right w:w="108" w:type="dxa"/>
          </w:tblCellMar>
        </w:tblPrEx>
        <w:trPr>
          <w:trHeight w:val="308" w:hRule="atLeast"/>
        </w:trPr>
        <w:tc>
          <w:tcPr>
            <w:tcW w:w="0" w:type="auto"/>
            <w:gridSpan w:val="10"/>
            <w:tcBorders>
              <w:top w:val="nil"/>
              <w:left w:val="nil"/>
              <w:bottom w:val="nil"/>
              <w:right w:val="nil"/>
            </w:tcBorders>
            <w:noWrap/>
            <w:vAlign w:val="center"/>
          </w:tcPr>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注：本表反映</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本年度政府性基金预算财政拨款收入、支出及结转和结余情况。本表金额转换为万元时，因四舍五入可能存在尾差。</w:t>
            </w:r>
          </w:p>
          <w:p>
            <w:pPr>
              <w:widowControl/>
              <w:jc w:val="left"/>
              <w:textAlignment w:val="center"/>
              <w:rPr>
                <w:rFonts w:hint="eastAsia" w:ascii="宋体" w:hAnsi="宋体" w:cs="宋体"/>
                <w:color w:val="auto"/>
                <w:kern w:val="0"/>
                <w:sz w:val="22"/>
                <w:highlight w:val="none"/>
                <w:lang w:bidi="ar"/>
              </w:rPr>
            </w:pPr>
            <w:r>
              <w:rPr>
                <w:rFonts w:hint="eastAsia" w:ascii="宋体" w:hAnsi="宋体" w:cs="宋体"/>
                <w:color w:val="auto"/>
                <w:kern w:val="0"/>
                <w:sz w:val="22"/>
                <w:highlight w:val="none"/>
                <w:lang w:bidi="ar"/>
              </w:rPr>
              <w:t>说明：我</w:t>
            </w:r>
            <w:r>
              <w:rPr>
                <w:rFonts w:hint="eastAsia" w:ascii="宋体" w:hAnsi="宋体" w:cs="宋体"/>
                <w:color w:val="auto"/>
                <w:kern w:val="0"/>
                <w:sz w:val="22"/>
                <w:highlight w:val="none"/>
                <w:lang w:eastAsia="zh-CN" w:bidi="ar"/>
              </w:rPr>
              <w:t>单位</w:t>
            </w:r>
            <w:r>
              <w:rPr>
                <w:rFonts w:hint="eastAsia" w:ascii="宋体" w:hAnsi="宋体" w:cs="宋体"/>
                <w:color w:val="auto"/>
                <w:kern w:val="0"/>
                <w:sz w:val="22"/>
                <w:highlight w:val="none"/>
                <w:lang w:bidi="ar"/>
              </w:rPr>
              <w:t>没有政府性基金收入，也没有使用政府性基金安排的支出，故本表无数据。</w:t>
            </w:r>
          </w:p>
          <w:p>
            <w:pPr>
              <w:widowControl/>
              <w:jc w:val="left"/>
              <w:textAlignment w:val="center"/>
              <w:rPr>
                <w:rFonts w:hint="eastAsia" w:ascii="宋体" w:hAnsi="宋体" w:cs="宋体"/>
                <w:color w:val="auto"/>
                <w:kern w:val="0"/>
                <w:sz w:val="22"/>
                <w:highlight w:val="none"/>
                <w:lang w:bidi="ar"/>
              </w:rPr>
            </w:pPr>
          </w:p>
        </w:tc>
      </w:tr>
    </w:tbl>
    <w:p>
      <w:pPr>
        <w:widowControl/>
        <w:spacing w:line="590" w:lineRule="exact"/>
        <w:jc w:val="left"/>
        <w:rPr>
          <w:rFonts w:hint="eastAsia" w:ascii="仿宋_GB2312" w:hAnsi="仿宋_GB2312" w:eastAsia="仿宋_GB2312" w:cs="仿宋_GB2312"/>
          <w:color w:val="auto"/>
          <w:sz w:val="32"/>
          <w:szCs w:val="32"/>
          <w:highlight w:val="none"/>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第三部分 2021年度</w:t>
      </w:r>
      <w:r>
        <w:rPr>
          <w:rFonts w:hint="eastAsia" w:ascii="黑体" w:hAnsi="黑体" w:eastAsia="黑体" w:cs="黑体"/>
          <w:color w:val="auto"/>
          <w:sz w:val="48"/>
          <w:szCs w:val="48"/>
          <w:highlight w:val="none"/>
          <w:lang w:eastAsia="zh-CN"/>
        </w:rPr>
        <w:t>单位</w:t>
      </w:r>
      <w:r>
        <w:rPr>
          <w:rFonts w:hint="eastAsia" w:ascii="黑体" w:hAnsi="黑体" w:eastAsia="黑体" w:cs="黑体"/>
          <w:color w:val="auto"/>
          <w:sz w:val="48"/>
          <w:szCs w:val="48"/>
          <w:highlight w:val="none"/>
        </w:rPr>
        <w:t>决算情况说明</w:t>
      </w:r>
    </w:p>
    <w:p>
      <w:pPr>
        <w:widowControl/>
        <w:jc w:val="left"/>
        <w:rPr>
          <w:rFonts w:hint="eastAsia" w:ascii="黑体" w:hAnsi="黑体" w:eastAsia="黑体" w:cs="黑体"/>
          <w:color w:val="auto"/>
          <w:sz w:val="48"/>
          <w:szCs w:val="48"/>
          <w:highlight w:val="none"/>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一、收入支出决算总体情况说明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年度收、支总计均为</w:t>
      </w:r>
      <w:r>
        <w:rPr>
          <w:rFonts w:ascii="仿宋_GB2312" w:eastAsia="仿宋_GB2312" w:cs="仿宋_GB2312"/>
          <w:color w:val="auto"/>
          <w:sz w:val="32"/>
          <w:szCs w:val="32"/>
          <w:highlight w:val="none"/>
        </w:rPr>
        <w:t>558.96</w:t>
      </w:r>
      <w:r>
        <w:rPr>
          <w:rFonts w:hint="eastAsia" w:ascii="仿宋_GB2312" w:hAnsi="仿宋_GB2312" w:eastAsia="仿宋_GB2312" w:cs="仿宋_GB2312"/>
          <w:color w:val="auto"/>
          <w:sz w:val="32"/>
          <w:szCs w:val="32"/>
          <w:highlight w:val="none"/>
        </w:rPr>
        <w:t>万元。与上年度相比，收、支总计各减少</w:t>
      </w:r>
      <w:r>
        <w:rPr>
          <w:rFonts w:ascii="仿宋_GB2312" w:hAnsi="仿宋_GB2312" w:eastAsia="仿宋_GB2312"/>
          <w:color w:val="auto"/>
          <w:sz w:val="32"/>
          <w:szCs w:val="24"/>
          <w:highlight w:val="none"/>
        </w:rPr>
        <w:t>29.69</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5.0</w:t>
      </w:r>
      <w:r>
        <w:rPr>
          <w:rFonts w:hint="eastAsia" w:ascii="仿宋_GB2312" w:hAnsi="仿宋_GB2312" w:eastAsia="仿宋_GB2312"/>
          <w:color w:val="auto"/>
          <w:sz w:val="32"/>
          <w:szCs w:val="24"/>
          <w:highlight w:val="none"/>
          <w:lang w:val="en-US" w:eastAsia="zh-CN"/>
        </w:rPr>
        <w:t>4</w:t>
      </w:r>
      <w:r>
        <w:rPr>
          <w:rFonts w:hint="eastAsia" w:ascii="仿宋_GB2312" w:hAnsi="仿宋_GB2312" w:eastAsia="仿宋_GB2312" w:cs="仿宋_GB2312"/>
          <w:color w:val="auto"/>
          <w:sz w:val="32"/>
          <w:szCs w:val="32"/>
          <w:highlight w:val="none"/>
        </w:rPr>
        <w:t>%。主要原因是按照上级要求，压缩了项目经费；严格按照中央“八项规定”精神，厉行节约压减一般性支出。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二、收入决算情况说明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lang w:eastAsia="zh-CN"/>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年度收入合计</w:t>
      </w:r>
      <w:r>
        <w:rPr>
          <w:rFonts w:ascii="仿宋_GB2312" w:hAnsi="仿宋_GB2312" w:eastAsia="仿宋_GB2312"/>
          <w:color w:val="auto"/>
          <w:sz w:val="32"/>
          <w:szCs w:val="24"/>
          <w:highlight w:val="none"/>
        </w:rPr>
        <w:t>479.44</w:t>
      </w:r>
      <w:r>
        <w:rPr>
          <w:rFonts w:hint="eastAsia" w:ascii="仿宋_GB2312" w:hAnsi="仿宋_GB2312" w:eastAsia="仿宋_GB2312" w:cs="仿宋_GB2312"/>
          <w:color w:val="auto"/>
          <w:sz w:val="32"/>
          <w:szCs w:val="32"/>
          <w:highlight w:val="none"/>
        </w:rPr>
        <w:t>万元，其中：财政拨款收入</w:t>
      </w:r>
      <w:r>
        <w:rPr>
          <w:rFonts w:ascii="仿宋_GB2312" w:hAnsi="仿宋_GB2312" w:eastAsia="仿宋_GB2312"/>
          <w:color w:val="auto"/>
          <w:sz w:val="32"/>
          <w:szCs w:val="24"/>
          <w:highlight w:val="none"/>
        </w:rPr>
        <w:t>479.44</w:t>
      </w:r>
      <w:r>
        <w:rPr>
          <w:rFonts w:hint="eastAsia" w:ascii="仿宋_GB2312" w:hAnsi="仿宋_GB2312" w:eastAsia="仿宋_GB2312" w:cs="仿宋_GB2312"/>
          <w:color w:val="auto"/>
          <w:sz w:val="32"/>
          <w:szCs w:val="32"/>
          <w:highlight w:val="none"/>
        </w:rPr>
        <w:t>万元，占</w:t>
      </w:r>
      <w:r>
        <w:rPr>
          <w:rFonts w:hint="eastAsia" w:ascii="仿宋_GB2312" w:hAnsi="仿宋_GB2312" w:eastAsia="仿宋_GB2312"/>
          <w:color w:val="auto"/>
          <w:sz w:val="32"/>
          <w:szCs w:val="24"/>
          <w:highlight w:val="none"/>
        </w:rPr>
        <w:t>100</w:t>
      </w:r>
      <w:r>
        <w:rPr>
          <w:rFonts w:hint="eastAsia" w:ascii="仿宋_GB2312" w:hAnsi="仿宋_GB2312" w:eastAsia="仿宋_GB2312" w:cs="仿宋_GB2312"/>
          <w:color w:val="auto"/>
          <w:sz w:val="32"/>
          <w:szCs w:val="32"/>
          <w:highlight w:val="none"/>
        </w:rPr>
        <w:t>%；上级补助收入0.00万元，占0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%；事业收入0.00万元，占0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%；经营收入0.00万元，占0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%；附属单位上缴收入0.00万元，占0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%；其他收入0.00万元，占0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三、支出决算情况说明</w:t>
      </w:r>
    </w:p>
    <w:p>
      <w:pPr>
        <w:autoSpaceDE w:val="0"/>
        <w:autoSpaceDN w:val="0"/>
        <w:adjustRightInd w:val="0"/>
        <w:spacing w:line="590" w:lineRule="exact"/>
        <w:ind w:firstLine="640"/>
        <w:rPr>
          <w:rFonts w:hint="eastAsia" w:eastAsia="仿宋_GB2312"/>
          <w:color w:val="auto"/>
          <w:kern w:val="0"/>
          <w:sz w:val="18"/>
          <w:szCs w:val="18"/>
          <w:highlight w:val="none"/>
          <w:lang w:val="zh-CN" w:eastAsia="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年度支出合计</w:t>
      </w:r>
      <w:r>
        <w:rPr>
          <w:rFonts w:ascii="仿宋_GB2312" w:eastAsia="仿宋_GB2312" w:cs="仿宋_GB2312"/>
          <w:color w:val="auto"/>
          <w:sz w:val="32"/>
          <w:szCs w:val="32"/>
          <w:highlight w:val="none"/>
        </w:rPr>
        <w:t>523.92</w:t>
      </w:r>
      <w:r>
        <w:rPr>
          <w:rFonts w:hint="eastAsia" w:ascii="仿宋_GB2312" w:eastAsia="仿宋_GB2312" w:cs="仿宋_GB2312"/>
          <w:color w:val="auto"/>
          <w:sz w:val="32"/>
          <w:szCs w:val="32"/>
          <w:highlight w:val="none"/>
        </w:rPr>
        <w:t>万元，其中：基本支出</w:t>
      </w:r>
      <w:r>
        <w:rPr>
          <w:rFonts w:ascii="仿宋_GB2312" w:eastAsia="仿宋_GB2312" w:cs="仿宋_GB2312"/>
          <w:color w:val="auto"/>
          <w:sz w:val="32"/>
          <w:szCs w:val="32"/>
          <w:highlight w:val="none"/>
        </w:rPr>
        <w:t>514.9</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98.28%</w:t>
      </w:r>
      <w:r>
        <w:rPr>
          <w:rFonts w:hint="eastAsia" w:ascii="仿宋_GB2312" w:eastAsia="仿宋_GB2312" w:cs="仿宋_GB2312"/>
          <w:color w:val="auto"/>
          <w:sz w:val="32"/>
          <w:szCs w:val="32"/>
          <w:highlight w:val="none"/>
        </w:rPr>
        <w:t>；项目支出</w:t>
      </w:r>
      <w:r>
        <w:rPr>
          <w:rFonts w:ascii="仿宋_GB2312" w:eastAsia="仿宋_GB2312" w:cs="仿宋_GB2312"/>
          <w:color w:val="auto"/>
          <w:sz w:val="32"/>
          <w:szCs w:val="32"/>
          <w:highlight w:val="none"/>
        </w:rPr>
        <w:t>9.02</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1.72%</w:t>
      </w:r>
      <w:r>
        <w:rPr>
          <w:rFonts w:hint="eastAsia" w:ascii="仿宋_GB2312" w:eastAsia="仿宋_GB2312" w:cs="仿宋_GB2312"/>
          <w:color w:val="auto"/>
          <w:sz w:val="32"/>
          <w:szCs w:val="32"/>
          <w:highlight w:val="none"/>
        </w:rPr>
        <w:t>；上缴上级支出</w:t>
      </w:r>
      <w:r>
        <w:rPr>
          <w:rFonts w:hint="eastAsia" w:ascii="仿宋_GB2312" w:eastAsia="仿宋_GB2312" w:cs="仿宋_GB2312"/>
          <w:color w:val="auto"/>
          <w:sz w:val="32"/>
          <w:szCs w:val="32"/>
          <w:highlight w:val="none"/>
          <w:lang w:val="en-US" w:eastAsia="zh-CN"/>
        </w:rPr>
        <w:t>0.00</w:t>
      </w:r>
      <w:r>
        <w:rPr>
          <w:rFonts w:hint="eastAsia" w:asci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经营支出</w:t>
      </w:r>
      <w:r>
        <w:rPr>
          <w:rFonts w:hint="eastAsia" w:ascii="仿宋_GB2312" w:eastAsia="仿宋_GB2312" w:cs="仿宋_GB2312"/>
          <w:color w:val="auto"/>
          <w:sz w:val="32"/>
          <w:szCs w:val="32"/>
          <w:highlight w:val="none"/>
          <w:lang w:val="en-US" w:eastAsia="zh-CN"/>
        </w:rPr>
        <w:t>0.00</w:t>
      </w:r>
      <w:r>
        <w:rPr>
          <w:rFonts w:hint="eastAsia" w:asci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对附属单位补助支出</w:t>
      </w:r>
      <w:r>
        <w:rPr>
          <w:rFonts w:hint="eastAsia" w:ascii="仿宋_GB2312" w:eastAsia="仿宋_GB2312" w:cs="仿宋_GB2312"/>
          <w:color w:val="auto"/>
          <w:sz w:val="32"/>
          <w:szCs w:val="32"/>
          <w:highlight w:val="none"/>
          <w:lang w:val="en-US" w:eastAsia="zh-CN"/>
        </w:rPr>
        <w:t>0.00</w:t>
      </w:r>
      <w:r>
        <w:rPr>
          <w:rFonts w:hint="eastAsia" w:asci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占0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四、财政拨款收入支出决算总体情况说明</w:t>
      </w:r>
    </w:p>
    <w:p>
      <w:pPr>
        <w:widowControl/>
        <w:spacing w:line="590" w:lineRule="exact"/>
        <w:ind w:firstLine="640" w:firstLineChars="200"/>
        <w:rPr>
          <w:rFonts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年度财政拨款收、支总计均为</w:t>
      </w:r>
      <w:r>
        <w:rPr>
          <w:rFonts w:ascii="仿宋_GB2312" w:eastAsia="仿宋_GB2312" w:cs="仿宋_GB2312"/>
          <w:color w:val="auto"/>
          <w:sz w:val="32"/>
          <w:szCs w:val="32"/>
          <w:highlight w:val="none"/>
        </w:rPr>
        <w:t>523.92</w:t>
      </w:r>
      <w:r>
        <w:rPr>
          <w:rFonts w:hint="eastAsia" w:ascii="仿宋_GB2312" w:eastAsia="仿宋_GB2312" w:cs="仿宋_GB2312"/>
          <w:color w:val="auto"/>
          <w:sz w:val="32"/>
          <w:szCs w:val="32"/>
          <w:highlight w:val="none"/>
        </w:rPr>
        <w:t>万元。</w:t>
      </w:r>
      <w:r>
        <w:rPr>
          <w:rFonts w:hint="eastAsia" w:ascii="仿宋_GB2312" w:hAnsi="仿宋_GB2312" w:eastAsia="仿宋_GB2312" w:cs="仿宋_GB2312"/>
          <w:color w:val="auto"/>
          <w:sz w:val="32"/>
          <w:szCs w:val="32"/>
          <w:highlight w:val="none"/>
        </w:rPr>
        <w:t>与上年度相比，财政拨款收、支总计各减少</w:t>
      </w:r>
      <w:r>
        <w:rPr>
          <w:rFonts w:ascii="仿宋_GB2312" w:eastAsia="仿宋_GB2312" w:cs="仿宋_GB2312"/>
          <w:color w:val="auto"/>
          <w:sz w:val="32"/>
          <w:szCs w:val="32"/>
          <w:highlight w:val="none"/>
        </w:rPr>
        <w:t>61.24</w:t>
      </w:r>
      <w:r>
        <w:rPr>
          <w:rFonts w:hint="eastAsia" w:ascii="仿宋_GB2312" w:hAnsi="仿宋_GB2312" w:eastAsia="仿宋_GB2312" w:cs="仿宋_GB2312"/>
          <w:color w:val="auto"/>
          <w:sz w:val="32"/>
          <w:szCs w:val="32"/>
          <w:highlight w:val="none"/>
        </w:rPr>
        <w:t>万元，下降</w:t>
      </w:r>
      <w:r>
        <w:rPr>
          <w:rFonts w:hint="eastAsia" w:ascii="仿宋_GB2312" w:hAnsi="仿宋_GB2312" w:eastAsia="仿宋_GB2312"/>
          <w:color w:val="auto"/>
          <w:sz w:val="32"/>
          <w:szCs w:val="24"/>
          <w:highlight w:val="none"/>
        </w:rPr>
        <w:t>10.47</w:t>
      </w:r>
      <w:r>
        <w:rPr>
          <w:rFonts w:hint="eastAsia" w:ascii="仿宋_GB2312" w:hAnsi="仿宋_GB2312" w:eastAsia="仿宋_GB2312" w:cs="仿宋_GB2312"/>
          <w:color w:val="auto"/>
          <w:sz w:val="32"/>
          <w:szCs w:val="32"/>
          <w:highlight w:val="none"/>
        </w:rPr>
        <w:t>%。主要原因是按照上级要求，压缩了项目经费；严格按照中央“八项规定”精神，压减一般性支出。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（一）总体情况。</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523.92</w:t>
      </w:r>
      <w:r>
        <w:rPr>
          <w:rFonts w:hint="eastAsia" w:ascii="仿宋_GB2312" w:hAnsi="仿宋_GB2312" w:eastAsia="仿宋_GB2312" w:cs="仿宋_GB2312"/>
          <w:color w:val="auto"/>
          <w:sz w:val="32"/>
          <w:szCs w:val="32"/>
          <w:highlight w:val="none"/>
        </w:rPr>
        <w:t>万元，占支出合计的</w:t>
      </w:r>
      <w:r>
        <w:rPr>
          <w:rFonts w:hint="eastAsia" w:ascii="仿宋_GB2312" w:hAnsi="仿宋_GB2312" w:eastAsia="仿宋_GB2312"/>
          <w:color w:val="auto"/>
          <w:sz w:val="32"/>
          <w:szCs w:val="24"/>
          <w:highlight w:val="none"/>
        </w:rPr>
        <w:t>100</w:t>
      </w:r>
      <w:r>
        <w:rPr>
          <w:rFonts w:hint="eastAsia" w:ascii="仿宋_GB2312" w:hAnsi="仿宋_GB2312" w:eastAsia="仿宋_GB2312"/>
          <w:color w:val="auto"/>
          <w:sz w:val="32"/>
          <w:szCs w:val="24"/>
          <w:highlight w:val="none"/>
          <w:lang w:val="en-US" w:eastAsia="zh-CN"/>
        </w:rPr>
        <w:t>.00</w:t>
      </w:r>
      <w:r>
        <w:rPr>
          <w:rFonts w:hint="eastAsia" w:ascii="仿宋_GB2312" w:hAnsi="仿宋_GB2312" w:eastAsia="仿宋_GB2312" w:cs="仿宋_GB2312"/>
          <w:color w:val="auto"/>
          <w:sz w:val="32"/>
          <w:szCs w:val="32"/>
          <w:highlight w:val="none"/>
        </w:rPr>
        <w:t>%。与上年度相比，一般公共预算财政拨款支出增加</w:t>
      </w:r>
      <w:r>
        <w:rPr>
          <w:rFonts w:ascii="仿宋_GB2312" w:eastAsia="仿宋_GB2312" w:cs="仿宋_GB2312"/>
          <w:color w:val="auto"/>
          <w:sz w:val="32"/>
          <w:szCs w:val="32"/>
          <w:highlight w:val="none"/>
        </w:rPr>
        <w:t>22.54</w:t>
      </w:r>
      <w:r>
        <w:rPr>
          <w:rFonts w:hint="eastAsia" w:ascii="仿宋_GB2312" w:hAnsi="仿宋_GB2312" w:eastAsia="仿宋_GB2312" w:cs="仿宋_GB2312"/>
          <w:color w:val="auto"/>
          <w:sz w:val="32"/>
          <w:szCs w:val="32"/>
          <w:highlight w:val="none"/>
        </w:rPr>
        <w:t>万元，增长</w:t>
      </w:r>
      <w:r>
        <w:rPr>
          <w:rFonts w:hint="eastAsia" w:ascii="仿宋_GB2312" w:hAnsi="仿宋_GB2312" w:eastAsia="仿宋_GB2312"/>
          <w:color w:val="auto"/>
          <w:sz w:val="32"/>
          <w:szCs w:val="24"/>
          <w:highlight w:val="none"/>
        </w:rPr>
        <w:t>4.5</w:t>
      </w:r>
      <w:r>
        <w:rPr>
          <w:rFonts w:hint="eastAsia" w:ascii="仿宋_GB2312" w:hAnsi="仿宋_GB2312" w:eastAsia="仿宋_GB2312"/>
          <w:color w:val="auto"/>
          <w:sz w:val="32"/>
          <w:szCs w:val="24"/>
          <w:highlight w:val="none"/>
          <w:lang w:val="en-US" w:eastAsia="zh-CN"/>
        </w:rPr>
        <w:t>0</w:t>
      </w:r>
      <w:r>
        <w:rPr>
          <w:rFonts w:hint="eastAsia" w:ascii="仿宋_GB2312" w:hAnsi="仿宋_GB2312" w:eastAsia="仿宋_GB2312" w:cs="仿宋_GB2312"/>
          <w:color w:val="auto"/>
          <w:sz w:val="32"/>
          <w:szCs w:val="32"/>
          <w:highlight w:val="none"/>
        </w:rPr>
        <w:t>%。主要原因是2021年人员职级晋升、晋级晋档，养老缴费基数进行了调整。</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（二）结构情况。</w:t>
      </w:r>
    </w:p>
    <w:p>
      <w:pPr>
        <w:widowControl/>
        <w:spacing w:line="590" w:lineRule="exact"/>
        <w:ind w:firstLine="640" w:firstLineChars="200"/>
        <w:rPr>
          <w:color w:val="auto"/>
          <w:szCs w:val="21"/>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年度一般公共预算财政拨款支出</w:t>
      </w:r>
      <w:r>
        <w:rPr>
          <w:rFonts w:ascii="仿宋_GB2312" w:eastAsia="仿宋_GB2312" w:cs="仿宋_GB2312"/>
          <w:color w:val="auto"/>
          <w:sz w:val="32"/>
          <w:szCs w:val="32"/>
          <w:highlight w:val="none"/>
        </w:rPr>
        <w:t>523.92</w:t>
      </w:r>
      <w:r>
        <w:rPr>
          <w:rFonts w:hint="eastAsia" w:ascii="仿宋_GB2312" w:hAnsi="仿宋_GB2312" w:eastAsia="仿宋_GB2312" w:cs="仿宋_GB2312"/>
          <w:color w:val="auto"/>
          <w:sz w:val="32"/>
          <w:szCs w:val="32"/>
          <w:highlight w:val="none"/>
        </w:rPr>
        <w:t>万元，主要用于以下方面：</w:t>
      </w:r>
      <w:r>
        <w:rPr>
          <w:rFonts w:hint="eastAsia" w:ascii="仿宋_GB2312" w:eastAsia="仿宋_GB2312" w:cs="宋体"/>
          <w:color w:val="auto"/>
          <w:kern w:val="0"/>
          <w:sz w:val="32"/>
          <w:szCs w:val="32"/>
          <w:highlight w:val="none"/>
          <w:lang w:val="zh-CN"/>
        </w:rPr>
        <w:t>一般公共服务（类）支出</w:t>
      </w:r>
      <w:r>
        <w:rPr>
          <w:rFonts w:hint="eastAsia" w:ascii="仿宋_GB2312" w:eastAsia="仿宋_GB2312" w:cs="宋体"/>
          <w:color w:val="auto"/>
          <w:kern w:val="0"/>
          <w:sz w:val="32"/>
          <w:szCs w:val="32"/>
          <w:highlight w:val="none"/>
        </w:rPr>
        <w:t>428.42</w:t>
      </w:r>
      <w:r>
        <w:rPr>
          <w:rFonts w:hint="eastAsia" w:ascii="仿宋_GB2312" w:eastAsia="仿宋_GB2312" w:cs="宋体"/>
          <w:color w:val="auto"/>
          <w:kern w:val="0"/>
          <w:sz w:val="32"/>
          <w:szCs w:val="32"/>
          <w:highlight w:val="none"/>
          <w:lang w:val="zh-CN"/>
        </w:rPr>
        <w:t>万元，占</w:t>
      </w:r>
      <w:r>
        <w:rPr>
          <w:rFonts w:hint="eastAsia" w:ascii="仿宋_GB2312" w:eastAsia="仿宋_GB2312" w:cs="宋体"/>
          <w:color w:val="auto"/>
          <w:kern w:val="0"/>
          <w:sz w:val="32"/>
          <w:szCs w:val="32"/>
          <w:highlight w:val="none"/>
        </w:rPr>
        <w:t>81.77</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w:t>
      </w:r>
      <w:r>
        <w:rPr>
          <w:rFonts w:hint="eastAsia" w:ascii="仿宋" w:hAnsi="仿宋" w:eastAsia="仿宋"/>
          <w:color w:val="auto"/>
          <w:sz w:val="32"/>
          <w:szCs w:val="32"/>
          <w:highlight w:val="none"/>
        </w:rPr>
        <w:t>社会保障和就业（类）支出</w:t>
      </w:r>
      <w:r>
        <w:rPr>
          <w:rFonts w:hint="eastAsia" w:ascii="仿宋_GB2312" w:hAnsi="仿宋_GB2312" w:eastAsia="仿宋_GB2312" w:cs="仿宋_GB2312"/>
          <w:color w:val="auto"/>
          <w:sz w:val="32"/>
          <w:szCs w:val="32"/>
          <w:highlight w:val="none"/>
        </w:rPr>
        <w:t>71.69</w:t>
      </w:r>
      <w:r>
        <w:rPr>
          <w:rFonts w:hint="eastAsia" w:ascii="仿宋_GB2312" w:eastAsia="仿宋_GB2312" w:cs="宋体"/>
          <w:color w:val="auto"/>
          <w:kern w:val="0"/>
          <w:sz w:val="32"/>
          <w:szCs w:val="32"/>
          <w:highlight w:val="none"/>
          <w:lang w:val="zh-CN"/>
        </w:rPr>
        <w:t>万元，占</w:t>
      </w:r>
      <w:r>
        <w:rPr>
          <w:rFonts w:hint="eastAsia" w:ascii="仿宋_GB2312" w:eastAsia="仿宋_GB2312" w:cs="宋体"/>
          <w:color w:val="auto"/>
          <w:kern w:val="0"/>
          <w:sz w:val="32"/>
          <w:szCs w:val="32"/>
          <w:highlight w:val="none"/>
        </w:rPr>
        <w:t>13.68</w:t>
      </w:r>
      <w:r>
        <w:rPr>
          <w:rFonts w:ascii="仿宋_GB2312" w:eastAsia="仿宋_GB2312" w:cs="宋体"/>
          <w:color w:val="auto"/>
          <w:kern w:val="0"/>
          <w:sz w:val="32"/>
          <w:szCs w:val="32"/>
          <w:highlight w:val="none"/>
          <w:lang w:val="zh-CN"/>
        </w:rPr>
        <w:t>%</w:t>
      </w:r>
      <w:r>
        <w:rPr>
          <w:rFonts w:hint="eastAsia" w:ascii="仿宋_GB2312" w:eastAsia="仿宋_GB2312" w:cs="宋体"/>
          <w:color w:val="auto"/>
          <w:kern w:val="0"/>
          <w:sz w:val="32"/>
          <w:szCs w:val="32"/>
          <w:highlight w:val="none"/>
          <w:lang w:val="zh-CN"/>
        </w:rPr>
        <w:t>；卫生健康（类）支出</w:t>
      </w:r>
      <w:r>
        <w:rPr>
          <w:rFonts w:hint="eastAsia" w:ascii="仿宋_GB2312" w:eastAsia="仿宋_GB2312" w:cs="宋体"/>
          <w:color w:val="auto"/>
          <w:kern w:val="0"/>
          <w:sz w:val="32"/>
          <w:szCs w:val="32"/>
          <w:highlight w:val="none"/>
        </w:rPr>
        <w:t>23.82万元，占4.55%。</w:t>
      </w:r>
    </w:p>
    <w:p>
      <w:pPr>
        <w:widowControl/>
        <w:spacing w:line="590" w:lineRule="exact"/>
        <w:ind w:firstLine="643" w:firstLineChars="200"/>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（三）具体情况。</w:t>
      </w:r>
    </w:p>
    <w:p>
      <w:pPr>
        <w:autoSpaceDE w:val="0"/>
        <w:autoSpaceDN w:val="0"/>
        <w:adjustRightInd w:val="0"/>
        <w:spacing w:line="590" w:lineRule="exact"/>
        <w:ind w:firstLine="640"/>
        <w:rPr>
          <w:rFonts w:hint="eastAsia" w:eastAsia="仿宋_GB2312"/>
          <w:color w:val="auto"/>
          <w:sz w:val="32"/>
          <w:szCs w:val="32"/>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年度一般公共预算财政拨款支出年初预算为</w:t>
      </w:r>
      <w:r>
        <w:rPr>
          <w:rFonts w:ascii="仿宋_GB2312" w:eastAsia="仿宋_GB2312" w:cs="仿宋_GB2312"/>
          <w:color w:val="auto"/>
          <w:sz w:val="32"/>
          <w:szCs w:val="32"/>
          <w:highlight w:val="none"/>
        </w:rPr>
        <w:t>527.38</w:t>
      </w:r>
      <w:r>
        <w:rPr>
          <w:rFonts w:hint="eastAsia" w:ascii="仿宋_GB2312" w:eastAsia="仿宋_GB2312" w:cs="仿宋_GB2312"/>
          <w:color w:val="auto"/>
          <w:sz w:val="32"/>
          <w:szCs w:val="32"/>
          <w:highlight w:val="none"/>
        </w:rPr>
        <w:t>万元，支出决算为</w:t>
      </w:r>
      <w:r>
        <w:rPr>
          <w:rFonts w:ascii="仿宋_GB2312" w:eastAsia="仿宋_GB2312" w:cs="仿宋_GB2312"/>
          <w:color w:val="auto"/>
          <w:sz w:val="32"/>
          <w:szCs w:val="32"/>
          <w:highlight w:val="none"/>
        </w:rPr>
        <w:t>523.92</w:t>
      </w:r>
      <w:r>
        <w:rPr>
          <w:rFonts w:hint="eastAsia" w:ascii="仿宋_GB2312" w:eastAsia="仿宋_GB2312" w:cs="仿宋_GB2312"/>
          <w:color w:val="auto"/>
          <w:sz w:val="32"/>
          <w:szCs w:val="32"/>
          <w:highlight w:val="none"/>
        </w:rPr>
        <w:t>万元，完成年初预算的</w:t>
      </w:r>
      <w:r>
        <w:rPr>
          <w:rFonts w:ascii="仿宋_GB2312" w:eastAsia="仿宋_GB2312" w:cs="仿宋_GB2312"/>
          <w:color w:val="auto"/>
          <w:sz w:val="32"/>
          <w:szCs w:val="32"/>
          <w:highlight w:val="none"/>
        </w:rPr>
        <w:t>99.3</w:t>
      </w:r>
      <w:r>
        <w:rPr>
          <w:rFonts w:hint="default" w:ascii="仿宋_GB2312" w:eastAsia="仿宋_GB2312" w:cs="仿宋_GB2312"/>
          <w:color w:val="auto"/>
          <w:sz w:val="32"/>
          <w:szCs w:val="32"/>
          <w:highlight w:val="none"/>
          <w:lang w:val="en"/>
        </w:rPr>
        <w:t>5</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。其中：</w:t>
      </w:r>
    </w:p>
    <w:p>
      <w:pPr>
        <w:widowControl/>
        <w:adjustRightInd w:val="0"/>
        <w:snapToGrid w:val="0"/>
        <w:spacing w:line="590" w:lineRule="exact"/>
        <w:ind w:firstLine="643" w:firstLineChars="200"/>
        <w:rPr>
          <w:rFonts w:hint="eastAsia" w:ascii="仿宋_GB2312" w:hAnsi="宋体" w:eastAsia="仿宋_GB2312" w:cs="Courier New"/>
          <w:color w:val="auto"/>
          <w:sz w:val="32"/>
          <w:szCs w:val="32"/>
          <w:highlight w:val="none"/>
        </w:rPr>
      </w:pPr>
      <w:r>
        <w:rPr>
          <w:rFonts w:hint="eastAsia" w:ascii="仿宋_GB2312" w:hAnsi="宋体" w:eastAsia="仿宋_GB2312" w:cs="Courier New"/>
          <w:b/>
          <w:bCs/>
          <w:color w:val="auto"/>
          <w:sz w:val="32"/>
          <w:szCs w:val="32"/>
          <w:highlight w:val="none"/>
        </w:rPr>
        <w:t>1．一般公共服务（类）群众团体事务（款）工会事务（项）。</w:t>
      </w:r>
      <w:r>
        <w:rPr>
          <w:rFonts w:hint="eastAsia" w:ascii="仿宋_GB2312" w:hAnsi="宋体" w:eastAsia="仿宋_GB2312" w:cs="Courier New"/>
          <w:color w:val="auto"/>
          <w:sz w:val="32"/>
          <w:szCs w:val="32"/>
          <w:highlight w:val="none"/>
        </w:rPr>
        <w:t>年初预算为2.10万元，支出决算为2.10万元，完成年初预算的100</w:t>
      </w:r>
      <w:r>
        <w:rPr>
          <w:rFonts w:hint="eastAsia" w:ascii="仿宋_GB2312" w:hAnsi="宋体" w:eastAsia="仿宋_GB2312" w:cs="Courier New"/>
          <w:color w:val="auto"/>
          <w:sz w:val="32"/>
          <w:szCs w:val="32"/>
          <w:highlight w:val="none"/>
          <w:lang w:val="en-US" w:eastAsia="zh-CN"/>
        </w:rPr>
        <w:t>.00</w:t>
      </w:r>
      <w:r>
        <w:rPr>
          <w:rFonts w:hint="eastAsia" w:ascii="仿宋_GB2312" w:hAnsi="宋体" w:eastAsia="仿宋_GB2312" w:cs="Courier New"/>
          <w:color w:val="auto"/>
          <w:sz w:val="32"/>
          <w:szCs w:val="32"/>
          <w:highlight w:val="none"/>
        </w:rPr>
        <w:t>%。决算数与年初预算数无差异。</w:t>
      </w:r>
    </w:p>
    <w:p>
      <w:pPr>
        <w:widowControl/>
        <w:adjustRightInd w:val="0"/>
        <w:snapToGrid w:val="0"/>
        <w:spacing w:line="590" w:lineRule="exact"/>
        <w:ind w:firstLine="643" w:firstLineChars="200"/>
        <w:rPr>
          <w:rFonts w:hint="eastAsia" w:ascii="仿宋_GB2312" w:hAnsi="宋体" w:eastAsia="仿宋_GB2312" w:cs="Courier New"/>
          <w:color w:val="auto"/>
          <w:sz w:val="32"/>
          <w:szCs w:val="32"/>
          <w:highlight w:val="none"/>
          <w:lang w:val="en-US" w:eastAsia="zh-CN"/>
        </w:rPr>
      </w:pPr>
      <w:r>
        <w:rPr>
          <w:rFonts w:hint="eastAsia" w:ascii="仿宋_GB2312" w:hAnsi="宋体" w:eastAsia="仿宋_GB2312" w:cs="Courier New"/>
          <w:b/>
          <w:bCs/>
          <w:color w:val="auto"/>
          <w:sz w:val="32"/>
          <w:szCs w:val="32"/>
          <w:highlight w:val="none"/>
        </w:rPr>
        <w:t>2．一般公共服务（类）市场监督管理事务（款）行政运行（项）。</w:t>
      </w:r>
      <w:r>
        <w:rPr>
          <w:rFonts w:hint="eastAsia" w:ascii="仿宋_GB2312" w:hAnsi="宋体" w:eastAsia="仿宋_GB2312" w:cs="Courier New"/>
          <w:color w:val="auto"/>
          <w:sz w:val="32"/>
          <w:szCs w:val="32"/>
          <w:highlight w:val="none"/>
        </w:rPr>
        <w:t>年初预算为428.92万元，支出决算为417.30万元，完成年初预算的</w:t>
      </w:r>
      <w:r>
        <w:rPr>
          <w:rFonts w:hint="eastAsia" w:ascii="仿宋_GB2312" w:hAnsi="宋体" w:eastAsia="仿宋_GB2312" w:cs="Courier New"/>
          <w:color w:val="auto"/>
          <w:sz w:val="32"/>
          <w:szCs w:val="32"/>
          <w:highlight w:val="none"/>
          <w:lang w:val="en-US" w:eastAsia="zh-CN"/>
        </w:rPr>
        <w:t>97.29</w:t>
      </w:r>
      <w:r>
        <w:rPr>
          <w:rFonts w:hint="eastAsia" w:ascii="仿宋_GB2312" w:hAnsi="宋体" w:eastAsia="仿宋_GB2312" w:cs="Courier New"/>
          <w:color w:val="auto"/>
          <w:sz w:val="32"/>
          <w:szCs w:val="32"/>
          <w:highlight w:val="none"/>
        </w:rPr>
        <w:t>%。决算数与年初预算数存在差异的主要原因是</w:t>
      </w:r>
      <w:r>
        <w:rPr>
          <w:rFonts w:hint="eastAsia" w:ascii="仿宋_GB2312" w:hAnsi="宋体" w:eastAsia="仿宋_GB2312" w:cs="Courier New"/>
          <w:color w:val="auto"/>
          <w:sz w:val="32"/>
          <w:szCs w:val="32"/>
          <w:highlight w:val="none"/>
          <w:lang w:val="en-US" w:eastAsia="zh-CN"/>
        </w:rPr>
        <w:t>贯彻落实上级过紧日子要求，厉行节约，压减支出。</w:t>
      </w:r>
    </w:p>
    <w:p>
      <w:pPr>
        <w:widowControl/>
        <w:adjustRightInd w:val="0"/>
        <w:snapToGrid w:val="0"/>
        <w:spacing w:line="590" w:lineRule="exact"/>
        <w:ind w:firstLine="643" w:firstLineChars="200"/>
        <w:rPr>
          <w:rFonts w:hint="eastAsia" w:ascii="仿宋_GB2312" w:hAnsi="宋体" w:eastAsia="仿宋_GB2312" w:cs="Courier New"/>
          <w:color w:val="auto"/>
          <w:sz w:val="32"/>
          <w:szCs w:val="32"/>
          <w:highlight w:val="none"/>
        </w:rPr>
      </w:pPr>
      <w:r>
        <w:rPr>
          <w:rFonts w:hint="eastAsia" w:ascii="仿宋_GB2312" w:hAnsi="宋体" w:eastAsia="仿宋_GB2312" w:cs="Courier New"/>
          <w:b/>
          <w:bCs/>
          <w:color w:val="auto"/>
          <w:sz w:val="32"/>
          <w:szCs w:val="32"/>
          <w:highlight w:val="none"/>
        </w:rPr>
        <w:t>3、一般公共服务（类）市场监督管理事务（款）市场秩序执法（项）。</w:t>
      </w:r>
      <w:r>
        <w:rPr>
          <w:rFonts w:hint="eastAsia" w:ascii="仿宋_GB2312" w:hAnsi="宋体" w:eastAsia="仿宋_GB2312" w:cs="Courier New"/>
          <w:color w:val="auto"/>
          <w:sz w:val="32"/>
          <w:szCs w:val="32"/>
          <w:highlight w:val="none"/>
        </w:rPr>
        <w:t>年初预算为0.00万元，支出决算为2.50万元。</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宋体" w:eastAsia="仿宋_GB2312" w:cs="Courier New"/>
          <w:color w:val="auto"/>
          <w:sz w:val="32"/>
          <w:szCs w:val="32"/>
          <w:highlight w:val="none"/>
        </w:rPr>
        <w:t>是2020年度未完成预算项目在2021年度完成。</w:t>
      </w:r>
    </w:p>
    <w:p>
      <w:pPr>
        <w:widowControl/>
        <w:spacing w:line="590" w:lineRule="exact"/>
        <w:ind w:firstLine="643" w:firstLineChars="200"/>
        <w:rPr>
          <w:rFonts w:hint="eastAsia" w:ascii="仿宋_GB2312" w:hAnsi="宋体" w:eastAsia="仿宋_GB2312" w:cs="Courier New"/>
          <w:color w:val="auto"/>
          <w:sz w:val="32"/>
          <w:szCs w:val="32"/>
          <w:highlight w:val="none"/>
          <w:lang w:eastAsia="zh-CN"/>
        </w:rPr>
      </w:pPr>
      <w:r>
        <w:rPr>
          <w:rFonts w:hint="eastAsia" w:ascii="仿宋_GB2312" w:hAnsi="宋体" w:eastAsia="仿宋_GB2312" w:cs="Courier New"/>
          <w:b/>
          <w:bCs/>
          <w:color w:val="auto"/>
          <w:sz w:val="32"/>
          <w:szCs w:val="32"/>
          <w:highlight w:val="none"/>
        </w:rPr>
        <w:t>4、一般公共服务（类）市场监督管理事务（款）其他市场监督管理事务（项）。</w:t>
      </w:r>
      <w:r>
        <w:rPr>
          <w:rFonts w:hint="eastAsia" w:ascii="仿宋_GB2312" w:hAnsi="宋体" w:eastAsia="仿宋_GB2312" w:cs="Courier New"/>
          <w:color w:val="auto"/>
          <w:sz w:val="32"/>
          <w:szCs w:val="32"/>
          <w:highlight w:val="none"/>
        </w:rPr>
        <w:t>年初预算为0.00万元，支出决算为6.52万元。</w:t>
      </w:r>
      <w:r>
        <w:rPr>
          <w:rFonts w:hint="eastAsia" w:ascii="仿宋_GB2312" w:hAnsi="仿宋_GB2312" w:eastAsia="仿宋_GB2312" w:cs="仿宋_GB2312"/>
          <w:color w:val="auto"/>
          <w:sz w:val="32"/>
          <w:szCs w:val="32"/>
          <w:highlight w:val="none"/>
        </w:rPr>
        <w:t>决算数与年初预算数存在差异的主要原因</w:t>
      </w:r>
      <w:r>
        <w:rPr>
          <w:rFonts w:hint="eastAsia" w:ascii="仿宋_GB2312" w:hAnsi="宋体" w:eastAsia="仿宋_GB2312" w:cs="Courier New"/>
          <w:color w:val="auto"/>
          <w:sz w:val="32"/>
          <w:szCs w:val="32"/>
          <w:highlight w:val="none"/>
        </w:rPr>
        <w:t>是</w:t>
      </w:r>
      <w:r>
        <w:rPr>
          <w:rFonts w:hint="eastAsia" w:ascii="仿宋_GB2312" w:hAnsi="宋体" w:eastAsia="仿宋_GB2312" w:cs="Courier New"/>
          <w:color w:val="auto"/>
          <w:sz w:val="32"/>
          <w:szCs w:val="32"/>
          <w:highlight w:val="none"/>
          <w:lang w:eastAsia="zh-CN"/>
        </w:rPr>
        <w:t>年中上级财政下达专项资金</w:t>
      </w:r>
      <w:r>
        <w:rPr>
          <w:rFonts w:hint="eastAsia" w:ascii="仿宋_GB2312" w:hAnsi="宋体" w:eastAsia="仿宋_GB2312" w:cs="Courier New"/>
          <w:color w:val="auto"/>
          <w:sz w:val="32"/>
          <w:szCs w:val="32"/>
          <w:highlight w:val="none"/>
          <w:lang w:val="en-US" w:eastAsia="zh-CN"/>
        </w:rPr>
        <w:t>10.00万元</w:t>
      </w:r>
      <w:r>
        <w:rPr>
          <w:rFonts w:hint="eastAsia" w:ascii="仿宋_GB2312" w:hAnsi="宋体" w:eastAsia="仿宋_GB2312" w:cs="Courier New"/>
          <w:color w:val="auto"/>
          <w:sz w:val="32"/>
          <w:szCs w:val="32"/>
          <w:highlight w:val="none"/>
          <w:lang w:eastAsia="zh-CN"/>
        </w:rPr>
        <w:t>，该项目在年终尚未全部完成。</w:t>
      </w:r>
    </w:p>
    <w:p>
      <w:pPr>
        <w:widowControl/>
        <w:spacing w:line="590" w:lineRule="exact"/>
        <w:ind w:firstLine="643"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rPr>
        <w:t>5、社会保障和就业支出（类）行政事业单位养老支出（款）行政单位离退休（项）。</w:t>
      </w:r>
      <w:r>
        <w:rPr>
          <w:rFonts w:hint="eastAsia" w:ascii="仿宋_GB2312" w:hAnsi="仿宋_GB2312" w:eastAsia="仿宋_GB2312" w:cs="仿宋_GB2312"/>
          <w:color w:val="auto"/>
          <w:sz w:val="32"/>
          <w:szCs w:val="32"/>
          <w:highlight w:val="none"/>
        </w:rPr>
        <w:t>年初预算为45.31万元，支出决算为45.38万元，完成年初预算的</w:t>
      </w:r>
      <w:r>
        <w:rPr>
          <w:rFonts w:hint="eastAsia" w:ascii="仿宋_GB2312" w:hAnsi="仿宋_GB2312" w:eastAsia="仿宋_GB2312" w:cs="仿宋_GB2312"/>
          <w:color w:val="auto"/>
          <w:sz w:val="32"/>
          <w:szCs w:val="32"/>
          <w:highlight w:val="none"/>
          <w:lang w:val="en-US" w:eastAsia="zh-CN"/>
        </w:rPr>
        <w:t>100.15</w:t>
      </w:r>
      <w:r>
        <w:rPr>
          <w:rFonts w:hint="eastAsia" w:ascii="仿宋_GB2312" w:hAnsi="仿宋_GB2312" w:eastAsia="仿宋_GB2312" w:cs="仿宋_GB2312"/>
          <w:color w:val="auto"/>
          <w:sz w:val="32"/>
          <w:szCs w:val="32"/>
          <w:highlight w:val="none"/>
        </w:rPr>
        <w:t>%。决算数与年初预算数</w:t>
      </w:r>
      <w:r>
        <w:rPr>
          <w:rFonts w:hint="eastAsia" w:ascii="仿宋_GB2312" w:hAnsi="仿宋_GB2312" w:eastAsia="仿宋_GB2312" w:cs="仿宋_GB2312"/>
          <w:color w:val="auto"/>
          <w:sz w:val="32"/>
          <w:szCs w:val="32"/>
          <w:highlight w:val="none"/>
          <w:lang w:eastAsia="zh-CN"/>
        </w:rPr>
        <w:t>基本持平。</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6.社会保障和就业支出（类）行政事业单位养老支出（款）机关事业单位基本养老保险缴费支出（项）。</w:t>
      </w:r>
      <w:r>
        <w:rPr>
          <w:rFonts w:hint="eastAsia" w:ascii="仿宋_GB2312" w:hAnsi="仿宋_GB2312" w:eastAsia="仿宋_GB2312" w:cs="仿宋_GB2312"/>
          <w:color w:val="auto"/>
          <w:sz w:val="32"/>
          <w:szCs w:val="32"/>
          <w:highlight w:val="none"/>
        </w:rPr>
        <w:t>年初预算为25.33万元，支出决算为26.30万元，完成年初预算的</w:t>
      </w:r>
      <w:r>
        <w:rPr>
          <w:rFonts w:hint="eastAsia" w:ascii="仿宋_GB2312" w:hAnsi="仿宋_GB2312" w:eastAsia="仿宋_GB2312" w:cs="仿宋_GB2312"/>
          <w:color w:val="auto"/>
          <w:sz w:val="32"/>
          <w:szCs w:val="32"/>
          <w:highlight w:val="none"/>
          <w:lang w:val="en-US" w:eastAsia="zh-CN"/>
        </w:rPr>
        <w:t>103.82</w:t>
      </w:r>
      <w:r>
        <w:rPr>
          <w:rFonts w:hint="eastAsia" w:ascii="仿宋_GB2312" w:hAnsi="仿宋_GB2312" w:eastAsia="仿宋_GB2312" w:cs="仿宋_GB2312"/>
          <w:color w:val="auto"/>
          <w:sz w:val="32"/>
          <w:szCs w:val="32"/>
          <w:highlight w:val="none"/>
        </w:rPr>
        <w:t>%。决算数与年初预算数存在差异的主要原因养老缴费基数调整。</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7</w:t>
      </w:r>
      <w:r>
        <w:rPr>
          <w:rFonts w:hint="eastAsia" w:ascii="仿宋_GB2312" w:hAnsi="仿宋_GB2312" w:eastAsia="仿宋_GB2312" w:cs="仿宋_GB2312"/>
          <w:b/>
          <w:bCs/>
          <w:color w:val="auto"/>
          <w:sz w:val="32"/>
          <w:szCs w:val="32"/>
          <w:highlight w:val="none"/>
        </w:rPr>
        <w:t>．卫生健康支出（类）行政事业单位医疗（款）行政单位医疗（项）。</w:t>
      </w:r>
      <w:r>
        <w:rPr>
          <w:rFonts w:hint="eastAsia" w:ascii="仿宋_GB2312" w:hAnsi="仿宋_GB2312" w:eastAsia="仿宋_GB2312" w:cs="仿宋_GB2312"/>
          <w:color w:val="auto"/>
          <w:sz w:val="32"/>
          <w:szCs w:val="32"/>
          <w:highlight w:val="none"/>
        </w:rPr>
        <w:t>年初预算为13.17万元，支出决算为11.88万元，完成年初预算的</w:t>
      </w:r>
      <w:r>
        <w:rPr>
          <w:rFonts w:hint="eastAsia" w:ascii="仿宋_GB2312" w:hAnsi="仿宋_GB2312" w:eastAsia="仿宋_GB2312" w:cs="仿宋_GB2312"/>
          <w:color w:val="auto"/>
          <w:sz w:val="32"/>
          <w:szCs w:val="32"/>
          <w:highlight w:val="none"/>
          <w:lang w:val="en-US" w:eastAsia="zh-CN"/>
        </w:rPr>
        <w:t>90.21</w:t>
      </w:r>
      <w:r>
        <w:rPr>
          <w:rFonts w:hint="eastAsia" w:ascii="仿宋_GB2312" w:hAnsi="仿宋_GB2312" w:eastAsia="仿宋_GB2312" w:cs="仿宋_GB2312"/>
          <w:color w:val="auto"/>
          <w:sz w:val="32"/>
          <w:szCs w:val="32"/>
          <w:highlight w:val="none"/>
        </w:rPr>
        <w:t>%。决算数与年初预算数存在差异的主要原因是2021年</w:t>
      </w:r>
      <w:r>
        <w:rPr>
          <w:rFonts w:hint="eastAsia" w:ascii="仿宋_GB2312" w:hAnsi="仿宋_GB2312" w:eastAsia="仿宋_GB2312" w:cs="仿宋_GB2312"/>
          <w:color w:val="auto"/>
          <w:sz w:val="32"/>
          <w:szCs w:val="32"/>
          <w:highlight w:val="none"/>
          <w:lang w:eastAsia="zh-CN"/>
        </w:rPr>
        <w:t>年中调出人员</w:t>
      </w:r>
      <w:r>
        <w:rPr>
          <w:rFonts w:hint="eastAsia" w:ascii="仿宋_GB2312" w:hAnsi="仿宋_GB2312" w:eastAsia="仿宋_GB2312" w:cs="仿宋_GB2312"/>
          <w:color w:val="auto"/>
          <w:sz w:val="32"/>
          <w:szCs w:val="32"/>
          <w:highlight w:val="none"/>
        </w:rPr>
        <w:t>。</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8</w:t>
      </w:r>
      <w:r>
        <w:rPr>
          <w:rFonts w:hint="eastAsia" w:ascii="仿宋_GB2312" w:hAnsi="仿宋_GB2312" w:eastAsia="仿宋_GB2312" w:cs="仿宋_GB2312"/>
          <w:b/>
          <w:bCs/>
          <w:color w:val="auto"/>
          <w:sz w:val="32"/>
          <w:szCs w:val="32"/>
          <w:highlight w:val="none"/>
        </w:rPr>
        <w:t>. 卫生健康支出（类）行政事业单位医疗（款）公务员医疗补助（项）。</w:t>
      </w:r>
      <w:r>
        <w:rPr>
          <w:rFonts w:hint="eastAsia" w:ascii="仿宋_GB2312" w:hAnsi="仿宋_GB2312" w:eastAsia="仿宋_GB2312" w:cs="仿宋_GB2312"/>
          <w:color w:val="auto"/>
          <w:sz w:val="32"/>
          <w:szCs w:val="32"/>
          <w:highlight w:val="none"/>
        </w:rPr>
        <w:t>年初预算为12.55万元，支出决算为11.94万元，完成年初预算的</w:t>
      </w:r>
      <w:r>
        <w:rPr>
          <w:rFonts w:hint="eastAsia" w:ascii="仿宋_GB2312" w:hAnsi="仿宋_GB2312" w:eastAsia="仿宋_GB2312" w:cs="仿宋_GB2312"/>
          <w:color w:val="auto"/>
          <w:sz w:val="32"/>
          <w:szCs w:val="32"/>
          <w:highlight w:val="none"/>
          <w:lang w:val="en-US" w:eastAsia="zh-CN"/>
        </w:rPr>
        <w:t>95.14</w:t>
      </w:r>
      <w:r>
        <w:rPr>
          <w:rFonts w:hint="eastAsia" w:ascii="仿宋_GB2312" w:hAnsi="仿宋_GB2312" w:eastAsia="仿宋_GB2312" w:cs="仿宋_GB2312"/>
          <w:color w:val="auto"/>
          <w:sz w:val="32"/>
          <w:szCs w:val="32"/>
          <w:highlight w:val="none"/>
        </w:rPr>
        <w:t>%。决算数与年初预算数存在差异的主要原因是2021年</w:t>
      </w:r>
      <w:r>
        <w:rPr>
          <w:rFonts w:hint="eastAsia" w:ascii="仿宋_GB2312" w:hAnsi="仿宋_GB2312" w:eastAsia="仿宋_GB2312" w:cs="仿宋_GB2312"/>
          <w:color w:val="auto"/>
          <w:sz w:val="32"/>
          <w:szCs w:val="32"/>
          <w:highlight w:val="none"/>
          <w:lang w:eastAsia="zh-CN"/>
        </w:rPr>
        <w:t>年中调出人员</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年度一般公共预算财政拨款基本支出</w:t>
      </w:r>
      <w:r>
        <w:rPr>
          <w:rFonts w:ascii="仿宋_GB2312" w:eastAsia="仿宋_GB2312" w:cs="仿宋_GB2312"/>
          <w:color w:val="auto"/>
          <w:sz w:val="32"/>
          <w:szCs w:val="32"/>
          <w:highlight w:val="none"/>
        </w:rPr>
        <w:t>514.9</w:t>
      </w:r>
      <w:r>
        <w:rPr>
          <w:rFonts w:hint="eastAsia" w:ascii="仿宋_GB2312" w:hAnsi="仿宋_GB2312" w:eastAsia="仿宋_GB2312" w:cs="仿宋_GB2312"/>
          <w:color w:val="auto"/>
          <w:sz w:val="32"/>
          <w:szCs w:val="32"/>
          <w:highlight w:val="none"/>
        </w:rPr>
        <w:t>万元。其中：人员经费</w:t>
      </w:r>
      <w:r>
        <w:rPr>
          <w:rFonts w:ascii="仿宋_GB2312" w:eastAsia="仿宋_GB2312" w:cs="仿宋_GB2312"/>
          <w:color w:val="auto"/>
          <w:sz w:val="32"/>
          <w:szCs w:val="32"/>
          <w:highlight w:val="none"/>
        </w:rPr>
        <w:t>463.51</w:t>
      </w:r>
      <w:r>
        <w:rPr>
          <w:rFonts w:hint="eastAsia" w:ascii="仿宋_GB2312" w:hAnsi="仿宋_GB2312" w:eastAsia="仿宋_GB2312" w:cs="仿宋_GB2312"/>
          <w:color w:val="auto"/>
          <w:sz w:val="32"/>
          <w:szCs w:val="32"/>
          <w:highlight w:val="none"/>
        </w:rPr>
        <w:t>万元，主要包括：基本工资、津贴补贴、奖金、机关事业单位基本养老保险缴费、</w:t>
      </w:r>
      <w:r>
        <w:rPr>
          <w:rFonts w:hint="eastAsia" w:ascii="仿宋_GB2312" w:hAnsi="仿宋_GB2312" w:eastAsia="仿宋_GB2312" w:cs="仿宋_GB2312"/>
          <w:color w:val="auto"/>
          <w:sz w:val="32"/>
          <w:szCs w:val="32"/>
          <w:highlight w:val="none"/>
          <w:lang w:eastAsia="zh-CN"/>
        </w:rPr>
        <w:t>职工基本医疗保险缴费、公务员医疗保险缴费、</w:t>
      </w:r>
      <w:r>
        <w:rPr>
          <w:rFonts w:hint="eastAsia" w:ascii="仿宋_GB2312" w:eastAsia="仿宋_GB2312" w:cs="仿宋_GB2312"/>
          <w:color w:val="auto"/>
          <w:sz w:val="32"/>
          <w:szCs w:val="32"/>
          <w:highlight w:val="none"/>
        </w:rPr>
        <w:t>其他社会保障缴费、其他工资福利支出、退休费、生活补助、住房公积金</w:t>
      </w:r>
      <w:r>
        <w:rPr>
          <w:rFonts w:hint="eastAsia" w:ascii="仿宋_GB2312" w:hAnsi="仿宋_GB2312" w:eastAsia="仿宋_GB2312" w:cs="仿宋_GB2312"/>
          <w:color w:val="auto"/>
          <w:sz w:val="32"/>
          <w:szCs w:val="32"/>
          <w:highlight w:val="none"/>
        </w:rPr>
        <w:t>；公用经费</w:t>
      </w:r>
      <w:r>
        <w:rPr>
          <w:rFonts w:ascii="仿宋_GB2312" w:eastAsia="仿宋_GB2312" w:cs="仿宋_GB2312"/>
          <w:color w:val="auto"/>
          <w:sz w:val="32"/>
          <w:szCs w:val="32"/>
          <w:highlight w:val="none"/>
        </w:rPr>
        <w:t>51.39</w:t>
      </w:r>
      <w:r>
        <w:rPr>
          <w:rFonts w:hint="eastAsia" w:ascii="仿宋_GB2312" w:hAnsi="仿宋_GB2312" w:eastAsia="仿宋_GB2312" w:cs="仿宋_GB2312"/>
          <w:color w:val="auto"/>
          <w:sz w:val="32"/>
          <w:szCs w:val="32"/>
          <w:highlight w:val="none"/>
        </w:rPr>
        <w:t>万元，主要包括：办公费、印刷费、邮电费、差旅费、</w:t>
      </w:r>
      <w:r>
        <w:rPr>
          <w:rFonts w:hint="eastAsia" w:ascii="仿宋_GB2312" w:hAnsi="仿宋_GB2312" w:eastAsia="仿宋_GB2312" w:cs="仿宋_GB2312"/>
          <w:color w:val="auto"/>
          <w:sz w:val="32"/>
          <w:szCs w:val="32"/>
          <w:highlight w:val="none"/>
          <w:lang w:eastAsia="zh-CN"/>
        </w:rPr>
        <w:t>维修（护）费、培训费、</w:t>
      </w:r>
      <w:r>
        <w:rPr>
          <w:rFonts w:hint="eastAsia" w:ascii="仿宋_GB2312" w:hAnsi="仿宋_GB2312" w:eastAsia="仿宋_GB2312" w:cs="仿宋_GB2312"/>
          <w:color w:val="auto"/>
          <w:sz w:val="32"/>
          <w:szCs w:val="32"/>
          <w:highlight w:val="none"/>
        </w:rPr>
        <w:t>劳务费、委托业务费、工会经费、福利费、公务用车运行维护费、其他交通费用</w:t>
      </w:r>
      <w:r>
        <w:rPr>
          <w:rFonts w:hint="eastAsia" w:ascii="仿宋_GB2312" w:hAnsi="仿宋_GB2312" w:eastAsia="仿宋_GB2312" w:cs="仿宋_GB2312"/>
          <w:color w:val="auto"/>
          <w:sz w:val="32"/>
          <w:szCs w:val="32"/>
          <w:highlight w:val="none"/>
          <w:lang w:eastAsia="zh-CN"/>
        </w:rPr>
        <w:t>、其他商品和服务支出</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七、一般公共预算财政拨款“三公”经费支出决算情况说明</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（一）“三公”经费财政拨款支出决算总体情况说明。</w:t>
      </w:r>
    </w:p>
    <w:p>
      <w:pPr>
        <w:widowControl/>
        <w:spacing w:line="590" w:lineRule="exact"/>
        <w:ind w:firstLine="640" w:firstLineChars="200"/>
        <w:rPr>
          <w:rFonts w:hint="eastAsia" w:ascii="仿宋_GB2312" w:hAnsi="Times New Roman" w:eastAsia="仿宋_GB2312" w:cs="仿宋_GB2312"/>
          <w:color w:val="auto"/>
          <w:sz w:val="32"/>
          <w:szCs w:val="32"/>
          <w:highlight w:val="none"/>
        </w:rPr>
      </w:pPr>
      <w:r>
        <w:rPr>
          <w:rFonts w:hint="eastAsia" w:ascii="仿宋_GB2312" w:hAnsi="Times New Roman" w:eastAsia="仿宋_GB2312" w:cs="仿宋_GB2312"/>
          <w:color w:val="auto"/>
          <w:sz w:val="32"/>
          <w:szCs w:val="32"/>
          <w:highlight w:val="none"/>
        </w:rPr>
        <w:t>2021年度“三公”经费财政拨款支出预算为12.43万元，支出决算为3.36万元，完成预算的27.0</w:t>
      </w:r>
      <w:r>
        <w:rPr>
          <w:rFonts w:hint="eastAsia" w:ascii="仿宋_GB2312" w:eastAsia="仿宋_GB2312" w:cs="仿宋_GB2312"/>
          <w:color w:val="auto"/>
          <w:sz w:val="32"/>
          <w:szCs w:val="32"/>
          <w:highlight w:val="none"/>
          <w:lang w:val="en-US" w:eastAsia="zh-CN"/>
        </w:rPr>
        <w:t>3</w:t>
      </w:r>
      <w:r>
        <w:rPr>
          <w:rFonts w:hint="eastAsia" w:ascii="仿宋_GB2312" w:hAnsi="Times New Roman" w:eastAsia="仿宋_GB2312" w:cs="仿宋_GB2312"/>
          <w:color w:val="auto"/>
          <w:sz w:val="32"/>
          <w:szCs w:val="32"/>
          <w:highlight w:val="none"/>
        </w:rPr>
        <w:t>%。2021年度“三公”经费支出决算数与预算数存在差异的主要原因是按照中央“八项规定”精神，严格控制公车运行费用和公务接待支出。</w:t>
      </w:r>
    </w:p>
    <w:p>
      <w:pPr>
        <w:widowControl/>
        <w:spacing w:line="590" w:lineRule="exact"/>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（二）“三公”经费财政拨款支出决算具体情况说明。</w:t>
      </w:r>
    </w:p>
    <w:p>
      <w:pPr>
        <w:autoSpaceDE w:val="0"/>
        <w:autoSpaceDN w:val="0"/>
        <w:adjustRightInd w:val="0"/>
        <w:spacing w:line="590" w:lineRule="exact"/>
        <w:ind w:firstLine="640"/>
        <w:rPr>
          <w:rFonts w:eastAsia="仿宋_GB2312"/>
          <w:color w:val="auto"/>
          <w:kern w:val="0"/>
          <w:sz w:val="18"/>
          <w:szCs w:val="18"/>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w:t>
      </w:r>
      <w:r>
        <w:rPr>
          <w:rFonts w:eastAsia="仿宋_GB2312"/>
          <w:color w:val="auto"/>
          <w:sz w:val="32"/>
          <w:szCs w:val="32"/>
          <w:highlight w:val="none"/>
        </w:rPr>
        <w:t>“</w:t>
      </w:r>
      <w:r>
        <w:rPr>
          <w:rFonts w:hint="eastAsia" w:ascii="仿宋_GB2312" w:eastAsia="仿宋_GB2312" w:cs="仿宋_GB2312"/>
          <w:color w:val="auto"/>
          <w:sz w:val="32"/>
          <w:szCs w:val="32"/>
          <w:highlight w:val="none"/>
        </w:rPr>
        <w:t>三公</w:t>
      </w:r>
      <w:r>
        <w:rPr>
          <w:rFonts w:eastAsia="仿宋_GB2312"/>
          <w:color w:val="auto"/>
          <w:sz w:val="32"/>
          <w:szCs w:val="32"/>
          <w:highlight w:val="none"/>
        </w:rPr>
        <w:t>”</w:t>
      </w:r>
      <w:r>
        <w:rPr>
          <w:rFonts w:hint="eastAsia" w:ascii="仿宋_GB2312" w:eastAsia="仿宋_GB2312" w:cs="仿宋_GB2312"/>
          <w:color w:val="auto"/>
          <w:sz w:val="32"/>
          <w:szCs w:val="32"/>
          <w:highlight w:val="none"/>
        </w:rPr>
        <w:t>经费财政拨款支出决算中，因公出国（境）费支出决算</w:t>
      </w:r>
      <w:r>
        <w:rPr>
          <w:rFonts w:hint="eastAsia" w:ascii="仿宋_GB2312" w:eastAsia="仿宋_GB2312" w:cs="仿宋_GB2312"/>
          <w:color w:val="auto"/>
          <w:sz w:val="32"/>
          <w:szCs w:val="32"/>
          <w:highlight w:val="none"/>
          <w:lang w:val="en-US" w:eastAsia="zh-CN"/>
        </w:rPr>
        <w:t>0.00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；公务用车购置及运行费支出决算</w:t>
      </w:r>
      <w:r>
        <w:rPr>
          <w:rFonts w:ascii="仿宋_GB2312" w:eastAsia="仿宋_GB2312" w:cs="仿宋_GB2312"/>
          <w:color w:val="auto"/>
          <w:sz w:val="32"/>
          <w:szCs w:val="32"/>
          <w:highlight w:val="none"/>
        </w:rPr>
        <w:t>3.36</w:t>
      </w:r>
      <w:r>
        <w:rPr>
          <w:rFonts w:hint="eastAsia" w:ascii="仿宋_GB2312" w:eastAsia="仿宋_GB2312" w:cs="仿宋_GB2312"/>
          <w:color w:val="auto"/>
          <w:sz w:val="32"/>
          <w:szCs w:val="32"/>
          <w:highlight w:val="none"/>
        </w:rPr>
        <w:t>万元，完成预算的</w:t>
      </w:r>
      <w:r>
        <w:rPr>
          <w:rFonts w:ascii="仿宋_GB2312" w:eastAsia="仿宋_GB2312" w:cs="仿宋_GB2312"/>
          <w:color w:val="auto"/>
          <w:sz w:val="32"/>
          <w:szCs w:val="32"/>
          <w:highlight w:val="none"/>
        </w:rPr>
        <w:t>2</w:t>
      </w:r>
      <w:r>
        <w:rPr>
          <w:rFonts w:hint="default" w:ascii="仿宋_GB2312" w:eastAsia="仿宋_GB2312" w:cs="仿宋_GB2312"/>
          <w:color w:val="auto"/>
          <w:sz w:val="32"/>
          <w:szCs w:val="32"/>
          <w:highlight w:val="none"/>
          <w:lang w:val="en"/>
        </w:rPr>
        <w:t>8.00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，占</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；公务接待费支出决算</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万元，占</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；具体情况如下：</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1．因公出国（境）费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万元，支出决算为</w:t>
      </w:r>
      <w:r>
        <w:rPr>
          <w:rFonts w:hint="eastAsia" w:ascii="仿宋_GB2312" w:hAnsi="仿宋_GB2312" w:eastAsia="仿宋_GB2312" w:cs="仿宋_GB2312"/>
          <w:color w:val="auto"/>
          <w:sz w:val="32"/>
          <w:szCs w:val="32"/>
          <w:highlight w:val="none"/>
          <w:lang w:val="en-US" w:eastAsia="zh-CN"/>
        </w:rPr>
        <w:t>0.00</w:t>
      </w:r>
      <w:r>
        <w:rPr>
          <w:rFonts w:hint="eastAsia" w:ascii="仿宋_GB2312" w:hAnsi="仿宋_GB2312" w:eastAsia="仿宋_GB2312" w:cs="仿宋_GB2312"/>
          <w:color w:val="auto"/>
          <w:sz w:val="32"/>
          <w:szCs w:val="32"/>
          <w:highlight w:val="none"/>
        </w:rPr>
        <w:t>万元，决算数与预算数无差异。因公出国（境）团组数0个，因公出国（境）人次数0人。</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ascii="仿宋_GB2312" w:eastAsia="仿宋_GB2312" w:cs="仿宋_GB2312"/>
          <w:b/>
          <w:bCs/>
          <w:color w:val="auto"/>
          <w:sz w:val="32"/>
          <w:szCs w:val="32"/>
          <w:highlight w:val="none"/>
        </w:rPr>
        <w:t>2</w:t>
      </w:r>
      <w:r>
        <w:rPr>
          <w:rFonts w:hint="eastAsia" w:ascii="仿宋_GB2312" w:eastAsia="仿宋_GB2312" w:cs="仿宋_GB2312"/>
          <w:b/>
          <w:bCs/>
          <w:color w:val="auto"/>
          <w:sz w:val="32"/>
          <w:szCs w:val="32"/>
          <w:highlight w:val="none"/>
        </w:rPr>
        <w:t>．公务用车购置及运行费</w:t>
      </w:r>
      <w:r>
        <w:rPr>
          <w:rFonts w:hint="eastAsia" w:ascii="仿宋_GB2312" w:eastAsia="仿宋_GB2312" w:cs="仿宋_GB2312"/>
          <w:color w:val="auto"/>
          <w:sz w:val="32"/>
          <w:szCs w:val="32"/>
          <w:highlight w:val="none"/>
        </w:rPr>
        <w:t>预算为</w:t>
      </w:r>
      <w:r>
        <w:rPr>
          <w:rFonts w:ascii="仿宋_GB2312" w:eastAsia="仿宋_GB2312" w:cs="仿宋_GB2312"/>
          <w:color w:val="auto"/>
          <w:sz w:val="32"/>
          <w:szCs w:val="32"/>
          <w:highlight w:val="none"/>
        </w:rPr>
        <w:t>12</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万元，支出决算为</w:t>
      </w:r>
      <w:r>
        <w:rPr>
          <w:rFonts w:ascii="仿宋_GB2312" w:eastAsia="仿宋_GB2312" w:cs="仿宋_GB2312"/>
          <w:color w:val="auto"/>
          <w:sz w:val="32"/>
          <w:szCs w:val="32"/>
          <w:highlight w:val="none"/>
        </w:rPr>
        <w:t>3.36</w:t>
      </w:r>
      <w:r>
        <w:rPr>
          <w:rFonts w:hint="eastAsia" w:ascii="仿宋_GB2312" w:eastAsia="仿宋_GB2312" w:cs="仿宋_GB2312"/>
          <w:color w:val="auto"/>
          <w:sz w:val="32"/>
          <w:szCs w:val="32"/>
          <w:highlight w:val="none"/>
        </w:rPr>
        <w:t>万元，完成预算的</w:t>
      </w:r>
      <w:r>
        <w:rPr>
          <w:rFonts w:ascii="仿宋_GB2312" w:eastAsia="仿宋_GB2312" w:cs="仿宋_GB2312"/>
          <w:color w:val="auto"/>
          <w:sz w:val="32"/>
          <w:szCs w:val="32"/>
          <w:highlight w:val="none"/>
        </w:rPr>
        <w:t>2</w:t>
      </w:r>
      <w:r>
        <w:rPr>
          <w:rFonts w:hint="default" w:ascii="仿宋_GB2312" w:eastAsia="仿宋_GB2312" w:cs="仿宋_GB2312"/>
          <w:color w:val="auto"/>
          <w:sz w:val="32"/>
          <w:szCs w:val="32"/>
          <w:highlight w:val="none"/>
          <w:lang w:val="en"/>
        </w:rPr>
        <w:t>8.00</w:t>
      </w:r>
      <w:r>
        <w:rPr>
          <w:rFonts w:ascii="仿宋_GB2312" w:eastAsia="仿宋_GB2312" w:cs="仿宋_GB2312"/>
          <w:color w:val="auto"/>
          <w:sz w:val="32"/>
          <w:szCs w:val="32"/>
          <w:highlight w:val="none"/>
        </w:rPr>
        <w:t>%</w:t>
      </w:r>
      <w:r>
        <w:rPr>
          <w:rFonts w:hint="eastAsia" w:asci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rPr>
        <w:t>决算数与预算数存在差异的主要原因是</w:t>
      </w:r>
      <w:r>
        <w:rPr>
          <w:rFonts w:hint="eastAsia" w:ascii="仿宋" w:hAnsi="仿宋" w:eastAsia="仿宋"/>
          <w:color w:val="auto"/>
          <w:sz w:val="32"/>
          <w:szCs w:val="32"/>
          <w:highlight w:val="none"/>
        </w:rPr>
        <w:t>加强车辆管理，严格控制公车运行支出</w:t>
      </w:r>
      <w:r>
        <w:rPr>
          <w:rFonts w:hint="eastAsia" w:ascii="仿宋_GB2312" w:hAnsi="仿宋_GB2312" w:eastAsia="仿宋_GB2312" w:cs="仿宋_GB2312"/>
          <w:color w:val="auto"/>
          <w:sz w:val="32"/>
          <w:szCs w:val="32"/>
          <w:highlight w:val="none"/>
        </w:rPr>
        <w:t>。其中：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公务用车购置支出</w:t>
      </w:r>
      <w:r>
        <w:rPr>
          <w:rFonts w:hint="eastAsia" w:ascii="仿宋_GB2312" w:hAnsi="仿宋_GB2312" w:eastAsia="仿宋_GB2312" w:cs="仿宋_GB2312"/>
          <w:color w:val="auto"/>
          <w:sz w:val="32"/>
          <w:szCs w:val="32"/>
          <w:highlight w:val="none"/>
        </w:rPr>
        <w:t>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万元，购置车辆0台。</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公务用车运行支出</w:t>
      </w:r>
      <w:r>
        <w:rPr>
          <w:rFonts w:hint="eastAsia" w:ascii="仿宋_GB2312" w:hAnsi="仿宋_GB2312" w:eastAsia="仿宋_GB2312"/>
          <w:color w:val="auto"/>
          <w:sz w:val="32"/>
          <w:szCs w:val="24"/>
          <w:highlight w:val="none"/>
        </w:rPr>
        <w:t>3.36</w:t>
      </w:r>
      <w:r>
        <w:rPr>
          <w:rFonts w:hint="eastAsia" w:ascii="仿宋_GB2312" w:hAnsi="仿宋_GB2312" w:eastAsia="仿宋_GB2312" w:cs="仿宋_GB2312"/>
          <w:color w:val="auto"/>
          <w:sz w:val="32"/>
          <w:szCs w:val="32"/>
          <w:highlight w:val="none"/>
        </w:rPr>
        <w:t>万元。主要用于</w:t>
      </w:r>
      <w:r>
        <w:rPr>
          <w:rFonts w:hint="eastAsia" w:ascii="仿宋_GB2312" w:hAnsi="宋体" w:eastAsia="仿宋_GB2312" w:cs="Courier New"/>
          <w:color w:val="auto"/>
          <w:sz w:val="32"/>
          <w:szCs w:val="32"/>
          <w:highlight w:val="none"/>
        </w:rPr>
        <w:t>燃料费、维修费、保险费等支出</w:t>
      </w:r>
      <w:r>
        <w:rPr>
          <w:rFonts w:hint="eastAsia" w:ascii="仿宋" w:eastAsia="仿宋"/>
          <w:color w:val="auto"/>
          <w:sz w:val="32"/>
          <w:szCs w:val="32"/>
          <w:highlight w:val="none"/>
        </w:rPr>
        <w:t>。</w:t>
      </w:r>
      <w:r>
        <w:rPr>
          <w:rFonts w:hint="eastAsia" w:ascii="仿宋_GB2312" w:hAnsi="仿宋_GB2312" w:eastAsia="仿宋_GB2312" w:cs="仿宋_GB2312"/>
          <w:color w:val="auto"/>
          <w:sz w:val="32"/>
          <w:szCs w:val="32"/>
          <w:highlight w:val="none"/>
        </w:rPr>
        <w:t>2021年期末，</w:t>
      </w:r>
      <w:r>
        <w:rPr>
          <w:rFonts w:hint="eastAsia" w:ascii="仿宋_GB2312" w:eastAsia="仿宋_GB2312" w:cs="仿宋_GB2312"/>
          <w:color w:val="auto"/>
          <w:sz w:val="32"/>
          <w:szCs w:val="32"/>
          <w:highlight w:val="none"/>
        </w:rPr>
        <w:t>单位开支财政拨款的公务用车</w:t>
      </w:r>
      <w:r>
        <w:rPr>
          <w:rFonts w:hint="eastAsia" w:ascii="仿宋_GB2312" w:hAnsi="仿宋_GB2312" w:eastAsia="仿宋_GB2312" w:cs="仿宋_GB2312"/>
          <w:color w:val="auto"/>
          <w:sz w:val="32"/>
          <w:szCs w:val="32"/>
          <w:highlight w:val="none"/>
        </w:rPr>
        <w:t>保有量为3辆。</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3.公务接待费</w:t>
      </w:r>
      <w:r>
        <w:rPr>
          <w:rFonts w:hint="eastAsia" w:ascii="仿宋_GB2312" w:hAnsi="仿宋_GB2312" w:eastAsia="仿宋_GB2312" w:cs="仿宋_GB2312"/>
          <w:color w:val="auto"/>
          <w:sz w:val="32"/>
          <w:szCs w:val="32"/>
          <w:highlight w:val="none"/>
        </w:rPr>
        <w:t>预算为</w:t>
      </w:r>
      <w:r>
        <w:rPr>
          <w:rFonts w:hint="eastAsia" w:ascii="仿宋_GB2312" w:hAnsi="仿宋_GB2312" w:eastAsia="仿宋_GB2312"/>
          <w:color w:val="auto"/>
          <w:sz w:val="32"/>
          <w:szCs w:val="24"/>
          <w:highlight w:val="none"/>
        </w:rPr>
        <w:t>0.43</w:t>
      </w:r>
      <w:r>
        <w:rPr>
          <w:rFonts w:hint="eastAsia" w:ascii="仿宋_GB2312" w:hAnsi="仿宋_GB2312" w:eastAsia="仿宋_GB2312" w:cs="仿宋_GB2312"/>
          <w:color w:val="auto"/>
          <w:sz w:val="32"/>
          <w:szCs w:val="32"/>
          <w:highlight w:val="none"/>
        </w:rPr>
        <w:t>万元，支出决算为0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万元。决算数与预算数存在差异的主要原因是严格执行中央“八项”规定，规范公务接待费用管理。其中：</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外宾接待支出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b/>
          <w:bCs/>
          <w:color w:val="auto"/>
          <w:sz w:val="32"/>
          <w:szCs w:val="32"/>
          <w:highlight w:val="none"/>
        </w:rPr>
        <w:t>其他国内公务接待支出</w:t>
      </w:r>
      <w:r>
        <w:rPr>
          <w:rFonts w:hint="eastAsia"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lang w:val="en-US" w:eastAsia="zh-CN"/>
        </w:rPr>
        <w:t>.00</w:t>
      </w:r>
      <w:r>
        <w:rPr>
          <w:rFonts w:hint="eastAsia" w:ascii="仿宋_GB2312" w:hAnsi="仿宋_GB2312" w:eastAsia="仿宋_GB2312" w:cs="仿宋_GB2312"/>
          <w:color w:val="auto"/>
          <w:sz w:val="32"/>
          <w:szCs w:val="32"/>
          <w:highlight w:val="none"/>
        </w:rPr>
        <w:t>万元。</w:t>
      </w: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年共接待国内来访团组0个、来宾0人次（不包括陪同人员）。</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八、政府性基金预算财政拨款支出决算情况说明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年度政府性基金预算财政拨款支出预算为0.00万元，支出决算为0.00万元。不存在项目年末结转和结余资金数额较大，</w:t>
      </w:r>
      <w:r>
        <w:rPr>
          <w:rFonts w:hint="eastAsia" w:ascii="仿宋_GB2312" w:hAnsi="仿宋_GB2312" w:eastAsia="仿宋_GB2312" w:cs="仿宋_GB2312"/>
          <w:color w:val="auto"/>
          <w:sz w:val="32"/>
          <w:szCs w:val="32"/>
          <w:highlight w:val="none"/>
          <w:lang w:val="en-US" w:eastAsia="zh-CN"/>
        </w:rPr>
        <w:t>情况说明：</w:t>
      </w: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val="en-US" w:eastAsia="zh-CN"/>
        </w:rPr>
        <w:t>单位2021年度</w:t>
      </w:r>
      <w:r>
        <w:rPr>
          <w:rFonts w:hint="eastAsia" w:ascii="仿宋_GB2312" w:hAnsi="仿宋_GB2312" w:eastAsia="仿宋_GB2312" w:cs="仿宋_GB2312"/>
          <w:color w:val="auto"/>
          <w:sz w:val="32"/>
          <w:szCs w:val="32"/>
          <w:highlight w:val="none"/>
        </w:rPr>
        <w:t>没有政府性基金收入，也没有使用政府性基金安排的支出。</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九、机关运行经费支出情况说明</w:t>
      </w:r>
    </w:p>
    <w:p>
      <w:pPr>
        <w:widowControl/>
        <w:spacing w:line="590" w:lineRule="exact"/>
        <w:ind w:firstLine="640" w:firstLineChars="200"/>
        <w:rPr>
          <w:rFonts w:hint="eastAsia" w:ascii="仿宋_GB2312" w:hAnsi="仿宋_GB2312" w:eastAsia="仿宋_GB2312" w:cs="仿宋_GB2312"/>
          <w:color w:val="auto"/>
          <w:sz w:val="32"/>
          <w:szCs w:val="32"/>
          <w:highlight w:val="none"/>
        </w:rPr>
      </w:pPr>
      <w:r>
        <w:rPr>
          <w:rFonts w:ascii="仿宋_GB2312" w:hAnsi="仿宋_GB2312" w:eastAsia="仿宋_GB2312" w:cs="仿宋_GB2312"/>
          <w:color w:val="auto"/>
          <w:sz w:val="32"/>
          <w:szCs w:val="32"/>
          <w:highlight w:val="none"/>
        </w:rPr>
        <w:t>2021</w:t>
      </w:r>
      <w:r>
        <w:rPr>
          <w:rFonts w:hint="eastAsia" w:ascii="仿宋_GB2312" w:hAnsi="仿宋_GB2312" w:eastAsia="仿宋_GB2312" w:cs="仿宋_GB2312"/>
          <w:color w:val="auto"/>
          <w:sz w:val="32"/>
          <w:szCs w:val="32"/>
          <w:highlight w:val="none"/>
        </w:rPr>
        <w:t>年度机关运行经费预算为69.10万元，支出决算为</w:t>
      </w:r>
      <w:r>
        <w:rPr>
          <w:rFonts w:hint="eastAsia" w:ascii="仿宋_GB2312" w:hAnsi="仿宋_GB2312" w:eastAsia="仿宋_GB2312"/>
          <w:color w:val="auto"/>
          <w:sz w:val="32"/>
          <w:szCs w:val="24"/>
          <w:highlight w:val="none"/>
        </w:rPr>
        <w:t>51.39</w:t>
      </w:r>
      <w:r>
        <w:rPr>
          <w:rFonts w:hint="eastAsia" w:ascii="仿宋_GB2312" w:hAnsi="仿宋_GB2312" w:eastAsia="仿宋_GB2312" w:cs="仿宋_GB2312"/>
          <w:color w:val="auto"/>
          <w:sz w:val="32"/>
          <w:szCs w:val="32"/>
          <w:highlight w:val="none"/>
        </w:rPr>
        <w:t>万元，完成预算的</w:t>
      </w:r>
      <w:r>
        <w:rPr>
          <w:rFonts w:hint="eastAsia" w:ascii="仿宋_GB2312" w:hAnsi="仿宋_GB2312" w:eastAsia="仿宋_GB2312" w:cs="仿宋_GB2312"/>
          <w:color w:val="auto"/>
          <w:sz w:val="32"/>
          <w:szCs w:val="32"/>
          <w:highlight w:val="none"/>
          <w:lang w:val="en-US" w:eastAsia="zh-CN"/>
        </w:rPr>
        <w:t>74.37</w:t>
      </w:r>
      <w:r>
        <w:rPr>
          <w:rFonts w:hint="eastAsia" w:ascii="仿宋_GB2312" w:hAnsi="仿宋_GB2312" w:eastAsia="仿宋_GB2312" w:cs="仿宋_GB2312"/>
          <w:color w:val="auto"/>
          <w:sz w:val="32"/>
          <w:szCs w:val="32"/>
          <w:highlight w:val="none"/>
        </w:rPr>
        <w:t>%。决算数与预算数存在差异的主要原因是严格执行中央“八项”规定,规范管理，杜绝浪费现象,</w:t>
      </w:r>
      <w:r>
        <w:rPr>
          <w:rFonts w:hint="eastAsia" w:ascii="仿宋_GB2312" w:eastAsia="仿宋_GB2312" w:cs="宋体"/>
          <w:color w:val="auto"/>
          <w:kern w:val="0"/>
          <w:sz w:val="32"/>
          <w:szCs w:val="32"/>
          <w:highlight w:val="none"/>
          <w:lang w:val="zh-CN"/>
        </w:rPr>
        <w:t>压缩各项办公经费开支</w:t>
      </w:r>
      <w:r>
        <w:rPr>
          <w:rFonts w:hint="eastAsia" w:ascii="仿宋_GB2312" w:hAnsi="仿宋_GB2312" w:eastAsia="仿宋_GB2312" w:cs="仿宋_GB2312"/>
          <w:color w:val="auto"/>
          <w:sz w:val="32"/>
          <w:szCs w:val="32"/>
          <w:highlight w:val="none"/>
        </w:rPr>
        <w:t>。</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十、政府采购支出情况说明</w:t>
      </w:r>
    </w:p>
    <w:p>
      <w:pPr>
        <w:autoSpaceDE w:val="0"/>
        <w:autoSpaceDN w:val="0"/>
        <w:adjustRightInd w:val="0"/>
        <w:spacing w:line="590" w:lineRule="exact"/>
        <w:ind w:firstLine="640"/>
        <w:rPr>
          <w:rFonts w:eastAsia="仿宋_GB2312"/>
          <w:color w:val="auto"/>
          <w:kern w:val="0"/>
          <w:sz w:val="18"/>
          <w:szCs w:val="18"/>
          <w:highlight w:val="none"/>
          <w:lang w:val="zh-CN"/>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年度政府采购支出总额</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万元，其中：政府采购货物支出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万元、政府采购工程支出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万元、政府采购服务支出</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万元。授予中小企业合同金额</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万元，其中：授予小微企业合同金额</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lang w:val="en-US" w:eastAsia="zh-CN"/>
        </w:rPr>
        <w:t>.00</w:t>
      </w:r>
      <w:r>
        <w:rPr>
          <w:rFonts w:hint="eastAsia" w:ascii="仿宋_GB2312" w:eastAsia="仿宋_GB2312" w:cs="仿宋_GB2312"/>
          <w:color w:val="auto"/>
          <w:sz w:val="32"/>
          <w:szCs w:val="32"/>
          <w:highlight w:val="none"/>
        </w:rPr>
        <w:t>万元。</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十一、国有资产占用情况说明</w:t>
      </w:r>
    </w:p>
    <w:p>
      <w:pPr>
        <w:autoSpaceDE w:val="0"/>
        <w:autoSpaceDN w:val="0"/>
        <w:adjustRightInd w:val="0"/>
        <w:spacing w:line="590" w:lineRule="exact"/>
        <w:ind w:firstLine="640"/>
        <w:rPr>
          <w:rFonts w:hint="eastAsia" w:eastAsia="仿宋_GB2312"/>
          <w:color w:val="auto"/>
          <w:kern w:val="0"/>
          <w:sz w:val="18"/>
          <w:szCs w:val="18"/>
          <w:highlight w:val="none"/>
        </w:rPr>
      </w:pPr>
      <w:r>
        <w:rPr>
          <w:rFonts w:ascii="仿宋_GB2312" w:eastAsia="仿宋_GB2312" w:cs="仿宋_GB2312"/>
          <w:color w:val="auto"/>
          <w:sz w:val="32"/>
          <w:szCs w:val="32"/>
          <w:highlight w:val="none"/>
        </w:rPr>
        <w:t>2021</w:t>
      </w:r>
      <w:r>
        <w:rPr>
          <w:rFonts w:hint="eastAsia" w:ascii="仿宋_GB2312" w:eastAsia="仿宋_GB2312" w:cs="仿宋_GB2312"/>
          <w:color w:val="auto"/>
          <w:sz w:val="32"/>
          <w:szCs w:val="32"/>
          <w:highlight w:val="none"/>
        </w:rPr>
        <w:t>年期末，我单位共有车辆</w:t>
      </w:r>
      <w:r>
        <w:rPr>
          <w:rFonts w:ascii="仿宋_GB2312" w:eastAsia="仿宋_GB2312" w:cs="仿宋_GB2312"/>
          <w:color w:val="auto"/>
          <w:sz w:val="32"/>
          <w:szCs w:val="32"/>
          <w:highlight w:val="none"/>
        </w:rPr>
        <w:t>3</w:t>
      </w:r>
      <w:r>
        <w:rPr>
          <w:rFonts w:hint="eastAsia" w:ascii="仿宋_GB2312" w:eastAsia="仿宋_GB2312" w:cs="仿宋_GB2312"/>
          <w:color w:val="auto"/>
          <w:sz w:val="32"/>
          <w:szCs w:val="32"/>
          <w:highlight w:val="none"/>
        </w:rPr>
        <w:t>辆，其中：省级领导干部用车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辆、主要领导干部用车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辆、机要通信用车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辆、应急保障车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辆、执法执勤用车</w:t>
      </w:r>
      <w:r>
        <w:rPr>
          <w:rFonts w:ascii="仿宋_GB2312" w:eastAsia="仿宋_GB2312" w:cs="仿宋_GB2312"/>
          <w:color w:val="auto"/>
          <w:sz w:val="32"/>
          <w:szCs w:val="32"/>
          <w:highlight w:val="none"/>
        </w:rPr>
        <w:t>3</w:t>
      </w:r>
      <w:r>
        <w:rPr>
          <w:rFonts w:hint="eastAsia" w:ascii="仿宋_GB2312" w:eastAsia="仿宋_GB2312" w:cs="仿宋_GB2312"/>
          <w:color w:val="auto"/>
          <w:sz w:val="32"/>
          <w:szCs w:val="32"/>
          <w:highlight w:val="none"/>
        </w:rPr>
        <w:t>辆、特种专业技术用车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辆、离退休干部用车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辆、其他用车</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辆；单位价值</w:t>
      </w:r>
      <w:r>
        <w:rPr>
          <w:rFonts w:ascii="仿宋_GB2312" w:eastAsia="仿宋_GB2312" w:cs="仿宋_GB2312"/>
          <w:color w:val="auto"/>
          <w:sz w:val="32"/>
          <w:szCs w:val="32"/>
          <w:highlight w:val="none"/>
        </w:rPr>
        <w:t>50</w:t>
      </w:r>
      <w:r>
        <w:rPr>
          <w:rFonts w:hint="eastAsia" w:ascii="仿宋_GB2312" w:eastAsia="仿宋_GB2312" w:cs="仿宋_GB2312"/>
          <w:color w:val="auto"/>
          <w:sz w:val="32"/>
          <w:szCs w:val="32"/>
          <w:highlight w:val="none"/>
        </w:rPr>
        <w:t>万元以上通用设备</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台（套），单位价值</w:t>
      </w:r>
      <w:r>
        <w:rPr>
          <w:rFonts w:ascii="仿宋_GB2312" w:eastAsia="仿宋_GB2312" w:cs="仿宋_GB2312"/>
          <w:color w:val="auto"/>
          <w:sz w:val="32"/>
          <w:szCs w:val="32"/>
          <w:highlight w:val="none"/>
        </w:rPr>
        <w:t>100</w:t>
      </w:r>
      <w:r>
        <w:rPr>
          <w:rFonts w:hint="eastAsia" w:ascii="仿宋_GB2312" w:eastAsia="仿宋_GB2312" w:cs="仿宋_GB2312"/>
          <w:color w:val="auto"/>
          <w:sz w:val="32"/>
          <w:szCs w:val="32"/>
          <w:highlight w:val="none"/>
        </w:rPr>
        <w:t>万元以上专用设备</w:t>
      </w:r>
      <w:r>
        <w:rPr>
          <w:rFonts w:ascii="仿宋_GB2312" w:eastAsia="仿宋_GB2312" w:cs="仿宋_GB2312"/>
          <w:color w:val="auto"/>
          <w:sz w:val="32"/>
          <w:szCs w:val="32"/>
          <w:highlight w:val="none"/>
        </w:rPr>
        <w:t>0</w:t>
      </w:r>
      <w:r>
        <w:rPr>
          <w:rFonts w:hint="eastAsia" w:ascii="仿宋_GB2312" w:eastAsia="仿宋_GB2312" w:cs="仿宋_GB2312"/>
          <w:color w:val="auto"/>
          <w:sz w:val="32"/>
          <w:szCs w:val="32"/>
          <w:highlight w:val="none"/>
        </w:rPr>
        <w:t>台（套）。</w:t>
      </w:r>
    </w:p>
    <w:p>
      <w:pPr>
        <w:widowControl/>
        <w:spacing w:line="590" w:lineRule="exact"/>
        <w:ind w:firstLine="640" w:firstLineChars="200"/>
        <w:outlineLvl w:val="1"/>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十二、预算绩效情况说明</w:t>
      </w:r>
    </w:p>
    <w:p>
      <w:pPr>
        <w:widowControl/>
        <w:spacing w:line="590" w:lineRule="exact"/>
        <w:ind w:firstLine="643" w:firstLineChars="200"/>
        <w:outlineLvl w:val="1"/>
        <w:rPr>
          <w:rFonts w:hint="eastAsia" w:ascii="黑体" w:hAnsi="黑体" w:eastAsia="黑体" w:cs="黑体"/>
          <w:color w:val="auto"/>
          <w:sz w:val="32"/>
          <w:szCs w:val="32"/>
          <w:highlight w:val="none"/>
        </w:rPr>
      </w:pPr>
      <w:r>
        <w:rPr>
          <w:rFonts w:hint="eastAsia" w:ascii="楷体_GB2312" w:hAnsi="楷体_GB2312" w:eastAsia="楷体_GB2312" w:cs="楷体_GB2312"/>
          <w:b/>
          <w:bCs/>
          <w:color w:val="auto"/>
          <w:sz w:val="32"/>
          <w:szCs w:val="32"/>
          <w:highlight w:val="none"/>
        </w:rPr>
        <w:t>（一）绩效管理工作开展情况。</w:t>
      </w:r>
    </w:p>
    <w:p>
      <w:pPr>
        <w:widowControl/>
        <w:spacing w:line="360" w:lineRule="auto"/>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按照《中共许昌市委 许昌市人民政府关于全面实施预算绩效管理的实施意见》（许发〔2021〕13号）文件要求，对</w:t>
      </w:r>
      <w:r>
        <w:rPr>
          <w:rFonts w:hint="eastAsia" w:ascii="仿宋_GB2312" w:hAnsi="仿宋_GB2312" w:eastAsia="仿宋_GB2312" w:cs="仿宋_GB2312"/>
          <w:color w:val="auto"/>
          <w:sz w:val="32"/>
          <w:szCs w:val="32"/>
          <w:highlight w:val="none"/>
          <w:lang w:val="en-US" w:eastAsia="zh-CN"/>
        </w:rPr>
        <w:t>本单位</w:t>
      </w:r>
      <w:r>
        <w:rPr>
          <w:rFonts w:hint="eastAsia" w:ascii="仿宋_GB2312" w:hAnsi="仿宋_GB2312" w:eastAsia="仿宋_GB2312" w:cs="仿宋_GB2312"/>
          <w:color w:val="auto"/>
          <w:sz w:val="32"/>
          <w:szCs w:val="32"/>
          <w:highlight w:val="none"/>
        </w:rPr>
        <w:t>整体支出和项目支出开展全过程预算绩效管理</w:t>
      </w:r>
      <w:r>
        <w:rPr>
          <w:rFonts w:hint="eastAsia" w:ascii="仿宋_GB2312" w:hAnsi="仿宋_GB2312" w:eastAsia="仿宋_GB2312" w:cs="仿宋_GB2312"/>
          <w:color w:val="auto"/>
          <w:sz w:val="32"/>
          <w:szCs w:val="32"/>
          <w:highlight w:val="none"/>
          <w:lang w:val="en-US" w:eastAsia="zh-CN"/>
        </w:rPr>
        <w:t>我单位多次召开相关科室人员会议，加强学习预算绩效相关制度文件，提高对预算绩效管理工作的重视程度，提升预算绩效管理相关人员绩效管理意识和业务水平。并以单位职责为依据，确定单位预算项目和预算额度，清晰描述预算项目开支范围和内容，确定预算项目的绩效目标和评价标准，为预算绩效控制、绩效分析、绩效评价打下了基础。</w:t>
      </w:r>
    </w:p>
    <w:p>
      <w:pPr>
        <w:widowControl/>
        <w:spacing w:line="360" w:lineRule="auto"/>
        <w:ind w:firstLine="643" w:firstLineChars="2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（二）</w:t>
      </w:r>
      <w:r>
        <w:rPr>
          <w:rFonts w:hint="eastAsia" w:ascii="楷体_GB2312" w:hAnsi="楷体_GB2312" w:eastAsia="楷体_GB2312" w:cs="楷体_GB2312"/>
          <w:b/>
          <w:bCs/>
          <w:color w:val="auto"/>
          <w:sz w:val="32"/>
          <w:szCs w:val="32"/>
          <w:highlight w:val="none"/>
          <w:lang w:eastAsia="zh-CN"/>
        </w:rPr>
        <w:t>单位</w:t>
      </w:r>
      <w:r>
        <w:rPr>
          <w:rFonts w:hint="eastAsia" w:ascii="楷体_GB2312" w:hAnsi="楷体_GB2312" w:eastAsia="楷体_GB2312" w:cs="楷体_GB2312"/>
          <w:b/>
          <w:bCs/>
          <w:color w:val="auto"/>
          <w:sz w:val="32"/>
          <w:szCs w:val="32"/>
          <w:highlight w:val="none"/>
        </w:rPr>
        <w:t>整体和项目绩效自评结果。</w:t>
      </w:r>
    </w:p>
    <w:p>
      <w:pPr>
        <w:widowControl/>
        <w:spacing w:line="360" w:lineRule="auto"/>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rPr>
        <w:t>按照《许昌市财政局关于开展2021年度市级预算绩效自评工作的通知》（许财效〔202</w:t>
      </w:r>
      <w:r>
        <w:rPr>
          <w:rFonts w:hint="default" w:ascii="仿宋_GB2312" w:hAnsi="仿宋_GB2312" w:eastAsia="仿宋_GB2312" w:cs="仿宋_GB2312"/>
          <w:color w:val="auto"/>
          <w:sz w:val="32"/>
          <w:szCs w:val="32"/>
          <w:highlight w:val="none"/>
          <w:lang w:val="en"/>
        </w:rPr>
        <w:t>2</w:t>
      </w:r>
      <w:r>
        <w:rPr>
          <w:rFonts w:hint="eastAsia" w:ascii="仿宋_GB2312" w:hAnsi="仿宋_GB2312" w:eastAsia="仿宋_GB2312" w:cs="仿宋_GB2312"/>
          <w:color w:val="auto"/>
          <w:sz w:val="32"/>
          <w:szCs w:val="32"/>
          <w:highlight w:val="none"/>
        </w:rPr>
        <w:t>〕1号）等文件精神，我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对本</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整体绩效目标和项目支出绩效目标进行了自评。一是</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整体绩效自评情况，紧紧围绕加强执法办案，维护市场秩序的工作目标，提升资金使用效益。精心组织，安排人员学习绩效管理相关知识，围绕目标任务，有序开展工作，较好的完成了年初制定的年度整体绩效目标。</w:t>
      </w:r>
      <w:r>
        <w:rPr>
          <w:rFonts w:hint="eastAsia" w:ascii="仿宋_GB2312" w:hAnsi="仿宋_GB2312" w:eastAsia="仿宋_GB2312" w:cs="仿宋_GB2312"/>
          <w:color w:val="auto"/>
          <w:sz w:val="32"/>
          <w:szCs w:val="32"/>
          <w:highlight w:val="none"/>
          <w:lang w:val="en-US" w:eastAsia="zh-CN"/>
        </w:rPr>
        <w:t>二是项目绩效自评情况。我单位共有0个项目批复了绩效目标，项目金额0.00万元。基于项目预期目标的实现程度，对2021年度项目支出绩效进行自评，绩效自评平均得分为0分。其中：0个项目评价等级为“优”、0个项目评价等级为“良”、0个项目评价等级为“中”、0个项目评价等级为“差”。</w:t>
      </w:r>
    </w:p>
    <w:p>
      <w:pPr>
        <w:widowControl/>
        <w:spacing w:line="360" w:lineRule="auto"/>
        <w:ind w:firstLine="964" w:firstLineChars="300"/>
        <w:outlineLvl w:val="2"/>
        <w:rPr>
          <w:rFonts w:hint="eastAsia" w:ascii="楷体_GB2312" w:hAnsi="楷体_GB2312" w:eastAsia="楷体_GB2312" w:cs="楷体_GB2312"/>
          <w:b/>
          <w:bCs/>
          <w:color w:val="auto"/>
          <w:sz w:val="32"/>
          <w:szCs w:val="32"/>
          <w:highlight w:val="none"/>
        </w:rPr>
      </w:pPr>
      <w:r>
        <w:rPr>
          <w:rFonts w:hint="eastAsia" w:ascii="楷体_GB2312" w:hAnsi="楷体_GB2312" w:eastAsia="楷体_GB2312" w:cs="楷体_GB2312"/>
          <w:b/>
          <w:bCs/>
          <w:color w:val="auto"/>
          <w:sz w:val="32"/>
          <w:szCs w:val="32"/>
          <w:highlight w:val="none"/>
        </w:rPr>
        <w:t>（三）重点绩效评价结果。</w:t>
      </w:r>
    </w:p>
    <w:p>
      <w:pPr>
        <w:widowControl/>
        <w:ind w:firstLine="640" w:firstLineChars="200"/>
        <w:jc w:val="left"/>
        <w:rPr>
          <w:rFonts w:ascii="黑体" w:hAnsi="宋体" w:eastAsia="黑体" w:cs="宋体"/>
          <w:color w:val="auto"/>
          <w:kern w:val="0"/>
          <w:sz w:val="28"/>
          <w:szCs w:val="28"/>
          <w:highlight w:val="none"/>
        </w:rPr>
      </w:pPr>
      <w:r>
        <w:rPr>
          <w:rFonts w:hint="eastAsia" w:ascii="仿宋_GB2312" w:hAnsi="仿宋_GB2312" w:eastAsia="仿宋_GB2312" w:cs="仿宋_GB2312"/>
          <w:color w:val="auto"/>
          <w:sz w:val="32"/>
          <w:szCs w:val="32"/>
          <w:highlight w:val="none"/>
        </w:rPr>
        <w:t>2021年度我</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没有开展重点绩效评价的项目。</w:t>
      </w: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widowControl/>
        <w:jc w:val="left"/>
        <w:rPr>
          <w:rFonts w:hint="eastAsia" w:ascii="黑体" w:hAnsi="宋体" w:eastAsia="黑体" w:cs="宋体"/>
          <w:color w:val="auto"/>
          <w:kern w:val="0"/>
          <w:sz w:val="28"/>
          <w:szCs w:val="28"/>
          <w:highlight w:val="none"/>
        </w:rPr>
      </w:pPr>
    </w:p>
    <w:p>
      <w:pPr>
        <w:jc w:val="both"/>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pPr>
      <w:r>
        <w:rPr>
          <w:rFonts w:hint="eastAsia" w:ascii="黑体" w:hAnsi="黑体" w:eastAsia="黑体" w:cs="黑体"/>
          <w:color w:val="auto"/>
          <w:sz w:val="48"/>
          <w:szCs w:val="48"/>
          <w:highlight w:val="none"/>
        </w:rPr>
        <w:t>第四部分  名词解释</w:t>
      </w:r>
    </w:p>
    <w:p>
      <w:pPr>
        <w:jc w:val="center"/>
        <w:rPr>
          <w:rFonts w:hint="eastAsia" w:ascii="黑体" w:hAnsi="黑体" w:eastAsia="黑体" w:cs="黑体"/>
          <w:color w:val="auto"/>
          <w:sz w:val="48"/>
          <w:szCs w:val="48"/>
          <w:highlight w:val="none"/>
        </w:rPr>
      </w:pPr>
    </w:p>
    <w:p>
      <w:pPr>
        <w:jc w:val="center"/>
        <w:outlineLvl w:val="0"/>
        <w:rPr>
          <w:rFonts w:hint="eastAsia" w:ascii="黑体" w:hAnsi="黑体" w:eastAsia="黑体" w:cs="黑体"/>
          <w:color w:val="auto"/>
          <w:sz w:val="48"/>
          <w:szCs w:val="48"/>
          <w:highlight w:val="none"/>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一、财政拨款收入：单位从同级政府财政</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取得的财政预算资金。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三、上级补助收入：事业单位从主管</w:t>
      </w:r>
      <w:r>
        <w:rPr>
          <w:rFonts w:hint="eastAsia" w:ascii="仿宋_GB2312" w:hAnsi="仿宋_GB2312" w:eastAsia="仿宋_GB2312" w:cs="仿宋_GB2312"/>
          <w:color w:val="auto"/>
          <w:sz w:val="32"/>
          <w:szCs w:val="32"/>
          <w:highlight w:val="none"/>
          <w:lang w:eastAsia="zh-CN"/>
        </w:rPr>
        <w:t>单位</w:t>
      </w:r>
      <w:r>
        <w:rPr>
          <w:rFonts w:hint="eastAsia" w:ascii="仿宋_GB2312" w:hAnsi="仿宋_GB2312" w:eastAsia="仿宋_GB2312" w:cs="仿宋_GB2312"/>
          <w:color w:val="auto"/>
          <w:sz w:val="32"/>
          <w:szCs w:val="32"/>
          <w:highlight w:val="none"/>
        </w:rPr>
        <w:t>和上级单位取得的非财政补助收入。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十六、年末结余：本年度或以前年度预算安排，已执行完毕或因客观条件发生变化无法按原预算安排实施，不需要再使用或无法按原预算安排继续使用的资金。</w:t>
      </w:r>
    </w:p>
    <w:bookmarkEnd w:id="0"/>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CCu/G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rPr>
                              <w:rFonts w:hint="eastAsia"/>
                            </w:rPr>
                          </w:pPr>
                        </w:p>
                      </w:txbxContent>
                    </wps:txbx>
                    <wps:bodyPr vert="horz" wrap="none" lIns="0" tIns="0" rIns="0" bIns="0" anchor="t" anchorCtr="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zql5uc8AAAAFAQAADwAAAAAA&#10;AAABACAAAAAiAAAAZHJzL2Rvd25yZXYueG1sUEsBAhQAFAAAAAgAh07iQGewwJDjAQAAzwMAAA4A&#10;AAAAAAAAAQAgAAAAHgEAAGRycy9lMm9Eb2MueG1sUEsFBgAAAAAGAAYAWQEAAHMFA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wps:txbx>
                    <wps:bodyPr vert="horz" wrap="none" lIns="0" tIns="0" rIns="0" bIns="0" anchor="t" anchorCtr="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2kRv5eIBAADMAwAADgAA&#10;AAAAAAABACAAAAAeAQAAZHJzL2Uyb0RvYy54bWxQSwUGAAAAAAYABgBZAQAAcgU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6C773F"/>
    <w:multiLevelType w:val="singleLevel"/>
    <w:tmpl w:val="F96C773F"/>
    <w:lvl w:ilvl="0" w:tentative="0">
      <w:start w:val="1"/>
      <w:numFmt w:val="chineseCounting"/>
      <w:suff w:val="space"/>
      <w:lvlText w:val="第%1部分"/>
      <w:lvlJc w:val="left"/>
      <w:rPr>
        <w:rFonts w:hint="eastAsia"/>
      </w:rPr>
    </w:lvl>
  </w:abstractNum>
  <w:abstractNum w:abstractNumId="1">
    <w:nsid w:val="5971BE17"/>
    <w:multiLevelType w:val="singleLevel"/>
    <w:tmpl w:val="5971BE17"/>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zMmNhMmI2OGM1NmNkZjBmOGIxOWRhMjk5NzcyYmUifQ=="/>
  </w:docVars>
  <w:rsids>
    <w:rsidRoot w:val="000270E8"/>
    <w:rsid w:val="000270E8"/>
    <w:rsid w:val="000335B5"/>
    <w:rsid w:val="00035962"/>
    <w:rsid w:val="000359D6"/>
    <w:rsid w:val="000471E0"/>
    <w:rsid w:val="00057AFD"/>
    <w:rsid w:val="00076410"/>
    <w:rsid w:val="00081835"/>
    <w:rsid w:val="000904B3"/>
    <w:rsid w:val="000A4F5A"/>
    <w:rsid w:val="000C073B"/>
    <w:rsid w:val="000C1142"/>
    <w:rsid w:val="000D64A2"/>
    <w:rsid w:val="000F2664"/>
    <w:rsid w:val="001003F8"/>
    <w:rsid w:val="001011BC"/>
    <w:rsid w:val="00112284"/>
    <w:rsid w:val="00144159"/>
    <w:rsid w:val="00170DBF"/>
    <w:rsid w:val="001718A8"/>
    <w:rsid w:val="00182842"/>
    <w:rsid w:val="00184D53"/>
    <w:rsid w:val="001905F2"/>
    <w:rsid w:val="00197592"/>
    <w:rsid w:val="001A1702"/>
    <w:rsid w:val="001C32F0"/>
    <w:rsid w:val="001D61B1"/>
    <w:rsid w:val="001F04E1"/>
    <w:rsid w:val="001F5040"/>
    <w:rsid w:val="002006EB"/>
    <w:rsid w:val="00214AE1"/>
    <w:rsid w:val="00260D70"/>
    <w:rsid w:val="00281114"/>
    <w:rsid w:val="0028257B"/>
    <w:rsid w:val="00282C7F"/>
    <w:rsid w:val="00287811"/>
    <w:rsid w:val="00292B4B"/>
    <w:rsid w:val="002A6352"/>
    <w:rsid w:val="002B101D"/>
    <w:rsid w:val="002B3F94"/>
    <w:rsid w:val="002B602E"/>
    <w:rsid w:val="002C171D"/>
    <w:rsid w:val="002D06EF"/>
    <w:rsid w:val="002E6A86"/>
    <w:rsid w:val="002F3911"/>
    <w:rsid w:val="002F463E"/>
    <w:rsid w:val="00304D04"/>
    <w:rsid w:val="00305B88"/>
    <w:rsid w:val="00311627"/>
    <w:rsid w:val="00315F51"/>
    <w:rsid w:val="00315FEB"/>
    <w:rsid w:val="00343A4B"/>
    <w:rsid w:val="00386F75"/>
    <w:rsid w:val="003E7233"/>
    <w:rsid w:val="003F1BDD"/>
    <w:rsid w:val="0041489C"/>
    <w:rsid w:val="0042585F"/>
    <w:rsid w:val="00445CAC"/>
    <w:rsid w:val="00472E19"/>
    <w:rsid w:val="00487869"/>
    <w:rsid w:val="004D5275"/>
    <w:rsid w:val="004F63DB"/>
    <w:rsid w:val="00505190"/>
    <w:rsid w:val="00507364"/>
    <w:rsid w:val="00524B23"/>
    <w:rsid w:val="00546F7C"/>
    <w:rsid w:val="00596B5A"/>
    <w:rsid w:val="005A0C2F"/>
    <w:rsid w:val="005B1AE2"/>
    <w:rsid w:val="005E3397"/>
    <w:rsid w:val="00607D67"/>
    <w:rsid w:val="006228C4"/>
    <w:rsid w:val="00636C37"/>
    <w:rsid w:val="006512DD"/>
    <w:rsid w:val="00656BEF"/>
    <w:rsid w:val="00656D75"/>
    <w:rsid w:val="00657E86"/>
    <w:rsid w:val="00673EF7"/>
    <w:rsid w:val="00674CB0"/>
    <w:rsid w:val="006841E9"/>
    <w:rsid w:val="0069449E"/>
    <w:rsid w:val="006A5E2A"/>
    <w:rsid w:val="006C07F0"/>
    <w:rsid w:val="006C644A"/>
    <w:rsid w:val="006C7D84"/>
    <w:rsid w:val="006E52E5"/>
    <w:rsid w:val="006F0270"/>
    <w:rsid w:val="006F331E"/>
    <w:rsid w:val="007148E8"/>
    <w:rsid w:val="00733DAA"/>
    <w:rsid w:val="00742BA0"/>
    <w:rsid w:val="007464A5"/>
    <w:rsid w:val="00753545"/>
    <w:rsid w:val="00764156"/>
    <w:rsid w:val="0076607C"/>
    <w:rsid w:val="007706D7"/>
    <w:rsid w:val="007879ED"/>
    <w:rsid w:val="007A48A3"/>
    <w:rsid w:val="007C029F"/>
    <w:rsid w:val="007C7F49"/>
    <w:rsid w:val="007D0AC8"/>
    <w:rsid w:val="007D2A21"/>
    <w:rsid w:val="007E221F"/>
    <w:rsid w:val="00810F5E"/>
    <w:rsid w:val="0081618D"/>
    <w:rsid w:val="00827F55"/>
    <w:rsid w:val="00843461"/>
    <w:rsid w:val="008452D3"/>
    <w:rsid w:val="008651E7"/>
    <w:rsid w:val="00872946"/>
    <w:rsid w:val="00877673"/>
    <w:rsid w:val="0088023A"/>
    <w:rsid w:val="00880D16"/>
    <w:rsid w:val="008858FB"/>
    <w:rsid w:val="00894B41"/>
    <w:rsid w:val="00895A51"/>
    <w:rsid w:val="008A47DA"/>
    <w:rsid w:val="008B5427"/>
    <w:rsid w:val="008B6EBA"/>
    <w:rsid w:val="008B71E0"/>
    <w:rsid w:val="008C4D09"/>
    <w:rsid w:val="008C7CD0"/>
    <w:rsid w:val="008D2553"/>
    <w:rsid w:val="008D3E29"/>
    <w:rsid w:val="00903F6B"/>
    <w:rsid w:val="009173F9"/>
    <w:rsid w:val="00922668"/>
    <w:rsid w:val="009308CB"/>
    <w:rsid w:val="00950270"/>
    <w:rsid w:val="00962F58"/>
    <w:rsid w:val="00975A04"/>
    <w:rsid w:val="00987E71"/>
    <w:rsid w:val="009C455E"/>
    <w:rsid w:val="009F0FBB"/>
    <w:rsid w:val="009F546E"/>
    <w:rsid w:val="00A079F0"/>
    <w:rsid w:val="00A17328"/>
    <w:rsid w:val="00A42231"/>
    <w:rsid w:val="00A42F43"/>
    <w:rsid w:val="00A51982"/>
    <w:rsid w:val="00A57BF7"/>
    <w:rsid w:val="00A71DC1"/>
    <w:rsid w:val="00A83D8A"/>
    <w:rsid w:val="00A93E7D"/>
    <w:rsid w:val="00AA260E"/>
    <w:rsid w:val="00AA44CB"/>
    <w:rsid w:val="00AA67CD"/>
    <w:rsid w:val="00AC60C4"/>
    <w:rsid w:val="00AC6192"/>
    <w:rsid w:val="00AD6761"/>
    <w:rsid w:val="00AE2FEA"/>
    <w:rsid w:val="00AE600E"/>
    <w:rsid w:val="00B0083B"/>
    <w:rsid w:val="00B040BC"/>
    <w:rsid w:val="00B209B8"/>
    <w:rsid w:val="00B20BBC"/>
    <w:rsid w:val="00B249F3"/>
    <w:rsid w:val="00B40CC3"/>
    <w:rsid w:val="00B649BE"/>
    <w:rsid w:val="00B653A5"/>
    <w:rsid w:val="00B710DD"/>
    <w:rsid w:val="00B84418"/>
    <w:rsid w:val="00BB540E"/>
    <w:rsid w:val="00BC0DE0"/>
    <w:rsid w:val="00BE5A85"/>
    <w:rsid w:val="00BE691D"/>
    <w:rsid w:val="00BF3427"/>
    <w:rsid w:val="00BF4E6A"/>
    <w:rsid w:val="00BF5718"/>
    <w:rsid w:val="00C13474"/>
    <w:rsid w:val="00C3106E"/>
    <w:rsid w:val="00C35D73"/>
    <w:rsid w:val="00C60609"/>
    <w:rsid w:val="00C95CC1"/>
    <w:rsid w:val="00CA3F44"/>
    <w:rsid w:val="00CB03ED"/>
    <w:rsid w:val="00CB4997"/>
    <w:rsid w:val="00CC6EFA"/>
    <w:rsid w:val="00CD4CE2"/>
    <w:rsid w:val="00CE212D"/>
    <w:rsid w:val="00CE4B38"/>
    <w:rsid w:val="00D1321A"/>
    <w:rsid w:val="00D17A4A"/>
    <w:rsid w:val="00D30ADF"/>
    <w:rsid w:val="00D33CF8"/>
    <w:rsid w:val="00D55745"/>
    <w:rsid w:val="00D6315E"/>
    <w:rsid w:val="00D652C2"/>
    <w:rsid w:val="00D74EE2"/>
    <w:rsid w:val="00D83E19"/>
    <w:rsid w:val="00D86CAD"/>
    <w:rsid w:val="00D93DB2"/>
    <w:rsid w:val="00DA00C9"/>
    <w:rsid w:val="00DB200E"/>
    <w:rsid w:val="00DB65F5"/>
    <w:rsid w:val="00DC115E"/>
    <w:rsid w:val="00DD1F72"/>
    <w:rsid w:val="00DE1FAB"/>
    <w:rsid w:val="00E01C3E"/>
    <w:rsid w:val="00E057E3"/>
    <w:rsid w:val="00E13099"/>
    <w:rsid w:val="00E4339F"/>
    <w:rsid w:val="00E54DBA"/>
    <w:rsid w:val="00E60B05"/>
    <w:rsid w:val="00E629EA"/>
    <w:rsid w:val="00E6777C"/>
    <w:rsid w:val="00E71AA2"/>
    <w:rsid w:val="00E74145"/>
    <w:rsid w:val="00E96C4A"/>
    <w:rsid w:val="00EB05A3"/>
    <w:rsid w:val="00ED38B7"/>
    <w:rsid w:val="00EE051D"/>
    <w:rsid w:val="00F0131A"/>
    <w:rsid w:val="00F14C17"/>
    <w:rsid w:val="00F17041"/>
    <w:rsid w:val="00F17BC3"/>
    <w:rsid w:val="00F218CF"/>
    <w:rsid w:val="00F44937"/>
    <w:rsid w:val="00F61A47"/>
    <w:rsid w:val="00F770D6"/>
    <w:rsid w:val="00F84422"/>
    <w:rsid w:val="00F95455"/>
    <w:rsid w:val="00FA5185"/>
    <w:rsid w:val="00FA574D"/>
    <w:rsid w:val="00FC2588"/>
    <w:rsid w:val="00FE7AD9"/>
    <w:rsid w:val="01322275"/>
    <w:rsid w:val="018E1EA2"/>
    <w:rsid w:val="01AE77C6"/>
    <w:rsid w:val="01DC6F05"/>
    <w:rsid w:val="025E6D65"/>
    <w:rsid w:val="02646517"/>
    <w:rsid w:val="02A3489A"/>
    <w:rsid w:val="02CA138D"/>
    <w:rsid w:val="033646FC"/>
    <w:rsid w:val="03C75F80"/>
    <w:rsid w:val="03F51722"/>
    <w:rsid w:val="0478364D"/>
    <w:rsid w:val="053D4C0D"/>
    <w:rsid w:val="0557532E"/>
    <w:rsid w:val="05FE4657"/>
    <w:rsid w:val="067235C1"/>
    <w:rsid w:val="06746033"/>
    <w:rsid w:val="0799329C"/>
    <w:rsid w:val="08157B45"/>
    <w:rsid w:val="08397436"/>
    <w:rsid w:val="086F16A7"/>
    <w:rsid w:val="08FA2007"/>
    <w:rsid w:val="097C01EF"/>
    <w:rsid w:val="0A0F7225"/>
    <w:rsid w:val="0A2B7D82"/>
    <w:rsid w:val="0ADC40E9"/>
    <w:rsid w:val="0AE607F4"/>
    <w:rsid w:val="0B2C0F5D"/>
    <w:rsid w:val="0B386127"/>
    <w:rsid w:val="0B451598"/>
    <w:rsid w:val="0BC8771C"/>
    <w:rsid w:val="0BEC73F4"/>
    <w:rsid w:val="0C0E7FE4"/>
    <w:rsid w:val="0C392698"/>
    <w:rsid w:val="0CAB3439"/>
    <w:rsid w:val="0CB32C96"/>
    <w:rsid w:val="0FD67A5B"/>
    <w:rsid w:val="10BD36F6"/>
    <w:rsid w:val="116773DD"/>
    <w:rsid w:val="11BF0649"/>
    <w:rsid w:val="123E3E08"/>
    <w:rsid w:val="133212F4"/>
    <w:rsid w:val="13D22E22"/>
    <w:rsid w:val="151C0F54"/>
    <w:rsid w:val="161C2DFF"/>
    <w:rsid w:val="16373578"/>
    <w:rsid w:val="16D3336B"/>
    <w:rsid w:val="17200028"/>
    <w:rsid w:val="17806C36"/>
    <w:rsid w:val="17A74F62"/>
    <w:rsid w:val="18A47774"/>
    <w:rsid w:val="1A084999"/>
    <w:rsid w:val="1A8D28EB"/>
    <w:rsid w:val="1A9F2D78"/>
    <w:rsid w:val="1A9F4904"/>
    <w:rsid w:val="1B2E6FD8"/>
    <w:rsid w:val="1B877D21"/>
    <w:rsid w:val="1C4319A9"/>
    <w:rsid w:val="1E0039B6"/>
    <w:rsid w:val="1E443B4B"/>
    <w:rsid w:val="1E994F4A"/>
    <w:rsid w:val="1EAF0224"/>
    <w:rsid w:val="1F1A4336"/>
    <w:rsid w:val="1F2230A4"/>
    <w:rsid w:val="1F98FC96"/>
    <w:rsid w:val="20210932"/>
    <w:rsid w:val="202448E0"/>
    <w:rsid w:val="206725CB"/>
    <w:rsid w:val="20837579"/>
    <w:rsid w:val="20F614FE"/>
    <w:rsid w:val="21302EEA"/>
    <w:rsid w:val="213D42E5"/>
    <w:rsid w:val="2163328E"/>
    <w:rsid w:val="22376FB5"/>
    <w:rsid w:val="23E152D7"/>
    <w:rsid w:val="23EE2489"/>
    <w:rsid w:val="242554DD"/>
    <w:rsid w:val="245510EA"/>
    <w:rsid w:val="25552E8F"/>
    <w:rsid w:val="255D43C8"/>
    <w:rsid w:val="259C0E7A"/>
    <w:rsid w:val="26435EA9"/>
    <w:rsid w:val="26714EF8"/>
    <w:rsid w:val="26876BDD"/>
    <w:rsid w:val="2714632A"/>
    <w:rsid w:val="27541E73"/>
    <w:rsid w:val="27596454"/>
    <w:rsid w:val="27B0539E"/>
    <w:rsid w:val="29365CF8"/>
    <w:rsid w:val="299469B3"/>
    <w:rsid w:val="2A805789"/>
    <w:rsid w:val="2AAA2973"/>
    <w:rsid w:val="2ADC0D75"/>
    <w:rsid w:val="2B4A0E52"/>
    <w:rsid w:val="2B4B765F"/>
    <w:rsid w:val="2B97636B"/>
    <w:rsid w:val="2BD54085"/>
    <w:rsid w:val="2C975890"/>
    <w:rsid w:val="2DA971FC"/>
    <w:rsid w:val="2DDC0339"/>
    <w:rsid w:val="2DEF21BB"/>
    <w:rsid w:val="2E33693F"/>
    <w:rsid w:val="2E4A2F05"/>
    <w:rsid w:val="2ECC1061"/>
    <w:rsid w:val="2FA476AD"/>
    <w:rsid w:val="303F7540"/>
    <w:rsid w:val="310C0498"/>
    <w:rsid w:val="31DD00BF"/>
    <w:rsid w:val="32737410"/>
    <w:rsid w:val="327F0422"/>
    <w:rsid w:val="3293174C"/>
    <w:rsid w:val="32BB38D4"/>
    <w:rsid w:val="32C9376D"/>
    <w:rsid w:val="32E077CF"/>
    <w:rsid w:val="33033FDB"/>
    <w:rsid w:val="33780472"/>
    <w:rsid w:val="33AF0905"/>
    <w:rsid w:val="355932F4"/>
    <w:rsid w:val="35611882"/>
    <w:rsid w:val="35956011"/>
    <w:rsid w:val="35C90C0C"/>
    <w:rsid w:val="35CA5CBB"/>
    <w:rsid w:val="36746FC3"/>
    <w:rsid w:val="368763AE"/>
    <w:rsid w:val="37416BCC"/>
    <w:rsid w:val="38457A17"/>
    <w:rsid w:val="38661F15"/>
    <w:rsid w:val="395D59E7"/>
    <w:rsid w:val="39A93932"/>
    <w:rsid w:val="3A915562"/>
    <w:rsid w:val="3AA75858"/>
    <w:rsid w:val="3B0C4680"/>
    <w:rsid w:val="3B8D4765"/>
    <w:rsid w:val="3BB42FEE"/>
    <w:rsid w:val="3C000DBA"/>
    <w:rsid w:val="3C9F58D4"/>
    <w:rsid w:val="3DC045D3"/>
    <w:rsid w:val="3E195EE1"/>
    <w:rsid w:val="3E1C72D0"/>
    <w:rsid w:val="3E504FFB"/>
    <w:rsid w:val="3E545E0F"/>
    <w:rsid w:val="3E615CD0"/>
    <w:rsid w:val="3E9C47F6"/>
    <w:rsid w:val="3F745441"/>
    <w:rsid w:val="3F8B0112"/>
    <w:rsid w:val="3FA73CA7"/>
    <w:rsid w:val="3FAB3095"/>
    <w:rsid w:val="3FE45947"/>
    <w:rsid w:val="4067362D"/>
    <w:rsid w:val="41242965"/>
    <w:rsid w:val="415F721B"/>
    <w:rsid w:val="4249031F"/>
    <w:rsid w:val="42E36B4A"/>
    <w:rsid w:val="42FA6050"/>
    <w:rsid w:val="43086706"/>
    <w:rsid w:val="43291E3B"/>
    <w:rsid w:val="435671EA"/>
    <w:rsid w:val="437A4C52"/>
    <w:rsid w:val="43E664FF"/>
    <w:rsid w:val="440809E9"/>
    <w:rsid w:val="442407A6"/>
    <w:rsid w:val="44805EA1"/>
    <w:rsid w:val="45710696"/>
    <w:rsid w:val="46080288"/>
    <w:rsid w:val="46142B1B"/>
    <w:rsid w:val="47E60DD0"/>
    <w:rsid w:val="48735039"/>
    <w:rsid w:val="4895319D"/>
    <w:rsid w:val="48E4466B"/>
    <w:rsid w:val="492C684B"/>
    <w:rsid w:val="49500594"/>
    <w:rsid w:val="499D7423"/>
    <w:rsid w:val="49CC2BDF"/>
    <w:rsid w:val="49E7604E"/>
    <w:rsid w:val="4BF67CDD"/>
    <w:rsid w:val="4D173441"/>
    <w:rsid w:val="4D603DD6"/>
    <w:rsid w:val="4EBF010F"/>
    <w:rsid w:val="4F471EB0"/>
    <w:rsid w:val="4FF96FA7"/>
    <w:rsid w:val="51331326"/>
    <w:rsid w:val="51740A7F"/>
    <w:rsid w:val="51A5541E"/>
    <w:rsid w:val="51C96242"/>
    <w:rsid w:val="51CC7FD1"/>
    <w:rsid w:val="53906AE1"/>
    <w:rsid w:val="541B0AFD"/>
    <w:rsid w:val="541D7EE5"/>
    <w:rsid w:val="5463135D"/>
    <w:rsid w:val="54720246"/>
    <w:rsid w:val="54E641AA"/>
    <w:rsid w:val="54F46F60"/>
    <w:rsid w:val="55A37BEA"/>
    <w:rsid w:val="56362CD2"/>
    <w:rsid w:val="5775558A"/>
    <w:rsid w:val="5784687B"/>
    <w:rsid w:val="57846959"/>
    <w:rsid w:val="578E6A87"/>
    <w:rsid w:val="57A60505"/>
    <w:rsid w:val="57DF184A"/>
    <w:rsid w:val="57E404D7"/>
    <w:rsid w:val="57FEF6FA"/>
    <w:rsid w:val="59FF750B"/>
    <w:rsid w:val="5A29667F"/>
    <w:rsid w:val="5A8406C0"/>
    <w:rsid w:val="5AC2203A"/>
    <w:rsid w:val="5AD0530C"/>
    <w:rsid w:val="5AD53475"/>
    <w:rsid w:val="5B824E02"/>
    <w:rsid w:val="5BB62E95"/>
    <w:rsid w:val="5C552000"/>
    <w:rsid w:val="5CBB3334"/>
    <w:rsid w:val="5D115FAF"/>
    <w:rsid w:val="5DE072D0"/>
    <w:rsid w:val="62811722"/>
    <w:rsid w:val="62AF548E"/>
    <w:rsid w:val="62E75A72"/>
    <w:rsid w:val="6331191B"/>
    <w:rsid w:val="64571880"/>
    <w:rsid w:val="649125B6"/>
    <w:rsid w:val="652F4C1A"/>
    <w:rsid w:val="654900FB"/>
    <w:rsid w:val="65F63083"/>
    <w:rsid w:val="666D37F1"/>
    <w:rsid w:val="67087D8F"/>
    <w:rsid w:val="671F687E"/>
    <w:rsid w:val="67F415F8"/>
    <w:rsid w:val="682640D1"/>
    <w:rsid w:val="684B73E5"/>
    <w:rsid w:val="6A047A2A"/>
    <w:rsid w:val="6A333127"/>
    <w:rsid w:val="6C762283"/>
    <w:rsid w:val="6D200D82"/>
    <w:rsid w:val="6DE336E2"/>
    <w:rsid w:val="6E061360"/>
    <w:rsid w:val="6EA11B14"/>
    <w:rsid w:val="6EFB7548"/>
    <w:rsid w:val="6F3831C3"/>
    <w:rsid w:val="6F8B71C1"/>
    <w:rsid w:val="703D371F"/>
    <w:rsid w:val="703D4F64"/>
    <w:rsid w:val="70753482"/>
    <w:rsid w:val="707B522A"/>
    <w:rsid w:val="7090364B"/>
    <w:rsid w:val="72DA4A88"/>
    <w:rsid w:val="73162F91"/>
    <w:rsid w:val="73194D05"/>
    <w:rsid w:val="73A83B0E"/>
    <w:rsid w:val="744D3EF9"/>
    <w:rsid w:val="74794411"/>
    <w:rsid w:val="75867C40"/>
    <w:rsid w:val="75B10B26"/>
    <w:rsid w:val="75E07CF9"/>
    <w:rsid w:val="76432199"/>
    <w:rsid w:val="766562D3"/>
    <w:rsid w:val="76F44829"/>
    <w:rsid w:val="77244524"/>
    <w:rsid w:val="776C2EB6"/>
    <w:rsid w:val="77A267C0"/>
    <w:rsid w:val="787C1C7A"/>
    <w:rsid w:val="78882278"/>
    <w:rsid w:val="78B118A6"/>
    <w:rsid w:val="79135044"/>
    <w:rsid w:val="79165347"/>
    <w:rsid w:val="7A2D7B93"/>
    <w:rsid w:val="7A2F6E6E"/>
    <w:rsid w:val="7A6510DB"/>
    <w:rsid w:val="7A7D0F99"/>
    <w:rsid w:val="7B63782F"/>
    <w:rsid w:val="7BAB1490"/>
    <w:rsid w:val="7C464F90"/>
    <w:rsid w:val="7D465921"/>
    <w:rsid w:val="7E4A0E7C"/>
    <w:rsid w:val="7E922262"/>
    <w:rsid w:val="7EFD449D"/>
    <w:rsid w:val="7F48E135"/>
    <w:rsid w:val="7F732CB4"/>
    <w:rsid w:val="7FAF585F"/>
    <w:rsid w:val="7FBDE5C5"/>
    <w:rsid w:val="7FE44B5D"/>
    <w:rsid w:val="87FFEAE3"/>
    <w:rsid w:val="8B2B54B5"/>
    <w:rsid w:val="9F97D945"/>
    <w:rsid w:val="BD5E2C88"/>
    <w:rsid w:val="BF5DB502"/>
    <w:rsid w:val="D63D6995"/>
    <w:rsid w:val="D8EE7F8E"/>
    <w:rsid w:val="E9F813A1"/>
    <w:rsid w:val="EE3E0865"/>
    <w:rsid w:val="EEDF66EF"/>
    <w:rsid w:val="F72493A4"/>
    <w:rsid w:val="F7FFC5FB"/>
    <w:rsid w:val="FB3B727B"/>
    <w:rsid w:val="FB3F6CBC"/>
    <w:rsid w:val="FB9FDEC8"/>
    <w:rsid w:val="FDFD6C19"/>
    <w:rsid w:val="FECCCA27"/>
    <w:rsid w:val="FFB286FA"/>
    <w:rsid w:val="FFDFBE3C"/>
    <w:rsid w:val="FFFECD9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10"/>
    <w:unhideWhenUsed/>
    <w:qFormat/>
    <w:uiPriority w:val="99"/>
    <w:rPr>
      <w:sz w:val="18"/>
      <w:szCs w:val="18"/>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FollowedHyperlink"/>
    <w:unhideWhenUsed/>
    <w:qFormat/>
    <w:uiPriority w:val="99"/>
    <w:rPr>
      <w:color w:val="800080"/>
      <w:u w:val="single"/>
    </w:rPr>
  </w:style>
  <w:style w:type="character" w:styleId="9">
    <w:name w:val="Hyperlink"/>
    <w:unhideWhenUsed/>
    <w:qFormat/>
    <w:uiPriority w:val="99"/>
    <w:rPr>
      <w:color w:val="0000FF"/>
      <w:u w:val="single"/>
    </w:rPr>
  </w:style>
  <w:style w:type="character" w:customStyle="1" w:styleId="10">
    <w:name w:val="批注框文本 Char"/>
    <w:link w:val="2"/>
    <w:semiHidden/>
    <w:qFormat/>
    <w:uiPriority w:val="99"/>
    <w:rPr>
      <w:kern w:val="2"/>
      <w:sz w:val="18"/>
      <w:szCs w:val="18"/>
    </w:rPr>
  </w:style>
  <w:style w:type="character" w:customStyle="1" w:styleId="11">
    <w:name w:val="页脚 Char"/>
    <w:link w:val="3"/>
    <w:qFormat/>
    <w:uiPriority w:val="99"/>
    <w:rPr>
      <w:kern w:val="2"/>
      <w:sz w:val="18"/>
      <w:szCs w:val="18"/>
    </w:rPr>
  </w:style>
  <w:style w:type="character" w:customStyle="1" w:styleId="12">
    <w:name w:val="页眉 Char"/>
    <w:link w:val="4"/>
    <w:qFormat/>
    <w:uiPriority w:val="99"/>
    <w:rPr>
      <w:kern w:val="2"/>
      <w:sz w:val="18"/>
      <w:szCs w:val="18"/>
    </w:rPr>
  </w:style>
  <w:style w:type="character" w:customStyle="1" w:styleId="13">
    <w:name w:val="font01"/>
    <w:qFormat/>
    <w:uiPriority w:val="0"/>
    <w:rPr>
      <w:rFonts w:hint="eastAsia" w:ascii="宋体" w:hAnsi="宋体" w:eastAsia="宋体" w:cs="宋体"/>
      <w:color w:val="000000"/>
      <w:sz w:val="22"/>
      <w:szCs w:val="22"/>
      <w:u w:val="none"/>
    </w:rPr>
  </w:style>
  <w:style w:type="character" w:customStyle="1" w:styleId="14">
    <w:name w:val="font21"/>
    <w:qFormat/>
    <w:uiPriority w:val="0"/>
    <w:rPr>
      <w:rFonts w:hint="eastAsia" w:ascii="宋体" w:hAnsi="宋体" w:eastAsia="宋体" w:cs="宋体"/>
      <w:color w:val="000000"/>
      <w:sz w:val="22"/>
      <w:szCs w:val="22"/>
      <w:u w:val="none"/>
    </w:rPr>
  </w:style>
  <w:style w:type="character" w:customStyle="1" w:styleId="15">
    <w:name w:val="font51"/>
    <w:qFormat/>
    <w:uiPriority w:val="0"/>
    <w:rPr>
      <w:rFonts w:hint="eastAsia" w:ascii="宋体" w:hAnsi="宋体" w:eastAsia="宋体" w:cs="宋体"/>
      <w:color w:val="000000"/>
      <w:sz w:val="24"/>
      <w:szCs w:val="24"/>
      <w:u w:val="none"/>
    </w:rPr>
  </w:style>
  <w:style w:type="character" w:customStyle="1" w:styleId="16">
    <w:name w:val="font11"/>
    <w:qFormat/>
    <w:uiPriority w:val="0"/>
    <w:rPr>
      <w:rFonts w:hint="eastAsia" w:ascii="宋体" w:hAnsi="宋体" w:eastAsia="宋体" w:cs="宋体"/>
      <w:color w:val="000000"/>
      <w:sz w:val="20"/>
      <w:szCs w:val="20"/>
      <w:u w:val="none"/>
    </w:rPr>
  </w:style>
  <w:style w:type="character" w:customStyle="1" w:styleId="17">
    <w:name w:val="font41"/>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 User</Company>
  <Pages>29</Pages>
  <Words>8156</Words>
  <Characters>9947</Characters>
  <Lines>89</Lines>
  <Paragraphs>25</Paragraphs>
  <TotalTime>14</TotalTime>
  <ScaleCrop>false</ScaleCrop>
  <LinksUpToDate>false</LinksUpToDate>
  <CharactersWithSpaces>10641</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2007-12-01T03:41:00Z</dcterms:created>
  <dc:creator>管理者</dc:creator>
  <cp:lastModifiedBy>悟の</cp:lastModifiedBy>
  <cp:lastPrinted>2018-07-26T10:50:00Z</cp:lastPrinted>
  <dcterms:modified xsi:type="dcterms:W3CDTF">2023-09-17T11:21:48Z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1471EC5EAEC842F28CD1BB4E0AA95D6C_13</vt:lpwstr>
  </property>
</Properties>
</file>