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lang w:val="en-US" w:eastAsia="zh-CN"/>
        </w:rPr>
      </w:pPr>
      <w:r>
        <w:rPr>
          <w:rFonts w:hint="eastAsia" w:ascii="黑体" w:hAnsi="黑体" w:eastAsia="黑体" w:cs="黑体"/>
          <w:color w:val="auto"/>
          <w:sz w:val="52"/>
          <w:szCs w:val="52"/>
          <w:highlight w:val="none"/>
          <w:lang w:val="en-US" w:eastAsia="zh-CN"/>
        </w:rPr>
        <w:t>许昌市室内装饰行业发展服务中心</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val="en-US"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val="en-US" w:eastAsia="zh-CN"/>
        </w:rPr>
        <w:t>许昌市室内装饰行业发展服务中心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val="en-US"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val="en-US"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val="en-US" w:eastAsia="zh-CN"/>
        </w:rPr>
        <w:t>许昌市室内装饰行业发展服务中心</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单位</w:t>
      </w:r>
      <w:r>
        <w:rPr>
          <w:rFonts w:hint="eastAsia" w:ascii="黑体" w:hAnsi="黑体" w:eastAsia="黑体" w:cs="黑体"/>
          <w:bCs/>
          <w:color w:val="auto"/>
          <w:sz w:val="32"/>
          <w:szCs w:val="32"/>
          <w:highlight w:val="none"/>
        </w:rPr>
        <w:t>职责</w:t>
      </w:r>
    </w:p>
    <w:p>
      <w:pPr>
        <w:spacing w:line="60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许昌市室内装饰行业发展服务中心隶属于许昌市住房和城乡建设局</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val="en-US" w:eastAsia="zh-CN"/>
        </w:rPr>
        <w:t>根据2019年“三定”规定，主要履行下列职责：</w:t>
      </w:r>
    </w:p>
    <w:p>
      <w:pPr>
        <w:numPr>
          <w:ilvl w:val="0"/>
          <w:numId w:val="2"/>
        </w:numPr>
        <w:spacing w:line="600" w:lineRule="exact"/>
        <w:ind w:firstLine="640" w:firstLineChars="200"/>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贯彻落实国家、省、市有关建筑装修装饰行业管理的政策、法规、规章。</w:t>
      </w:r>
    </w:p>
    <w:p>
      <w:pPr>
        <w:numPr>
          <w:ilvl w:val="0"/>
          <w:numId w:val="2"/>
        </w:numPr>
        <w:spacing w:line="60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协助市住建局编制实施本市建筑装饰行业发展规划和计划。</w:t>
      </w:r>
    </w:p>
    <w:p>
      <w:pPr>
        <w:numPr>
          <w:ilvl w:val="0"/>
          <w:numId w:val="2"/>
        </w:numPr>
        <w:spacing w:line="60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协助市住建局做好办理市本级建筑装修装饰工程施工许可证（投资额30万元以上或者建筑面积300平米以上单独发包的建筑装修装饰工程）。</w:t>
      </w:r>
    </w:p>
    <w:p>
      <w:pPr>
        <w:numPr>
          <w:ilvl w:val="0"/>
          <w:numId w:val="2"/>
        </w:numPr>
        <w:spacing w:line="60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协助市住建局做好建筑装修装饰工程的竣工备案工作，对全市建筑装修装饰管理工作监督指导。</w:t>
      </w:r>
    </w:p>
    <w:p>
      <w:pPr>
        <w:numPr>
          <w:ilvl w:val="0"/>
          <w:numId w:val="2"/>
        </w:numPr>
        <w:spacing w:line="60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协助市住建局做好办理建筑装饰企业资质审批及监督管理。</w:t>
      </w:r>
    </w:p>
    <w:p>
      <w:pPr>
        <w:numPr>
          <w:ilvl w:val="0"/>
          <w:numId w:val="2"/>
        </w:numPr>
        <w:spacing w:line="60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承担建筑装修装饰行业信用信息综合评价工作。</w:t>
      </w:r>
    </w:p>
    <w:p>
      <w:pPr>
        <w:numPr>
          <w:ilvl w:val="0"/>
          <w:numId w:val="2"/>
        </w:numPr>
        <w:spacing w:line="60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承担本市建筑装修装饰从业人员培训工作。</w:t>
      </w:r>
    </w:p>
    <w:p>
      <w:pPr>
        <w:numPr>
          <w:ilvl w:val="0"/>
          <w:numId w:val="2"/>
        </w:numPr>
        <w:spacing w:line="600" w:lineRule="exact"/>
        <w:ind w:firstLine="640" w:firstLineChars="200"/>
        <w:rPr>
          <w:rFonts w:hint="default"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协助机关指导建筑装饰行业协会的工作。</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许昌市室内装饰行业发展服务中心</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highlight w:val="none"/>
          <w:lang w:val="en-US" w:eastAsia="zh-CN"/>
        </w:rPr>
        <w:t>综合科</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工程管理科、企业管理科、住宅管理科。</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highlight w:val="none"/>
          <w:lang w:val="en-US" w:eastAsia="zh-CN"/>
        </w:rPr>
        <w:t>许昌市室内装饰行业发展服务中心单位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numPr>
          <w:ilvl w:val="0"/>
          <w:numId w:val="0"/>
        </w:numPr>
        <w:jc w:val="left"/>
        <w:rPr>
          <w:rFonts w:hint="eastAsia" w:ascii="仿宋_GB2312" w:hAnsi="仿宋_GB2312" w:eastAsia="仿宋_GB2312" w:cs="仿宋_GB2312"/>
          <w:color w:val="auto"/>
          <w:kern w:val="0"/>
          <w:sz w:val="32"/>
          <w:szCs w:val="32"/>
          <w:highlight w:val="none"/>
        </w:rPr>
      </w:pPr>
      <w:r>
        <w:rPr>
          <w:rFonts w:hint="default" w:ascii="仿宋_GB2312" w:hAnsi="仿宋_GB2312" w:eastAsia="仿宋_GB2312" w:cs="仿宋_GB2312"/>
          <w:color w:val="auto"/>
          <w:kern w:val="0"/>
          <w:sz w:val="32"/>
          <w:szCs w:val="32"/>
          <w:highlight w:val="none"/>
          <w:lang w:eastAsia="zh-CN"/>
        </w:rPr>
        <w:t xml:space="preserve">    </w:t>
      </w:r>
      <w:r>
        <w:rPr>
          <w:rFonts w:hint="eastAsia" w:ascii="仿宋_GB2312" w:hAnsi="仿宋_GB2312" w:eastAsia="仿宋_GB2312" w:cs="仿宋_GB2312"/>
          <w:color w:val="auto"/>
          <w:kern w:val="0"/>
          <w:sz w:val="32"/>
          <w:szCs w:val="32"/>
          <w:highlight w:val="none"/>
          <w:lang w:val="en-US" w:eastAsia="zh-CN"/>
        </w:rPr>
        <w:t>1.许昌市室内装饰行业发展服务中心</w:t>
      </w: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70"/>
        <w:gridCol w:w="820"/>
        <w:gridCol w:w="1095"/>
        <w:gridCol w:w="4395"/>
        <w:gridCol w:w="820"/>
        <w:gridCol w:w="2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3" w:hRule="atLeast"/>
          <w:jc w:val="center"/>
        </w:trPr>
        <w:tc>
          <w:tcPr>
            <w:tcW w:w="1392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jc w:val="cente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color w:val="auto"/>
          <w:sz w:val="32"/>
          <w:szCs w:val="32"/>
          <w:highlight w:val="none"/>
        </w:rPr>
      </w:pPr>
    </w:p>
    <w:tbl>
      <w:tblPr>
        <w:tblStyle w:val="5"/>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9"/>
        <w:gridCol w:w="4731"/>
        <w:gridCol w:w="1333"/>
        <w:gridCol w:w="1280"/>
        <w:gridCol w:w="702"/>
        <w:gridCol w:w="716"/>
        <w:gridCol w:w="716"/>
        <w:gridCol w:w="697"/>
        <w:gridCol w:w="2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trPr>
        <w:tc>
          <w:tcPr>
            <w:tcW w:w="1384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5"/>
            <w:tcBorders>
              <w:top w:val="nil"/>
              <w:left w:val="nil"/>
              <w:bottom w:val="nil"/>
              <w:right w:val="nil"/>
            </w:tcBorders>
            <w:noWrap/>
            <w:vAlign w:val="bottom"/>
          </w:tcPr>
          <w:p>
            <w:pPr>
              <w:jc w:val="cente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4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2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73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7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76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7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2122"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0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0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40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122"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4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73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76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7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2122"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146.26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146.26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其他建筑业支出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130.45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130.45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9"/>
        <w:gridCol w:w="329"/>
        <w:gridCol w:w="328"/>
        <w:gridCol w:w="5010"/>
        <w:gridCol w:w="1483"/>
        <w:gridCol w:w="1483"/>
        <w:gridCol w:w="826"/>
        <w:gridCol w:w="826"/>
        <w:gridCol w:w="826"/>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1378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 w:hRule="atLeast"/>
        </w:trPr>
        <w:tc>
          <w:tcPr>
            <w:tcW w:w="0" w:type="auto"/>
            <w:gridSpan w:val="6"/>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4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146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8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8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86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230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2"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72"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6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6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0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4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8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8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86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230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166.23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166.23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市场监督管理事务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2013850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0" w:type="auto"/>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其他建筑业支出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5"/>
        <w:gridCol w:w="708"/>
        <w:gridCol w:w="1071"/>
        <w:gridCol w:w="3471"/>
        <w:gridCol w:w="723"/>
        <w:gridCol w:w="876"/>
        <w:gridCol w:w="1110"/>
        <w:gridCol w:w="1213"/>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115"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70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7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471"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2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7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65"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72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11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21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71"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89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906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311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0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0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4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2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87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21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67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311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0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4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2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7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7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08"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23" w:type="dxa"/>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1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6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146.26</w:t>
            </w: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20"/>
                <w:szCs w:val="20"/>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0"/>
                <w:szCs w:val="20"/>
                <w:highlight w:val="none"/>
                <w:u w:val="none"/>
              </w:rPr>
            </w:pP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0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146.26</w:t>
            </w: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0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19.97</w:t>
            </w: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一般公共预算财政拨款</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0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19.97</w:t>
            </w:r>
          </w:p>
        </w:tc>
        <w:tc>
          <w:tcPr>
            <w:tcW w:w="34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政府性基金预算财政拨款</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国有资本经营预算财政拨款</w:t>
            </w:r>
          </w:p>
        </w:tc>
        <w:tc>
          <w:tcPr>
            <w:tcW w:w="70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0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347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63</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115"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08" w:type="dxa"/>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07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c>
          <w:tcPr>
            <w:tcW w:w="3471"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2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64</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c>
          <w:tcPr>
            <w:tcW w:w="111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166.23</w:t>
            </w:r>
          </w:p>
        </w:tc>
        <w:tc>
          <w:tcPr>
            <w:tcW w:w="121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7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3958"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1"/>
        <w:gridCol w:w="5015"/>
        <w:gridCol w:w="1793"/>
        <w:gridCol w:w="1935"/>
        <w:gridCol w:w="2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54" w:type="dxa"/>
            <w:gridSpan w:val="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16" w:type="dxa"/>
            <w:gridSpan w:val="2"/>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79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16" w:type="dxa"/>
            <w:gridSpan w:val="2"/>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1793"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93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010"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1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73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5015"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93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0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320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1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5015"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93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0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1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01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8216"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166.23</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166.23</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1.77</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市场监督管理事务</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2013850</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事业运行</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0.94</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11.28</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2101102</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事业单位医疗</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5.06</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资源勘探工业信息等支出</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建筑业</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2150399</w:t>
            </w:r>
          </w:p>
        </w:tc>
        <w:tc>
          <w:tcPr>
            <w:tcW w:w="501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其他建筑业支出</w:t>
            </w:r>
          </w:p>
        </w:tc>
        <w:tc>
          <w:tcPr>
            <w:tcW w:w="17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193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148.12</w:t>
            </w: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3201"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501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93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01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54" w:type="dxa"/>
            <w:gridSpan w:val="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4"/>
        <w:gridCol w:w="3540"/>
        <w:gridCol w:w="930"/>
        <w:gridCol w:w="870"/>
        <w:gridCol w:w="2430"/>
        <w:gridCol w:w="885"/>
        <w:gridCol w:w="769"/>
        <w:gridCol w:w="2861"/>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98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w:t>
            </w:r>
            <w:r>
              <w:rPr>
                <w:rFonts w:hint="eastAsia" w:ascii="宋体" w:hAnsi="宋体" w:cs="宋体"/>
                <w:i w:val="0"/>
                <w:iCs w:val="0"/>
                <w:color w:val="auto"/>
                <w:kern w:val="0"/>
                <w:sz w:val="30"/>
                <w:szCs w:val="30"/>
                <w:highlight w:val="none"/>
                <w:u w:val="none"/>
                <w:lang w:val="en-US" w:eastAsia="zh-CN" w:bidi="ar"/>
              </w:rPr>
              <w:t>明细</w:t>
            </w:r>
            <w:r>
              <w:rPr>
                <w:rFonts w:hint="eastAsia" w:ascii="宋体" w:hAnsi="宋体" w:eastAsia="宋体" w:cs="宋体"/>
                <w:i w:val="0"/>
                <w:iCs w:val="0"/>
                <w:color w:val="auto"/>
                <w:kern w:val="0"/>
                <w:sz w:val="30"/>
                <w:szCs w:val="30"/>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84"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354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7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4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6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7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124" w:type="dxa"/>
            <w:gridSpan w:val="4"/>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2430"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885"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6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3776"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525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8730"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35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7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4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8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7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86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1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7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4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8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6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1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154.05</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12.18</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49.14</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54.91</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0.11</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8.52</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0.10</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8.58</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12.68</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0.73</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1.95</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0.20</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5.26</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0.13</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0.33</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12.88</w:t>
            </w: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0.36</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5.21</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0.83</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1.07</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7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86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86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354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88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86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784"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54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4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88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0.19</w:t>
            </w:r>
          </w:p>
        </w:tc>
        <w:tc>
          <w:tcPr>
            <w:tcW w:w="7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86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4324"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93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154.05</w:t>
            </w:r>
          </w:p>
        </w:tc>
        <w:tc>
          <w:tcPr>
            <w:tcW w:w="7815"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398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3"/>
        <w:gridCol w:w="1219"/>
        <w:gridCol w:w="1050"/>
        <w:gridCol w:w="1260"/>
        <w:gridCol w:w="1260"/>
        <w:gridCol w:w="945"/>
        <w:gridCol w:w="1125"/>
        <w:gridCol w:w="1245"/>
        <w:gridCol w:w="915"/>
        <w:gridCol w:w="1125"/>
        <w:gridCol w:w="112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807"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44"/>
                <w:szCs w:val="44"/>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077" w:type="dxa"/>
            <w:gridSpan w:val="10"/>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273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077" w:type="dxa"/>
            <w:gridSpan w:val="10"/>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273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666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714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3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1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57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9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112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24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3165"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60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93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9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4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60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33"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1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6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60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3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1.24</w:t>
            </w:r>
          </w:p>
        </w:tc>
        <w:tc>
          <w:tcPr>
            <w:tcW w:w="121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26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6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94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0.24</w:t>
            </w: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1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1.00</w:t>
            </w:r>
          </w:p>
        </w:tc>
        <w:tc>
          <w:tcPr>
            <w:tcW w:w="160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807"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3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85"/>
        <w:gridCol w:w="284"/>
        <w:gridCol w:w="284"/>
        <w:gridCol w:w="1403"/>
        <w:gridCol w:w="881"/>
        <w:gridCol w:w="881"/>
        <w:gridCol w:w="881"/>
        <w:gridCol w:w="881"/>
        <w:gridCol w:w="881"/>
        <w:gridCol w:w="2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3760"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：许昌市室内装饰行业发展服务中心</w:t>
            </w: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9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94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28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2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38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9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9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2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38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38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0" w:type="auto"/>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spacing w:line="590" w:lineRule="exact"/>
        <w:jc w:val="left"/>
        <w:rPr>
          <w:rFonts w:hint="default" w:ascii="仿宋_GB2312" w:hAnsi="仿宋_GB2312" w:eastAsia="仿宋_GB2312" w:cs="仿宋_GB2312"/>
          <w:color w:val="auto"/>
          <w:sz w:val="32"/>
          <w:szCs w:val="32"/>
          <w:highlight w:val="none"/>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w:t>
      </w:r>
      <w:r>
        <w:rPr>
          <w:rFonts w:hint="default"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lang w:val="en-US" w:eastAsia="zh-CN"/>
        </w:rPr>
        <w:t>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val="en-US"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22.50</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11.92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受新冠肺炎疫情影响和落实“过紧日子”要求，财政拨款收支减少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146.26</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146.26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%；上级补助收</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22.50</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11.92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落实“过紧日子”要求，财政拨款减少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%。与上年度相比，一般公共预算财政拨款支出减少</w:t>
      </w:r>
      <w:r>
        <w:rPr>
          <w:rFonts w:hint="eastAsia" w:ascii="仿宋_GB2312" w:hAnsi="仿宋_GB2312" w:eastAsia="仿宋_GB2312" w:cs="仿宋_GB2312"/>
          <w:color w:val="auto"/>
          <w:sz w:val="32"/>
          <w:szCs w:val="32"/>
          <w:highlight w:val="none"/>
          <w:lang w:val="en-US" w:eastAsia="zh-CN"/>
        </w:rPr>
        <w:t>22.50</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11.92</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落实“过紧日子”要求，财政拨款减少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万元，主要用于以下方面：一般公共服务（类）支出</w:t>
      </w:r>
      <w:r>
        <w:rPr>
          <w:rFonts w:hint="eastAsia" w:ascii="仿宋_GB2312" w:hAnsi="仿宋_GB2312" w:eastAsia="仿宋_GB2312" w:cs="仿宋_GB2312"/>
          <w:color w:val="auto"/>
          <w:sz w:val="32"/>
          <w:szCs w:val="32"/>
          <w:highlight w:val="none"/>
          <w:lang w:val="en-US" w:eastAsia="zh-CN"/>
        </w:rPr>
        <w:t>1.77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社会保障和就业</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11.28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6.79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卫生健康</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5.06万元，占3.04%；资源勘探工业信息</w:t>
      </w:r>
      <w:r>
        <w:rPr>
          <w:rFonts w:hint="eastAsia" w:ascii="仿宋_GB2312" w:hAnsi="仿宋_GB2312" w:eastAsia="仿宋_GB2312" w:cs="仿宋_GB2312"/>
          <w:color w:val="auto"/>
          <w:sz w:val="32"/>
          <w:szCs w:val="32"/>
          <w:highlight w:val="none"/>
        </w:rPr>
        <w:t>（类）支出</w:t>
      </w:r>
      <w:r>
        <w:rPr>
          <w:rFonts w:hint="eastAsia" w:ascii="仿宋_GB2312" w:hAnsi="仿宋_GB2312" w:eastAsia="仿宋_GB2312" w:cs="仿宋_GB2312"/>
          <w:color w:val="auto"/>
          <w:sz w:val="32"/>
          <w:szCs w:val="32"/>
          <w:highlight w:val="none"/>
          <w:lang w:val="en-US" w:eastAsia="zh-CN"/>
        </w:rPr>
        <w:t>148.12万元，占89.11%</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161.35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103.02</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0.83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0.83</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一般公共服务</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val="en-US" w:eastAsia="zh-CN"/>
        </w:rPr>
        <w:t>市场监督管理事务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val="en-US" w:eastAsia="zh-CN"/>
        </w:rPr>
        <w:t>事业运行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0.94</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年初预算在</w:t>
      </w:r>
      <w:r>
        <w:rPr>
          <w:rFonts w:hint="eastAsia" w:ascii="仿宋_GB2312" w:hAnsi="仿宋_GB2312" w:eastAsia="仿宋_GB2312" w:cs="仿宋_GB2312"/>
          <w:b w:val="0"/>
          <w:bCs w:val="0"/>
          <w:color w:val="auto"/>
          <w:sz w:val="32"/>
          <w:szCs w:val="32"/>
          <w:highlight w:val="none"/>
          <w:lang w:val="en-US" w:eastAsia="zh-CN"/>
        </w:rPr>
        <w:t>资源勘探工业信息等（类）建筑业（款）其他建筑业（项）列支。</w:t>
      </w:r>
    </w:p>
    <w:p>
      <w:pPr>
        <w:widowControl/>
        <w:spacing w:line="590" w:lineRule="exact"/>
        <w:ind w:firstLine="643" w:firstLineChars="200"/>
        <w:rPr>
          <w:rFonts w:hint="default"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3.社会保障和就业（类）行政事业单位养老（款）机关事业单位基本养老保险缴费（项）。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11.28</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年初预算在</w:t>
      </w:r>
      <w:r>
        <w:rPr>
          <w:rFonts w:hint="eastAsia" w:ascii="仿宋_GB2312" w:hAnsi="仿宋_GB2312" w:eastAsia="仿宋_GB2312" w:cs="仿宋_GB2312"/>
          <w:b w:val="0"/>
          <w:bCs w:val="0"/>
          <w:color w:val="auto"/>
          <w:sz w:val="32"/>
          <w:szCs w:val="32"/>
          <w:highlight w:val="none"/>
          <w:lang w:val="en-US" w:eastAsia="zh-CN"/>
        </w:rPr>
        <w:t>资源勘探工业信息等（类）建筑业（款）其他建筑业（项）列支。</w:t>
      </w:r>
    </w:p>
    <w:p>
      <w:pPr>
        <w:widowControl/>
        <w:spacing w:line="590" w:lineRule="exact"/>
        <w:ind w:firstLine="643" w:firstLineChars="200"/>
        <w:rPr>
          <w:rFonts w:hint="eastAsia" w:ascii="仿宋_GB2312" w:hAnsi="仿宋_GB2312" w:eastAsia="仿宋_GB2312" w:cs="仿宋_GB2312"/>
          <w:b/>
          <w:bCs/>
          <w:color w:val="auto"/>
          <w:sz w:val="32"/>
          <w:szCs w:val="32"/>
          <w:highlight w:val="none"/>
          <w:lang w:val="en-US" w:eastAsia="zh-CN"/>
        </w:rPr>
      </w:pP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4.卫生健康（类）行政事业单位医疗（款）事业单位医疗（项）。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5.06</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年初预算在</w:t>
      </w:r>
      <w:r>
        <w:rPr>
          <w:rFonts w:hint="eastAsia" w:ascii="仿宋_GB2312" w:hAnsi="仿宋_GB2312" w:eastAsia="仿宋_GB2312" w:cs="仿宋_GB2312"/>
          <w:b w:val="0"/>
          <w:bCs w:val="0"/>
          <w:color w:val="auto"/>
          <w:sz w:val="32"/>
          <w:szCs w:val="32"/>
          <w:highlight w:val="none"/>
          <w:lang w:val="en-US" w:eastAsia="zh-CN"/>
        </w:rPr>
        <w:t>资源勘探工业信息等（类）建筑业（款）其他建筑业（项）列支。</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5.资源勘探工业信息等（类）建筑业（款）其他建筑业（项）。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160.52</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148.12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92.28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val="en-US" w:eastAsia="zh-CN"/>
        </w:rPr>
        <w:t>年初预算包含</w:t>
      </w:r>
      <w:r>
        <w:rPr>
          <w:rFonts w:hint="eastAsia" w:ascii="仿宋_GB2312" w:hAnsi="仿宋_GB2312" w:eastAsia="仿宋_GB2312" w:cs="仿宋_GB2312"/>
          <w:b w:val="0"/>
          <w:bCs w:val="0"/>
          <w:color w:val="auto"/>
          <w:sz w:val="32"/>
          <w:szCs w:val="32"/>
          <w:highlight w:val="none"/>
          <w:lang w:val="en-US" w:eastAsia="zh-CN"/>
        </w:rPr>
        <w:t>一般公共服务</w:t>
      </w:r>
      <w:r>
        <w:rPr>
          <w:rFonts w:hint="eastAsia" w:ascii="仿宋_GB2312" w:hAnsi="仿宋_GB2312" w:eastAsia="仿宋_GB2312" w:cs="仿宋_GB2312"/>
          <w:b w:val="0"/>
          <w:bCs w:val="0"/>
          <w:color w:val="auto"/>
          <w:sz w:val="32"/>
          <w:szCs w:val="32"/>
          <w:highlight w:val="none"/>
        </w:rPr>
        <w:t>（类）</w:t>
      </w:r>
      <w:r>
        <w:rPr>
          <w:rFonts w:hint="eastAsia" w:ascii="仿宋_GB2312" w:hAnsi="仿宋_GB2312" w:eastAsia="仿宋_GB2312" w:cs="仿宋_GB2312"/>
          <w:b w:val="0"/>
          <w:bCs w:val="0"/>
          <w:color w:val="auto"/>
          <w:sz w:val="32"/>
          <w:szCs w:val="32"/>
          <w:highlight w:val="none"/>
          <w:lang w:val="en-US" w:eastAsia="zh-CN"/>
        </w:rPr>
        <w:t>市场监督管理事务</w:t>
      </w:r>
      <w:r>
        <w:rPr>
          <w:rFonts w:hint="eastAsia" w:ascii="仿宋_GB2312" w:hAnsi="仿宋_GB2312" w:eastAsia="仿宋_GB2312" w:cs="仿宋_GB2312"/>
          <w:b w:val="0"/>
          <w:bCs w:val="0"/>
          <w:color w:val="auto"/>
          <w:sz w:val="32"/>
          <w:szCs w:val="32"/>
          <w:highlight w:val="none"/>
        </w:rPr>
        <w:t>（款）</w:t>
      </w:r>
      <w:r>
        <w:rPr>
          <w:rFonts w:hint="eastAsia" w:ascii="仿宋_GB2312" w:hAnsi="仿宋_GB2312" w:eastAsia="仿宋_GB2312" w:cs="仿宋_GB2312"/>
          <w:b w:val="0"/>
          <w:bCs w:val="0"/>
          <w:color w:val="auto"/>
          <w:sz w:val="32"/>
          <w:szCs w:val="32"/>
          <w:highlight w:val="none"/>
          <w:lang w:val="en-US" w:eastAsia="zh-CN"/>
        </w:rPr>
        <w:t>事业运行</w:t>
      </w:r>
      <w:r>
        <w:rPr>
          <w:rFonts w:hint="eastAsia" w:ascii="仿宋_GB2312" w:hAnsi="仿宋_GB2312" w:eastAsia="仿宋_GB2312" w:cs="仿宋_GB2312"/>
          <w:b w:val="0"/>
          <w:bCs w:val="0"/>
          <w:color w:val="auto"/>
          <w:sz w:val="32"/>
          <w:szCs w:val="32"/>
          <w:highlight w:val="none"/>
        </w:rPr>
        <w:t>（项）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社会保障和就业（类）行政事业单位养老（款）机关事业单位基本养老保险缴费（项）、卫生健康（类）行政事业单位医疗（款）事业单位医疗（项），</w:t>
      </w:r>
      <w:r>
        <w:rPr>
          <w:rFonts w:hint="eastAsia" w:ascii="仿宋_GB2312" w:hAnsi="仿宋_GB2312" w:eastAsia="仿宋_GB2312" w:cs="仿宋_GB2312"/>
          <w:color w:val="auto"/>
          <w:sz w:val="32"/>
          <w:szCs w:val="32"/>
          <w:highlight w:val="none"/>
          <w:lang w:val="en-US" w:eastAsia="zh-CN"/>
        </w:rPr>
        <w:t>2021年执行中按实际支出进行拆分</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166.23</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154.05</w:t>
      </w:r>
      <w:r>
        <w:rPr>
          <w:rFonts w:hint="eastAsia" w:ascii="仿宋_GB2312" w:hAnsi="仿宋_GB2312" w:eastAsia="仿宋_GB2312" w:cs="仿宋_GB2312"/>
          <w:color w:val="auto"/>
          <w:sz w:val="32"/>
          <w:szCs w:val="32"/>
          <w:highlight w:val="none"/>
        </w:rPr>
        <w:t>万元，主要包括：基本工资、津贴补贴、</w:t>
      </w:r>
      <w:r>
        <w:rPr>
          <w:rFonts w:hint="eastAsia" w:ascii="仿宋_GB2312" w:hAnsi="仿宋_GB2312" w:eastAsia="仿宋_GB2312" w:cs="仿宋_GB2312"/>
          <w:color w:val="auto"/>
          <w:sz w:val="32"/>
          <w:szCs w:val="32"/>
          <w:highlight w:val="none"/>
          <w:lang w:val="en-US" w:eastAsia="zh-CN"/>
        </w:rPr>
        <w:t>奖金</w:t>
      </w:r>
      <w:r>
        <w:rPr>
          <w:rFonts w:hint="eastAsia" w:ascii="仿宋_GB2312" w:hAnsi="仿宋_GB2312" w:eastAsia="仿宋_GB2312" w:cs="仿宋_GB2312"/>
          <w:color w:val="auto"/>
          <w:sz w:val="32"/>
          <w:szCs w:val="32"/>
          <w:highlight w:val="none"/>
        </w:rPr>
        <w:t>、绩效工资、机关事业单位基本养老保险缴费、职业年金缴费、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其他社会保障缴费、住房公积金；公用经费</w:t>
      </w:r>
      <w:r>
        <w:rPr>
          <w:rFonts w:hint="eastAsia" w:ascii="仿宋_GB2312" w:hAnsi="仿宋_GB2312" w:eastAsia="仿宋_GB2312" w:cs="仿宋_GB2312"/>
          <w:color w:val="auto"/>
          <w:sz w:val="32"/>
          <w:szCs w:val="32"/>
          <w:highlight w:val="none"/>
          <w:lang w:val="en-US" w:eastAsia="zh-CN"/>
        </w:rPr>
        <w:t>12.18</w:t>
      </w:r>
      <w:r>
        <w:rPr>
          <w:rFonts w:hint="eastAsia" w:ascii="仿宋_GB2312" w:hAnsi="仿宋_GB2312" w:eastAsia="仿宋_GB2312" w:cs="仿宋_GB2312"/>
          <w:color w:val="auto"/>
          <w:sz w:val="32"/>
          <w:szCs w:val="32"/>
          <w:highlight w:val="none"/>
        </w:rPr>
        <w:t>万元，主要包括：办公费、印刷费、咨询费、电费、邮电费、差旅费、培训费、劳务费、工会经费、福利费、公务用车运行维护费、其他商品和服务支出。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1.24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80.65</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一是受疫情影响，部分工作未能按计划开展；二是认真贯彻落实中央八项规定精神和厉行节约要求，从严控制“三公”经费开支</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%；公务用车购置及运行费支出决算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w:t>
      </w:r>
      <w:r>
        <w:rPr>
          <w:rFonts w:hint="eastAsia" w:ascii="仿宋_GB2312" w:hAnsi="仿宋_GB2312" w:eastAsia="仿宋_GB2312" w:cs="仿宋_GB2312"/>
          <w:color w:val="auto"/>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val="en-US"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按规定保留的公务用车的燃料费、维修费、保险费等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0.24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万元。决算数与预算数存在差异的主要原因是</w:t>
      </w:r>
      <w:r>
        <w:rPr>
          <w:rFonts w:hint="eastAsia" w:ascii="仿宋_GB2312" w:hAnsi="仿宋_GB2312" w:eastAsia="仿宋_GB2312" w:cs="仿宋_GB2312"/>
          <w:color w:val="auto"/>
          <w:sz w:val="32"/>
          <w:szCs w:val="32"/>
          <w:highlight w:val="none"/>
          <w:lang w:val="en-US" w:eastAsia="zh-CN"/>
        </w:rPr>
        <w:t>受疫情影响，部分工作未能按计划开展，2021年未发生公务接待</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default"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不存在</w:t>
      </w:r>
      <w:r>
        <w:rPr>
          <w:rFonts w:hint="eastAsia" w:ascii="仿宋_GB2312" w:hAnsi="仿宋_GB2312" w:eastAsia="仿宋_GB2312" w:cs="仿宋_GB2312"/>
          <w:color w:val="auto"/>
          <w:sz w:val="32"/>
          <w:szCs w:val="32"/>
          <w:highlight w:val="none"/>
        </w:rPr>
        <w:t>项目年末结转和结余资金数额较大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情况说明：我单位2021年度没有政府性基金收入，也没有使用政府性基金安排的支出。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万元，其中：授予小微企业合同金额</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由综合科牵头实施，单位整体项目支出事前预算，事中监控，事后评估。</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从评价情况来看，单位能够完成既定的工作内容，并将各项支出控制在预算范围内，对所支持的行业和工作起到了支撑和带动作用，社会满意度和可持续影响较好。二是项目绩效自评情况。我单位共有0个项目批复了绩效目标，项目金额0.00万元。</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960" w:firstLineChars="300"/>
        <w:jc w:val="both"/>
        <w:textAlignment w:val="auto"/>
        <w:outlineLvl w:val="9"/>
        <w:rPr>
          <w:rFonts w:hint="eastAsia" w:ascii="黑体" w:hAnsi="黑体" w:eastAsia="黑体" w:cs="黑体"/>
          <w:color w:val="auto"/>
          <w:sz w:val="48"/>
          <w:szCs w:val="48"/>
          <w:highlight w:val="none"/>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val="en-US" w:eastAsia="zh-CN"/>
        </w:rPr>
        <w:t>用事业基金弥补收支差额：事业单位在当年收入不足以安排当年支出的情况下，使用以前年度积累的事业基金（事业单位当年收支相抵后按国家规定提取、用于弥补以后年度收支差额的基金）弥补当年收支缺口的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3516906"/>
    <w:multiLevelType w:val="singleLevel"/>
    <w:tmpl w:val="6351690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AD7FD4"/>
    <w:rsid w:val="01DC6F05"/>
    <w:rsid w:val="025A1DD9"/>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0D3F015D"/>
    <w:rsid w:val="10BD36F6"/>
    <w:rsid w:val="11BF0649"/>
    <w:rsid w:val="123E3E08"/>
    <w:rsid w:val="133212F4"/>
    <w:rsid w:val="13D22E22"/>
    <w:rsid w:val="161C2DFF"/>
    <w:rsid w:val="16373578"/>
    <w:rsid w:val="169754B2"/>
    <w:rsid w:val="16D3336B"/>
    <w:rsid w:val="17200028"/>
    <w:rsid w:val="17806C36"/>
    <w:rsid w:val="17A74F62"/>
    <w:rsid w:val="18A47774"/>
    <w:rsid w:val="1A8D28EB"/>
    <w:rsid w:val="1A9F2D78"/>
    <w:rsid w:val="1B2E6FD8"/>
    <w:rsid w:val="1B7BE7CA"/>
    <w:rsid w:val="1B877D21"/>
    <w:rsid w:val="1C4319A9"/>
    <w:rsid w:val="1E443B4B"/>
    <w:rsid w:val="1E883419"/>
    <w:rsid w:val="1E994F4A"/>
    <w:rsid w:val="1EAF0224"/>
    <w:rsid w:val="1F2230A4"/>
    <w:rsid w:val="20210932"/>
    <w:rsid w:val="202448E0"/>
    <w:rsid w:val="20F614FE"/>
    <w:rsid w:val="21302EEA"/>
    <w:rsid w:val="22376FB5"/>
    <w:rsid w:val="22AF3F9D"/>
    <w:rsid w:val="23E152D7"/>
    <w:rsid w:val="23EE2489"/>
    <w:rsid w:val="24582D6C"/>
    <w:rsid w:val="255D43C8"/>
    <w:rsid w:val="26714EF8"/>
    <w:rsid w:val="26876BDD"/>
    <w:rsid w:val="2714632A"/>
    <w:rsid w:val="27541E73"/>
    <w:rsid w:val="27B0539E"/>
    <w:rsid w:val="29365CF8"/>
    <w:rsid w:val="29426467"/>
    <w:rsid w:val="299469B3"/>
    <w:rsid w:val="2A805789"/>
    <w:rsid w:val="2ADC0D75"/>
    <w:rsid w:val="2B4A0E52"/>
    <w:rsid w:val="2C975890"/>
    <w:rsid w:val="2DEF21BB"/>
    <w:rsid w:val="2E4A2F05"/>
    <w:rsid w:val="2ECC1061"/>
    <w:rsid w:val="2FA476AD"/>
    <w:rsid w:val="303F7540"/>
    <w:rsid w:val="30F91F44"/>
    <w:rsid w:val="31BF3689"/>
    <w:rsid w:val="31DD00BF"/>
    <w:rsid w:val="3293174C"/>
    <w:rsid w:val="32BB38D4"/>
    <w:rsid w:val="32C9376D"/>
    <w:rsid w:val="33780472"/>
    <w:rsid w:val="33AF0905"/>
    <w:rsid w:val="355932F4"/>
    <w:rsid w:val="35611882"/>
    <w:rsid w:val="36746FC3"/>
    <w:rsid w:val="368763AE"/>
    <w:rsid w:val="36A20068"/>
    <w:rsid w:val="38BE2537"/>
    <w:rsid w:val="395D59E7"/>
    <w:rsid w:val="39A93932"/>
    <w:rsid w:val="3A915562"/>
    <w:rsid w:val="3B8D4765"/>
    <w:rsid w:val="3C000DBA"/>
    <w:rsid w:val="3DC045D3"/>
    <w:rsid w:val="3E504FFB"/>
    <w:rsid w:val="3E615CD0"/>
    <w:rsid w:val="3E9C47F6"/>
    <w:rsid w:val="3EE80154"/>
    <w:rsid w:val="3F8B0112"/>
    <w:rsid w:val="3FAB3095"/>
    <w:rsid w:val="3FE45947"/>
    <w:rsid w:val="41242965"/>
    <w:rsid w:val="435671EA"/>
    <w:rsid w:val="440809E9"/>
    <w:rsid w:val="442407A6"/>
    <w:rsid w:val="44805EA1"/>
    <w:rsid w:val="45710696"/>
    <w:rsid w:val="46142B1B"/>
    <w:rsid w:val="47E60DD0"/>
    <w:rsid w:val="482E686D"/>
    <w:rsid w:val="48735039"/>
    <w:rsid w:val="492C684B"/>
    <w:rsid w:val="49500594"/>
    <w:rsid w:val="49E7604E"/>
    <w:rsid w:val="4BF67CDD"/>
    <w:rsid w:val="4BFF68F9"/>
    <w:rsid w:val="4BFFB88F"/>
    <w:rsid w:val="4D173441"/>
    <w:rsid w:val="4D603DD6"/>
    <w:rsid w:val="4D7F6BF0"/>
    <w:rsid w:val="4EBF010F"/>
    <w:rsid w:val="4F471EB0"/>
    <w:rsid w:val="4FBF5553"/>
    <w:rsid w:val="51331326"/>
    <w:rsid w:val="51740A7F"/>
    <w:rsid w:val="51A5541E"/>
    <w:rsid w:val="51C96242"/>
    <w:rsid w:val="53275B44"/>
    <w:rsid w:val="53906AE1"/>
    <w:rsid w:val="53DDF06D"/>
    <w:rsid w:val="54F46F60"/>
    <w:rsid w:val="55A37BEA"/>
    <w:rsid w:val="56362CD2"/>
    <w:rsid w:val="577FEFF6"/>
    <w:rsid w:val="5784687B"/>
    <w:rsid w:val="57846959"/>
    <w:rsid w:val="578E6A87"/>
    <w:rsid w:val="58054563"/>
    <w:rsid w:val="5AC2203A"/>
    <w:rsid w:val="5CBB3334"/>
    <w:rsid w:val="5D115FAF"/>
    <w:rsid w:val="5DC68F47"/>
    <w:rsid w:val="5EFBDB33"/>
    <w:rsid w:val="5F1F4909"/>
    <w:rsid w:val="5FE6FD3B"/>
    <w:rsid w:val="5FFF423C"/>
    <w:rsid w:val="62811722"/>
    <w:rsid w:val="62E75A72"/>
    <w:rsid w:val="64571880"/>
    <w:rsid w:val="649125B6"/>
    <w:rsid w:val="652F4C1A"/>
    <w:rsid w:val="666D37F1"/>
    <w:rsid w:val="66DFC765"/>
    <w:rsid w:val="67087D8F"/>
    <w:rsid w:val="671F687E"/>
    <w:rsid w:val="67F415F8"/>
    <w:rsid w:val="682640D1"/>
    <w:rsid w:val="684B73E5"/>
    <w:rsid w:val="6A047A2A"/>
    <w:rsid w:val="6B6244E3"/>
    <w:rsid w:val="6DDEC8B5"/>
    <w:rsid w:val="6EFB7548"/>
    <w:rsid w:val="6F3831C3"/>
    <w:rsid w:val="6F8B71C1"/>
    <w:rsid w:val="70753482"/>
    <w:rsid w:val="707B522A"/>
    <w:rsid w:val="73194D05"/>
    <w:rsid w:val="73502C42"/>
    <w:rsid w:val="73A83B0E"/>
    <w:rsid w:val="744D3EF9"/>
    <w:rsid w:val="74794411"/>
    <w:rsid w:val="75867C40"/>
    <w:rsid w:val="75B10B26"/>
    <w:rsid w:val="76432199"/>
    <w:rsid w:val="76F44829"/>
    <w:rsid w:val="77A267C0"/>
    <w:rsid w:val="78882278"/>
    <w:rsid w:val="789B1E43"/>
    <w:rsid w:val="78B118A6"/>
    <w:rsid w:val="79135044"/>
    <w:rsid w:val="793D8ABB"/>
    <w:rsid w:val="7A7D0F99"/>
    <w:rsid w:val="7B7110B7"/>
    <w:rsid w:val="7E3B7D4E"/>
    <w:rsid w:val="7E4A0E7C"/>
    <w:rsid w:val="7EFD449D"/>
    <w:rsid w:val="7F77E826"/>
    <w:rsid w:val="7FC655D7"/>
    <w:rsid w:val="7FDF9E97"/>
    <w:rsid w:val="7FE75CAF"/>
    <w:rsid w:val="7FFD0133"/>
    <w:rsid w:val="7FFF47CB"/>
    <w:rsid w:val="9EFCD082"/>
    <w:rsid w:val="9FDAE78A"/>
    <w:rsid w:val="A7EE8A3D"/>
    <w:rsid w:val="A7EFC95C"/>
    <w:rsid w:val="D9B596BE"/>
    <w:rsid w:val="E75F9990"/>
    <w:rsid w:val="E79F8906"/>
    <w:rsid w:val="E7DE5BFB"/>
    <w:rsid w:val="E7FF9986"/>
    <w:rsid w:val="EBFF3860"/>
    <w:rsid w:val="EEFFB30E"/>
    <w:rsid w:val="EFB7A781"/>
    <w:rsid w:val="F2FE487A"/>
    <w:rsid w:val="F4D740F1"/>
    <w:rsid w:val="F4FFE5C4"/>
    <w:rsid w:val="F7FB5972"/>
    <w:rsid w:val="FBF70ABE"/>
    <w:rsid w:val="FEBF5FA8"/>
    <w:rsid w:val="FEFF8F4F"/>
    <w:rsid w:val="FF6FF933"/>
    <w:rsid w:val="FF7AF7EE"/>
    <w:rsid w:val="FFD3E2EB"/>
    <w:rsid w:val="FFD77E0F"/>
    <w:rsid w:val="FFEB2BA9"/>
    <w:rsid w:val="FFF7C0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7993</Words>
  <Characters>9598</Characters>
  <Lines>60</Lines>
  <Paragraphs>16</Paragraphs>
  <TotalTime>20</TotalTime>
  <ScaleCrop>false</ScaleCrop>
  <LinksUpToDate>false</LinksUpToDate>
  <CharactersWithSpaces>9810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2007-11-30T11:41:00Z</dcterms:created>
  <dc:creator>管理者</dc:creator>
  <cp:lastModifiedBy>悟の</cp:lastModifiedBy>
  <cp:lastPrinted>2018-07-25T18:50:00Z</cp:lastPrinted>
  <dcterms:modified xsi:type="dcterms:W3CDTF">2023-09-17T11:12:58Z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863282916AB34CBBA67AEC6F217E8E20_13</vt:lpwstr>
  </property>
</Properties>
</file>