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rPr>
        <w:t>许昌市审计局（本级）</w:t>
      </w:r>
      <w:r>
        <w:rPr>
          <w:rFonts w:hint="eastAsia" w:ascii="黑体" w:hAnsi="黑体" w:eastAsia="黑体" w:cs="黑体"/>
          <w:sz w:val="52"/>
          <w:szCs w:val="52"/>
          <w:highlight w:val="none"/>
          <w:lang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许昌市审计局（本级）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许昌市审计局（本级）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val="0"/>
        <w:wordWrap/>
        <w:adjustRightInd w:val="0"/>
        <w:snapToGrid w:val="0"/>
        <w:spacing w:line="590" w:lineRule="exact"/>
        <w:ind w:firstLine="645"/>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0"/>
          <w:sz w:val="32"/>
          <w:szCs w:val="32"/>
          <w:lang w:val="en-US" w:eastAsia="zh-CN"/>
        </w:rPr>
        <w:t>许昌市审计局主要负责主管全市审计工作，由于三定方 案涉密，单位职责不予公开。</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numPr>
          <w:ilvl w:val="0"/>
          <w:numId w:val="0"/>
        </w:numPr>
        <w:wordWrap/>
        <w:adjustRightInd w:val="0"/>
        <w:snapToGrid w:val="0"/>
        <w:spacing w:line="590" w:lineRule="exact"/>
        <w:ind w:firstLine="640" w:firstLineChars="200"/>
        <w:textAlignment w:val="auto"/>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kern w:val="0"/>
          <w:sz w:val="32"/>
          <w:szCs w:val="32"/>
        </w:rPr>
        <w:t>许昌市审计局</w:t>
      </w:r>
      <w:r>
        <w:rPr>
          <w:rFonts w:hint="eastAsia" w:ascii="仿宋_GB2312" w:hAnsi="仿宋_GB2312" w:eastAsia="仿宋_GB2312" w:cs="仿宋_GB2312"/>
          <w:kern w:val="0"/>
          <w:sz w:val="32"/>
          <w:szCs w:val="32"/>
          <w:lang w:val="en-US" w:eastAsia="zh-CN"/>
        </w:rPr>
        <w:t>由于三定方案涉密，机构设置不予公开。</w:t>
      </w:r>
    </w:p>
    <w:p>
      <w:pPr>
        <w:widowControl/>
        <w:wordWrap/>
        <w:spacing w:line="59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eastAsia="zh-CN"/>
        </w:rPr>
        <w:t>许昌市审计局单位决算</w:t>
      </w:r>
      <w:r>
        <w:rPr>
          <w:rFonts w:hint="eastAsia" w:ascii="仿宋_GB2312" w:hAnsi="仿宋_GB2312" w:eastAsia="仿宋_GB2312" w:cs="仿宋_GB2312"/>
          <w:kern w:val="0"/>
          <w:sz w:val="32"/>
          <w:szCs w:val="32"/>
        </w:rPr>
        <w:t>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wordWrap/>
        <w:spacing w:line="59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单位决算</w:t>
      </w:r>
      <w:r>
        <w:rPr>
          <w:rFonts w:hint="eastAsia" w:ascii="仿宋_GB2312" w:hAnsi="仿宋_GB2312" w:eastAsia="仿宋_GB2312" w:cs="仿宋_GB2312"/>
          <w:kern w:val="0"/>
          <w:sz w:val="32"/>
          <w:szCs w:val="32"/>
        </w:rPr>
        <w:t>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wordWrap/>
        <w:spacing w:line="59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许昌市审计局</w:t>
      </w:r>
      <w:r>
        <w:rPr>
          <w:rFonts w:hint="eastAsia" w:ascii="仿宋_GB2312" w:hAnsi="仿宋_GB2312" w:eastAsia="仿宋_GB2312" w:cs="仿宋_GB2312"/>
          <w:kern w:val="0"/>
          <w:sz w:val="32"/>
          <w:szCs w:val="32"/>
        </w:rPr>
        <w:t>（本级）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87"/>
        <w:gridCol w:w="858"/>
        <w:gridCol w:w="1434"/>
        <w:gridCol w:w="4599"/>
        <w:gridCol w:w="858"/>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8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9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79"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45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9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89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5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5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1,093.76</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63.11</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1,156.87</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330.73</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43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58"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1,487.60</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1,487.60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83"/>
        <w:gridCol w:w="1560"/>
        <w:gridCol w:w="1560"/>
        <w:gridCol w:w="1149"/>
        <w:gridCol w:w="871"/>
        <w:gridCol w:w="871"/>
        <w:gridCol w:w="1065"/>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25"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8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0"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15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5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14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87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87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0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07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8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0"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70"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1,156.87</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1,093.76</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898.29</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879.73</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审计事务</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894.36</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875.80</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2010801</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827.09</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827.09</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2010802</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35.33</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35.33</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2010899</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其他审计事务支出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31.94</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13.38</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173.46</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173.46</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173.46</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173.46</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142.84</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142.84</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30.62</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30.62</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18.62</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18.62</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21.95</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21.95</w:t>
            </w: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44.55</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22999</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44.55</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2299999</w:t>
            </w:r>
          </w:p>
        </w:tc>
        <w:tc>
          <w:tcPr>
            <w:tcW w:w="48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5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44.55</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5"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
        <w:gridCol w:w="307"/>
        <w:gridCol w:w="307"/>
        <w:gridCol w:w="4652"/>
        <w:gridCol w:w="1619"/>
        <w:gridCol w:w="1619"/>
        <w:gridCol w:w="1488"/>
        <w:gridCol w:w="1226"/>
        <w:gridCol w:w="1226"/>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398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5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1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2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5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92"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161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2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5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557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1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61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48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22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22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22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921"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65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92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92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6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557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1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1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557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1,422.89</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1,210.30</w:t>
            </w: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rPr>
              <w:t>212.59</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1,186.29</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973.71</w:t>
            </w: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212.59</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审计事务</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1,082.36</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969.78</w:t>
            </w: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112.59</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2010801</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969.78</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969.78</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2010802</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64.88</w:t>
            </w:r>
          </w:p>
        </w:tc>
        <w:tc>
          <w:tcPr>
            <w:tcW w:w="16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64.88</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2010899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其他审计事务支出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47.71</w:t>
            </w:r>
          </w:p>
        </w:tc>
        <w:tc>
          <w:tcPr>
            <w:tcW w:w="16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47.71</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c>
          <w:tcPr>
            <w:tcW w:w="16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其他一般公共服务支出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c>
          <w:tcPr>
            <w:tcW w:w="16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177.15</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177.15</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142.84</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142.84</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34.32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34.32</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18.62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18.62</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21.95</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21.95</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22999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2299999</w:t>
            </w:r>
          </w:p>
        </w:tc>
        <w:tc>
          <w:tcPr>
            <w:tcW w:w="465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14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398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7"/>
        <w:gridCol w:w="546"/>
        <w:gridCol w:w="1215"/>
        <w:gridCol w:w="3898"/>
        <w:gridCol w:w="546"/>
        <w:gridCol w:w="1191"/>
        <w:gridCol w:w="1215"/>
        <w:gridCol w:w="856"/>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70"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4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9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27"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47"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9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27"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562"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4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89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9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8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8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4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89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4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8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4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1,093.76</w:t>
            </w: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9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1,151.96</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1,151.96</w:t>
            </w: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9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9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1,093.76</w:t>
            </w:r>
          </w:p>
        </w:tc>
        <w:tc>
          <w:tcPr>
            <w:tcW w:w="38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9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1,388.16</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1,388.16</w:t>
            </w: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294.40</w:t>
            </w:r>
          </w:p>
        </w:tc>
        <w:tc>
          <w:tcPr>
            <w:tcW w:w="38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294.40</w:t>
            </w:r>
          </w:p>
        </w:tc>
        <w:tc>
          <w:tcPr>
            <w:tcW w:w="38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8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1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46"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1,388.16</w:t>
            </w:r>
          </w:p>
        </w:tc>
        <w:tc>
          <w:tcPr>
            <w:tcW w:w="38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19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1,388.16</w:t>
            </w: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1,388.16</w:t>
            </w: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70"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6"/>
        <w:gridCol w:w="386"/>
        <w:gridCol w:w="386"/>
        <w:gridCol w:w="5687"/>
        <w:gridCol w:w="2411"/>
        <w:gridCol w:w="2411"/>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3920"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8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6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9256"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466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8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07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158"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568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41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41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25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5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68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5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5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68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5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845"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41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41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25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845"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1,388.16</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1,209.90</w:t>
            </w: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1,151.96</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973.71</w:t>
            </w: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审计事务</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1,048.03</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969.78</w:t>
            </w: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2010801</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969.78</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969.78</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2010802</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64.88</w:t>
            </w:r>
          </w:p>
        </w:tc>
        <w:tc>
          <w:tcPr>
            <w:tcW w:w="24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2010899</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其他审计事务支出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13.38</w:t>
            </w:r>
          </w:p>
        </w:tc>
        <w:tc>
          <w:tcPr>
            <w:tcW w:w="24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其他一般公共服务支出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c>
          <w:tcPr>
            <w:tcW w:w="24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2019999</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其他一般公共服务支出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c>
          <w:tcPr>
            <w:tcW w:w="24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2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195.62</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177.15</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177.15</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142.84</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142.84</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34.32</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34.32</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40.58</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40.58</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18.62</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18.62</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568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21.95</w:t>
            </w:r>
          </w:p>
        </w:tc>
        <w:tc>
          <w:tcPr>
            <w:tcW w:w="24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21.95</w:t>
            </w:r>
          </w:p>
        </w:tc>
        <w:tc>
          <w:tcPr>
            <w:tcW w:w="22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3920"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660"/>
        <w:gridCol w:w="1106"/>
        <w:gridCol w:w="766"/>
        <w:gridCol w:w="2438"/>
        <w:gridCol w:w="884"/>
        <w:gridCol w:w="766"/>
        <w:gridCol w:w="3636"/>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6"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w:t>
            </w:r>
            <w:r>
              <w:rPr>
                <w:rFonts w:hint="eastAsia" w:ascii="宋体" w:hAnsi="宋体" w:cs="宋体"/>
                <w:i w:val="0"/>
                <w:iCs w:val="0"/>
                <w:color w:val="000000"/>
                <w:kern w:val="0"/>
                <w:sz w:val="30"/>
                <w:szCs w:val="30"/>
                <w:u w:val="none"/>
                <w:lang w:val="en-US" w:eastAsia="zh-CN"/>
              </w:rPr>
              <w:t>明细</w:t>
            </w:r>
            <w:r>
              <w:rPr>
                <w:rFonts w:hint="eastAsia" w:ascii="宋体" w:hAnsi="宋体" w:eastAsia="宋体" w:cs="宋体"/>
                <w:i w:val="0"/>
                <w:iCs w:val="0"/>
                <w:color w:val="000000"/>
                <w:kern w:val="0"/>
                <w:sz w:val="30"/>
                <w:szCs w:val="30"/>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6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98"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24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374"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6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0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3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63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3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6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876.01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153.36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200.70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284.49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241.02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50.25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25.09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24.45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38.19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49.61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168.64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147.70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63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其他支出</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38.47</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3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3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bookmarkStart w:id="0" w:name="_GoBack"/>
            <w:bookmarkEnd w:id="0"/>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3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2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1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1,044.65</w:t>
            </w:r>
          </w:p>
        </w:tc>
        <w:tc>
          <w:tcPr>
            <w:tcW w:w="849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8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06"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6"/>
        <w:gridCol w:w="1875"/>
        <w:gridCol w:w="656"/>
        <w:gridCol w:w="1200"/>
        <w:gridCol w:w="1200"/>
        <w:gridCol w:w="1200"/>
        <w:gridCol w:w="656"/>
        <w:gridCol w:w="1875"/>
        <w:gridCol w:w="656"/>
        <w:gridCol w:w="1156"/>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3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8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5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87"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56"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8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74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8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056"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6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8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012"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5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8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8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6"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6.00</w:t>
            </w:r>
          </w:p>
        </w:tc>
        <w:tc>
          <w:tcPr>
            <w:tcW w:w="18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2.27</w:t>
            </w:r>
          </w:p>
        </w:tc>
        <w:tc>
          <w:tcPr>
            <w:tcW w:w="18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w:t>
            </w: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3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1"/>
        <w:gridCol w:w="282"/>
        <w:gridCol w:w="282"/>
        <w:gridCol w:w="1394"/>
        <w:gridCol w:w="1193"/>
        <w:gridCol w:w="1193"/>
        <w:gridCol w:w="1193"/>
        <w:gridCol w:w="1193"/>
        <w:gridCol w:w="1193"/>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6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81"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5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81"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：许昌市审计局（本级）</w:t>
            </w:r>
          </w:p>
        </w:tc>
        <w:tc>
          <w:tcPr>
            <w:tcW w:w="2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5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9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19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3579"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205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39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9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19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205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19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9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9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9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9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0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6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56" w:type="dxa"/>
            <w:tcBorders>
              <w:top w:val="nil"/>
              <w:left w:val="nil"/>
              <w:bottom w:val="nil"/>
              <w:right w:val="nil"/>
            </w:tcBorders>
            <w:vAlign w:val="bottom"/>
          </w:tcPr>
          <w:p>
            <w:pPr>
              <w:rPr>
                <w:rFonts w:hint="default" w:ascii="Arial" w:hAnsi="Arial" w:cs="Arial"/>
                <w:i w:val="0"/>
                <w:iCs w:val="0"/>
                <w:color w:val="000000"/>
                <w:sz w:val="20"/>
                <w:szCs w:val="20"/>
                <w:u w:val="none"/>
              </w:rPr>
            </w:pPr>
          </w:p>
        </w:tc>
      </w:tr>
    </w:tbl>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1487.60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105.45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6.62</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：一是项目经费预算减少；二是坚持精打细算，量入为出，合理开支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1156.87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1093.76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94.54</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63.11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5.46</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1422.89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1210.30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85.06</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212.59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14.94</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1388.16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146.86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9.57</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：一是项目经费预算减少；二是坚持精打细算，量入为出，合理开支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 xml:space="preserve"> </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1388.16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97.56</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154.78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12.55</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lang w:eastAsia="zh-CN"/>
        </w:rPr>
        <w:t>一</w:t>
      </w:r>
      <w:r>
        <w:rPr>
          <w:rFonts w:hint="eastAsia" w:ascii="仿宋_GB2312" w:hAnsi="仿宋_GB2312" w:eastAsia="仿宋_GB2312" w:cs="仿宋_GB2312"/>
          <w:sz w:val="32"/>
        </w:rPr>
        <w:t>是</w:t>
      </w:r>
      <w:r>
        <w:rPr>
          <w:rFonts w:hint="eastAsia" w:ascii="仿宋_GB2312" w:hAnsi="仿宋_GB2312" w:eastAsia="仿宋_GB2312" w:cs="仿宋_GB2312"/>
          <w:sz w:val="32"/>
          <w:lang w:eastAsia="zh-CN"/>
        </w:rPr>
        <w:t>人员增资；二是</w:t>
      </w:r>
      <w:r>
        <w:rPr>
          <w:rFonts w:hint="eastAsia" w:ascii="仿宋_GB2312" w:hAnsi="仿宋_GB2312" w:eastAsia="仿宋_GB2312" w:cs="仿宋_GB2312"/>
          <w:color w:val="auto"/>
          <w:sz w:val="32"/>
        </w:rPr>
        <w:t>外出审计项目增加，项目经费支出相应增加</w:t>
      </w:r>
      <w:r>
        <w:rPr>
          <w:rFonts w:hint="eastAsia" w:ascii="仿宋_GB2312" w:hAnsi="仿宋_GB2312" w:eastAsia="仿宋_GB2312" w:cs="仿宋_GB2312"/>
          <w:color w:val="auto"/>
          <w:sz w:val="32"/>
          <w:lang w:eastAsia="zh-CN"/>
        </w:rPr>
        <w:t>；三</w:t>
      </w:r>
      <w:r>
        <w:rPr>
          <w:rFonts w:hint="eastAsia" w:ascii="仿宋_GB2312" w:hAnsi="仿宋_GB2312" w:eastAsia="仿宋_GB2312" w:cs="仿宋_GB2312"/>
          <w:sz w:val="32"/>
          <w:lang w:val="en-US" w:eastAsia="zh-CN"/>
        </w:rPr>
        <w:t>是</w:t>
      </w:r>
      <w:r>
        <w:rPr>
          <w:rFonts w:hint="eastAsia" w:ascii="仿宋_GB2312" w:hAnsi="仿宋_GB2312" w:eastAsia="仿宋_GB2312" w:cs="仿宋_GB2312"/>
          <w:color w:val="auto"/>
          <w:sz w:val="32"/>
          <w:lang w:val="en-US" w:eastAsia="zh-CN"/>
        </w:rPr>
        <w:t>2021年度执行中统筹使用了以前年度结转资金。</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w:t>
      </w:r>
      <w:r>
        <w:rPr>
          <w:rFonts w:hint="eastAsia" w:ascii="楷体_GB2312" w:hAnsi="楷体_GB2312" w:eastAsia="楷体_GB2312" w:cs="楷体_GB2312"/>
          <w:b/>
          <w:bCs/>
          <w:sz w:val="32"/>
          <w:szCs w:val="32"/>
          <w:highlight w:val="none"/>
          <w:lang w:eastAsia="zh-CN"/>
        </w:rPr>
        <w:t>结</w:t>
      </w:r>
      <w:r>
        <w:rPr>
          <w:rFonts w:hint="eastAsia" w:ascii="楷体_GB2312" w:hAnsi="楷体_GB2312" w:eastAsia="楷体_GB2312" w:cs="楷体_GB2312"/>
          <w:b/>
          <w:bCs/>
          <w:sz w:val="32"/>
          <w:szCs w:val="32"/>
          <w:highlight w:val="none"/>
        </w:rPr>
        <w:t>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1388.16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1151.96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82.98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195.62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14.09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40.58万元，占2.93 %</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1074.54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1388.16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129.19</w:t>
      </w:r>
      <w:r>
        <w:rPr>
          <w:rFonts w:hint="eastAsia" w:ascii="仿宋_GB2312" w:hAnsi="仿宋_GB2312" w:eastAsia="仿宋_GB2312" w:cs="仿宋_GB2312"/>
          <w:sz w:val="32"/>
          <w:szCs w:val="32"/>
          <w:highlight w:val="none"/>
        </w:rPr>
        <w:t>%。其中：</w:t>
      </w:r>
    </w:p>
    <w:p>
      <w:pPr>
        <w:widowControl/>
        <w:numPr>
          <w:ilvl w:val="0"/>
          <w:numId w:val="0"/>
        </w:numPr>
        <w:spacing w:line="590" w:lineRule="exact"/>
        <w:ind w:firstLine="643" w:firstLineChars="200"/>
        <w:rPr>
          <w:rFonts w:hint="eastAsia" w:ascii="仿宋_GB2312" w:hAnsi="仿宋_GB2312" w:eastAsia="仿宋_GB2312" w:cs="仿宋_GB2312"/>
          <w:color w:val="auto"/>
          <w:sz w:val="32"/>
        </w:rPr>
      </w:pPr>
      <w:r>
        <w:rPr>
          <w:rFonts w:hint="eastAsia" w:ascii="仿宋_GB2312" w:hAnsi="仿宋_GB2312" w:eastAsia="仿宋_GB2312" w:cs="仿宋_GB2312"/>
          <w:b/>
          <w:sz w:val="32"/>
          <w:lang w:val="en-US" w:eastAsia="zh-CN"/>
        </w:rPr>
        <w:t>1.</w:t>
      </w:r>
      <w:r>
        <w:rPr>
          <w:rFonts w:hint="eastAsia" w:ascii="仿宋_GB2312" w:hAnsi="仿宋_GB2312" w:eastAsia="仿宋_GB2312" w:cs="仿宋_GB2312"/>
          <w:b/>
          <w:sz w:val="32"/>
        </w:rPr>
        <w:t>一般公共服务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（类）审计事务（款）行政运行（项）。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829.96</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969.78</w:t>
      </w:r>
      <w:r>
        <w:rPr>
          <w:rFonts w:hint="eastAsia" w:ascii="仿宋_GB2312" w:hAnsi="仿宋_GB2312" w:eastAsia="仿宋_GB2312" w:cs="仿宋_GB2312"/>
          <w:sz w:val="32"/>
        </w:rPr>
        <w:t>万元，完成年</w:t>
      </w:r>
      <w:r>
        <w:rPr>
          <w:rFonts w:hint="eastAsia" w:ascii="仿宋_GB2312" w:hAnsi="仿宋_GB2312" w:eastAsia="仿宋_GB2312" w:cs="仿宋_GB2312"/>
          <w:color w:val="auto"/>
          <w:sz w:val="32"/>
        </w:rPr>
        <w:t>初预算的</w:t>
      </w:r>
      <w:r>
        <w:rPr>
          <w:rFonts w:hint="eastAsia" w:ascii="仿宋_GB2312" w:hAnsi="仿宋_GB2312" w:eastAsia="仿宋_GB2312" w:cs="仿宋_GB2312"/>
          <w:color w:val="auto"/>
          <w:sz w:val="32"/>
          <w:lang w:val="en-US" w:eastAsia="zh-CN"/>
        </w:rPr>
        <w:t>116.85</w:t>
      </w:r>
      <w:r>
        <w:rPr>
          <w:rFonts w:hint="eastAsia" w:ascii="仿宋_GB2312" w:hAnsi="仿宋_GB2312" w:eastAsia="仿宋_GB2312" w:cs="仿宋_GB2312"/>
          <w:color w:val="auto"/>
          <w:sz w:val="32"/>
        </w:rPr>
        <w:t>%。决算数与年初预算数存在差异的主要原因</w:t>
      </w:r>
      <w:r>
        <w:rPr>
          <w:rFonts w:hint="eastAsia" w:ascii="仿宋_GB2312" w:hAnsi="仿宋_GB2312" w:eastAsia="仿宋_GB2312" w:cs="仿宋_GB2312"/>
          <w:color w:val="auto"/>
          <w:sz w:val="32"/>
          <w:lang w:eastAsia="zh-CN"/>
        </w:rPr>
        <w:t>：一</w:t>
      </w:r>
      <w:r>
        <w:rPr>
          <w:rFonts w:hint="eastAsia" w:ascii="仿宋_GB2312" w:hAnsi="仿宋_GB2312" w:eastAsia="仿宋_GB2312" w:cs="仿宋_GB2312"/>
          <w:sz w:val="32"/>
        </w:rPr>
        <w:t>是</w:t>
      </w:r>
      <w:r>
        <w:rPr>
          <w:rFonts w:hint="eastAsia" w:ascii="仿宋_GB2312" w:hAnsi="仿宋_GB2312" w:eastAsia="仿宋_GB2312" w:cs="仿宋_GB2312"/>
          <w:sz w:val="32"/>
          <w:lang w:eastAsia="zh-CN"/>
        </w:rPr>
        <w:t>人员增资；二是</w:t>
      </w:r>
      <w:r>
        <w:rPr>
          <w:rFonts w:hint="eastAsia" w:ascii="仿宋_GB2312" w:hAnsi="仿宋_GB2312" w:eastAsia="仿宋_GB2312" w:cs="仿宋_GB2312"/>
          <w:color w:val="auto"/>
          <w:sz w:val="32"/>
        </w:rPr>
        <w:t>外出审计项目增加，项目经费支出相应增加</w:t>
      </w:r>
      <w:r>
        <w:rPr>
          <w:rFonts w:hint="eastAsia" w:ascii="仿宋_GB2312" w:hAnsi="仿宋_GB2312" w:eastAsia="仿宋_GB2312" w:cs="仿宋_GB2312"/>
          <w:color w:val="auto"/>
          <w:sz w:val="32"/>
          <w:lang w:eastAsia="zh-CN"/>
        </w:rPr>
        <w:t>；三是</w:t>
      </w:r>
      <w:r>
        <w:rPr>
          <w:rFonts w:hint="eastAsia" w:ascii="仿宋_GB2312" w:hAnsi="仿宋_GB2312" w:eastAsia="仿宋_GB2312" w:cs="仿宋_GB2312"/>
          <w:sz w:val="32"/>
        </w:rPr>
        <w:t>人员增加</w:t>
      </w:r>
      <w:r>
        <w:rPr>
          <w:rFonts w:hint="eastAsia" w:ascii="仿宋_GB2312" w:hAnsi="仿宋_GB2312" w:eastAsia="仿宋_GB2312" w:cs="仿宋_GB2312"/>
          <w:sz w:val="32"/>
          <w:lang w:eastAsia="zh-CN"/>
        </w:rPr>
        <w:t>，统筹使用人员经费列支</w:t>
      </w:r>
      <w:r>
        <w:rPr>
          <w:rFonts w:hint="eastAsia" w:ascii="仿宋_GB2312" w:hAnsi="仿宋_GB2312" w:eastAsia="仿宋_GB2312" w:cs="仿宋_GB2312"/>
          <w:sz w:val="32"/>
          <w:lang w:val="en-US" w:eastAsia="zh-CN"/>
        </w:rPr>
        <w:t>;四是</w:t>
      </w:r>
      <w:r>
        <w:rPr>
          <w:rFonts w:hint="eastAsia" w:ascii="仿宋_GB2312" w:hAnsi="仿宋_GB2312" w:eastAsia="仿宋_GB2312" w:cs="仿宋_GB2312"/>
          <w:color w:val="auto"/>
          <w:sz w:val="32"/>
          <w:lang w:val="en-US" w:eastAsia="zh-CN"/>
        </w:rPr>
        <w:t>2021年度执行中统筹使用了以前年度结转资金。</w:t>
      </w:r>
    </w:p>
    <w:p>
      <w:pPr>
        <w:widowControl/>
        <w:numPr>
          <w:ilvl w:val="0"/>
          <w:numId w:val="0"/>
        </w:numPr>
        <w:spacing w:line="590" w:lineRule="exact"/>
        <w:ind w:firstLine="643" w:firstLineChars="200"/>
        <w:rPr>
          <w:rFonts w:hint="eastAsia" w:ascii="仿宋_GB2312" w:hAnsi="仿宋_GB2312" w:eastAsia="仿宋_GB2312" w:cs="仿宋_GB2312"/>
          <w:color w:val="auto"/>
          <w:sz w:val="32"/>
        </w:rPr>
      </w:pPr>
      <w:r>
        <w:rPr>
          <w:rFonts w:hint="eastAsia" w:ascii="仿宋_GB2312" w:hAnsi="仿宋_GB2312" w:eastAsia="仿宋_GB2312" w:cs="仿宋_GB2312"/>
          <w:b/>
          <w:sz w:val="32"/>
          <w:lang w:val="en-US" w:eastAsia="zh-CN"/>
        </w:rPr>
        <w:t>2．一般公共服务支出（类）审计事务（款）一般行政管理事务（</w:t>
      </w:r>
      <w:r>
        <w:rPr>
          <w:rFonts w:hint="eastAsia" w:ascii="仿宋_GB2312" w:hAnsi="仿宋_GB2312" w:eastAsia="仿宋_GB2312" w:cs="仿宋_GB2312"/>
          <w:b/>
          <w:sz w:val="32"/>
        </w:rPr>
        <w:t>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64.88</w:t>
      </w:r>
      <w:r>
        <w:rPr>
          <w:rFonts w:hint="eastAsia" w:ascii="仿宋_GB2312" w:hAnsi="仿宋_GB2312" w:eastAsia="仿宋_GB2312" w:cs="仿宋_GB2312"/>
          <w:sz w:val="32"/>
        </w:rPr>
        <w:t>万元。决算数与年初预算数存在差异的主要原因是</w:t>
      </w:r>
      <w:r>
        <w:rPr>
          <w:rFonts w:hint="eastAsia" w:ascii="仿宋_GB2312" w:hAnsi="仿宋_GB2312" w:eastAsia="仿宋_GB2312" w:cs="仿宋_GB2312"/>
          <w:color w:val="auto"/>
          <w:sz w:val="32"/>
        </w:rPr>
        <w:t>外出审计项目增加，项目经费支出相应增加。</w:t>
      </w:r>
    </w:p>
    <w:p>
      <w:pPr>
        <w:widowControl/>
        <w:spacing w:line="590" w:lineRule="exact"/>
        <w:ind w:firstLine="643" w:firstLineChars="200"/>
        <w:rPr>
          <w:rFonts w:hint="eastAsia" w:ascii="仿宋_GB2312" w:hAnsi="仿宋_GB2312" w:eastAsia="仿宋_GB2312" w:cs="仿宋_GB2312"/>
          <w:color w:val="auto"/>
          <w:sz w:val="32"/>
        </w:rPr>
      </w:pPr>
      <w:r>
        <w:rPr>
          <w:rFonts w:hint="eastAsia" w:ascii="仿宋_GB2312" w:hAnsi="仿宋_GB2312" w:eastAsia="仿宋_GB2312" w:cs="仿宋_GB2312"/>
          <w:b/>
          <w:sz w:val="32"/>
        </w:rPr>
        <w:t>3．一般公共服务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（类）审计事务（款）</w:t>
      </w:r>
      <w:r>
        <w:rPr>
          <w:rFonts w:hint="eastAsia" w:ascii="仿宋_GB2312" w:hAnsi="仿宋_GB2312" w:eastAsia="仿宋_GB2312" w:cs="仿宋_GB2312"/>
          <w:b/>
          <w:sz w:val="32"/>
          <w:lang w:eastAsia="zh-CN"/>
        </w:rPr>
        <w:t>其他审计事务支出</w:t>
      </w:r>
      <w:r>
        <w:rPr>
          <w:rFonts w:hint="eastAsia" w:ascii="仿宋_GB2312" w:hAnsi="仿宋_GB2312" w:eastAsia="仿宋_GB2312" w:cs="仿宋_GB2312"/>
          <w:b/>
          <w:sz w:val="32"/>
        </w:rPr>
        <w:t>（项）。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13.38</w:t>
      </w:r>
      <w:r>
        <w:rPr>
          <w:rFonts w:hint="eastAsia" w:ascii="仿宋_GB2312" w:hAnsi="仿宋_GB2312" w:eastAsia="仿宋_GB2312" w:cs="仿宋_GB2312"/>
          <w:sz w:val="32"/>
        </w:rPr>
        <w:t>万元。决算数与年初预算数存在差异的主要原因是</w:t>
      </w:r>
      <w:r>
        <w:rPr>
          <w:rFonts w:hint="eastAsia" w:ascii="仿宋_GB2312" w:hAnsi="仿宋_GB2312" w:eastAsia="仿宋_GB2312" w:cs="仿宋_GB2312"/>
          <w:color w:val="auto"/>
          <w:sz w:val="32"/>
          <w:lang w:val="en-US" w:eastAsia="zh-CN"/>
        </w:rPr>
        <w:t>2021年度执行中统筹使用了以前年度结转资金。</w:t>
      </w:r>
    </w:p>
    <w:p>
      <w:pPr>
        <w:widowControl/>
        <w:spacing w:line="590" w:lineRule="exact"/>
        <w:ind w:firstLine="643" w:firstLineChars="200"/>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b/>
          <w:color w:val="auto"/>
          <w:sz w:val="32"/>
          <w:highlight w:val="none"/>
          <w:lang w:val="en-US" w:eastAsia="zh-CN"/>
        </w:rPr>
        <w:t>4</w:t>
      </w:r>
      <w:r>
        <w:rPr>
          <w:rFonts w:hint="eastAsia" w:ascii="仿宋_GB2312" w:hAnsi="仿宋_GB2312" w:eastAsia="仿宋_GB2312" w:cs="仿宋_GB2312"/>
          <w:b/>
          <w:color w:val="auto"/>
          <w:sz w:val="32"/>
          <w:highlight w:val="none"/>
        </w:rPr>
        <w:t>．一般公共服务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color w:val="auto"/>
          <w:sz w:val="32"/>
          <w:highlight w:val="none"/>
        </w:rPr>
        <w:t>（类）群众团体事务（款）工会事务（项）。</w:t>
      </w:r>
      <w:r>
        <w:rPr>
          <w:rFonts w:hint="eastAsia" w:ascii="仿宋_GB2312" w:hAnsi="仿宋_GB2312" w:eastAsia="仿宋_GB2312" w:cs="仿宋_GB2312"/>
          <w:color w:val="auto"/>
          <w:sz w:val="32"/>
          <w:highlight w:val="none"/>
        </w:rPr>
        <w:t>年初预算为</w:t>
      </w:r>
      <w:r>
        <w:rPr>
          <w:rFonts w:hint="eastAsia" w:ascii="仿宋_GB2312" w:hAnsi="仿宋_GB2312" w:eastAsia="仿宋_GB2312" w:cs="仿宋_GB2312"/>
          <w:color w:val="auto"/>
          <w:sz w:val="32"/>
          <w:highlight w:val="none"/>
          <w:lang w:val="en-US" w:eastAsia="zh-CN"/>
        </w:rPr>
        <w:t>3.93</w:t>
      </w:r>
      <w:r>
        <w:rPr>
          <w:rFonts w:hint="eastAsia" w:ascii="仿宋_GB2312" w:hAnsi="仿宋_GB2312" w:eastAsia="仿宋_GB2312" w:cs="仿宋_GB2312"/>
          <w:color w:val="auto"/>
          <w:sz w:val="32"/>
          <w:highlight w:val="none"/>
        </w:rPr>
        <w:t>万元，支出决算为</w:t>
      </w:r>
      <w:r>
        <w:rPr>
          <w:rFonts w:hint="eastAsia" w:ascii="仿宋_GB2312" w:hAnsi="仿宋_GB2312" w:eastAsia="仿宋_GB2312" w:cs="仿宋_GB2312"/>
          <w:color w:val="auto"/>
          <w:sz w:val="32"/>
          <w:highlight w:val="none"/>
          <w:lang w:val="en-US" w:eastAsia="zh-CN"/>
        </w:rPr>
        <w:t>3.93</w:t>
      </w:r>
      <w:r>
        <w:rPr>
          <w:rFonts w:hint="eastAsia" w:ascii="仿宋_GB2312" w:hAnsi="仿宋_GB2312" w:eastAsia="仿宋_GB2312" w:cs="仿宋_GB2312"/>
          <w:color w:val="auto"/>
          <w:sz w:val="32"/>
          <w:highlight w:val="none"/>
        </w:rPr>
        <w:t>万元，完成年初预算的100</w:t>
      </w:r>
      <w:r>
        <w:rPr>
          <w:rFonts w:hint="eastAsia" w:ascii="仿宋_GB2312" w:hAnsi="仿宋_GB2312" w:eastAsia="仿宋_GB2312" w:cs="仿宋_GB2312"/>
          <w:color w:val="auto"/>
          <w:sz w:val="32"/>
          <w:highlight w:val="none"/>
          <w:lang w:val="en-US" w:eastAsia="zh-CN"/>
        </w:rPr>
        <w:t>.00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决算数与</w:t>
      </w:r>
      <w:r>
        <w:rPr>
          <w:rFonts w:hint="eastAsia" w:ascii="仿宋_GB2312" w:hAnsi="仿宋_GB2312" w:eastAsia="仿宋_GB2312" w:cs="仿宋_GB2312"/>
          <w:color w:val="auto"/>
          <w:sz w:val="32"/>
          <w:highlight w:val="none"/>
          <w:lang w:val="en-US" w:eastAsia="zh-CN"/>
        </w:rPr>
        <w:t>年初</w:t>
      </w:r>
      <w:r>
        <w:rPr>
          <w:rFonts w:hint="eastAsia" w:ascii="仿宋_GB2312" w:hAnsi="仿宋_GB2312" w:eastAsia="仿宋_GB2312" w:cs="仿宋_GB2312"/>
          <w:color w:val="auto"/>
          <w:sz w:val="32"/>
          <w:highlight w:val="none"/>
          <w:lang w:eastAsia="zh-CN"/>
        </w:rPr>
        <w:t>预算数不存在差异。</w:t>
      </w:r>
    </w:p>
    <w:p>
      <w:pPr>
        <w:widowControl/>
        <w:spacing w:line="590" w:lineRule="exact"/>
        <w:ind w:firstLine="643" w:firstLineChars="200"/>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b/>
          <w:color w:val="auto"/>
          <w:sz w:val="32"/>
          <w:highlight w:val="none"/>
          <w:lang w:val="en-US" w:eastAsia="zh-CN"/>
        </w:rPr>
        <w:t>5</w:t>
      </w:r>
      <w:r>
        <w:rPr>
          <w:rFonts w:hint="eastAsia" w:ascii="仿宋_GB2312" w:hAnsi="仿宋_GB2312" w:eastAsia="仿宋_GB2312" w:cs="仿宋_GB2312"/>
          <w:b/>
          <w:color w:val="auto"/>
          <w:sz w:val="32"/>
          <w:highlight w:val="none"/>
        </w:rPr>
        <w:t>．一般公共服务</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color w:val="auto"/>
          <w:sz w:val="32"/>
          <w:highlight w:val="none"/>
        </w:rPr>
        <w:t>（类）</w:t>
      </w:r>
      <w:r>
        <w:rPr>
          <w:rFonts w:hint="eastAsia" w:ascii="仿宋_GB2312" w:hAnsi="仿宋_GB2312" w:eastAsia="仿宋_GB2312" w:cs="仿宋_GB2312"/>
          <w:b/>
          <w:color w:val="auto"/>
          <w:sz w:val="32"/>
          <w:highlight w:val="none"/>
          <w:lang w:eastAsia="zh-CN"/>
        </w:rPr>
        <w:t>其他一般公共服务支出</w:t>
      </w:r>
      <w:r>
        <w:rPr>
          <w:rFonts w:hint="eastAsia" w:ascii="仿宋_GB2312" w:hAnsi="仿宋_GB2312" w:eastAsia="仿宋_GB2312" w:cs="仿宋_GB2312"/>
          <w:b/>
          <w:color w:val="auto"/>
          <w:sz w:val="32"/>
          <w:highlight w:val="none"/>
        </w:rPr>
        <w:t>（款）</w:t>
      </w:r>
      <w:r>
        <w:rPr>
          <w:rFonts w:hint="eastAsia" w:ascii="仿宋_GB2312" w:hAnsi="仿宋_GB2312" w:eastAsia="仿宋_GB2312" w:cs="仿宋_GB2312"/>
          <w:b/>
          <w:color w:val="auto"/>
          <w:sz w:val="32"/>
          <w:highlight w:val="none"/>
          <w:lang w:eastAsia="zh-CN"/>
        </w:rPr>
        <w:t>其他一般公共服务支出</w:t>
      </w:r>
      <w:r>
        <w:rPr>
          <w:rFonts w:hint="eastAsia" w:ascii="仿宋_GB2312" w:hAnsi="仿宋_GB2312" w:eastAsia="仿宋_GB2312" w:cs="仿宋_GB2312"/>
          <w:b/>
          <w:color w:val="auto"/>
          <w:sz w:val="32"/>
          <w:highlight w:val="none"/>
        </w:rPr>
        <w:t>（项）。</w:t>
      </w:r>
      <w:r>
        <w:rPr>
          <w:rFonts w:hint="eastAsia" w:ascii="仿宋_GB2312" w:hAnsi="仿宋_GB2312" w:eastAsia="仿宋_GB2312" w:cs="仿宋_GB2312"/>
          <w:color w:val="auto"/>
          <w:sz w:val="32"/>
          <w:highlight w:val="none"/>
        </w:rPr>
        <w:t>年初预算为</w:t>
      </w:r>
      <w:r>
        <w:rPr>
          <w:rFonts w:hint="eastAsia" w:ascii="仿宋_GB2312" w:hAnsi="仿宋_GB2312" w:eastAsia="仿宋_GB2312" w:cs="仿宋_GB2312"/>
          <w:color w:val="auto"/>
          <w:sz w:val="32"/>
          <w:highlight w:val="none"/>
          <w:lang w:val="en-US" w:eastAsia="zh-CN"/>
        </w:rPr>
        <w:t>0.00</w:t>
      </w:r>
      <w:r>
        <w:rPr>
          <w:rFonts w:hint="eastAsia" w:ascii="仿宋_GB2312" w:hAnsi="仿宋_GB2312" w:eastAsia="仿宋_GB2312" w:cs="仿宋_GB2312"/>
          <w:color w:val="auto"/>
          <w:sz w:val="32"/>
          <w:highlight w:val="none"/>
        </w:rPr>
        <w:t>万元，支出决算为</w:t>
      </w:r>
      <w:r>
        <w:rPr>
          <w:rFonts w:hint="eastAsia" w:ascii="仿宋_GB2312" w:hAnsi="仿宋_GB2312" w:eastAsia="仿宋_GB2312" w:cs="仿宋_GB2312"/>
          <w:color w:val="auto"/>
          <w:sz w:val="32"/>
          <w:highlight w:val="none"/>
          <w:lang w:val="en-US" w:eastAsia="zh-CN"/>
        </w:rPr>
        <w:t>100.00</w:t>
      </w:r>
      <w:r>
        <w:rPr>
          <w:rFonts w:hint="eastAsia" w:ascii="仿宋_GB2312" w:hAnsi="仿宋_GB2312" w:eastAsia="仿宋_GB2312" w:cs="仿宋_GB2312"/>
          <w:color w:val="auto"/>
          <w:sz w:val="32"/>
          <w:highlight w:val="none"/>
        </w:rPr>
        <w:t>万元。</w:t>
      </w:r>
      <w:r>
        <w:rPr>
          <w:rFonts w:hint="eastAsia" w:ascii="仿宋_GB2312" w:hAnsi="仿宋_GB2312" w:eastAsia="仿宋_GB2312" w:cs="仿宋_GB2312"/>
          <w:sz w:val="32"/>
        </w:rPr>
        <w:t>决算数与年初预算数存在差异的主要原因</w:t>
      </w:r>
      <w:r>
        <w:rPr>
          <w:rFonts w:hint="eastAsia" w:ascii="仿宋_GB2312" w:hAnsi="仿宋_GB2312" w:eastAsia="仿宋_GB2312" w:cs="仿宋_GB2312"/>
          <w:sz w:val="32"/>
          <w:lang w:eastAsia="zh-CN"/>
        </w:rPr>
        <w:t>是</w:t>
      </w:r>
      <w:r>
        <w:rPr>
          <w:rFonts w:hint="eastAsia" w:ascii="仿宋_GB2312" w:hAnsi="仿宋_GB2312" w:eastAsia="仿宋_GB2312" w:cs="仿宋_GB2312"/>
          <w:color w:val="auto"/>
          <w:sz w:val="32"/>
          <w:lang w:val="en-US" w:eastAsia="zh-CN"/>
        </w:rPr>
        <w:t>2021年度执行中统筹使用了以前年度结转资金</w:t>
      </w:r>
      <w:r>
        <w:rPr>
          <w:rFonts w:hint="eastAsia" w:ascii="仿宋_GB2312" w:hAnsi="仿宋_GB2312" w:eastAsia="仿宋_GB2312" w:cs="仿宋_GB2312"/>
          <w:sz w:val="32"/>
          <w:lang w:val="en-US" w:eastAsia="zh-CN"/>
        </w:rPr>
        <w:t>。</w:t>
      </w:r>
    </w:p>
    <w:p>
      <w:pPr>
        <w:widowControl/>
        <w:spacing w:line="590" w:lineRule="exact"/>
        <w:ind w:firstLine="643"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b/>
          <w:sz w:val="32"/>
          <w:lang w:val="en-US" w:eastAsia="zh-CN"/>
        </w:rPr>
        <w:t>6</w:t>
      </w:r>
      <w:r>
        <w:rPr>
          <w:rFonts w:hint="eastAsia" w:ascii="仿宋_GB2312" w:hAnsi="仿宋_GB2312" w:eastAsia="仿宋_GB2312" w:cs="仿宋_GB2312"/>
          <w:b/>
          <w:sz w:val="32"/>
        </w:rPr>
        <w:t>．社会保障和就业</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（类）行政事业单位</w:t>
      </w:r>
      <w:r>
        <w:rPr>
          <w:rFonts w:hint="eastAsia" w:ascii="仿宋_GB2312" w:hAnsi="仿宋_GB2312" w:eastAsia="仿宋_GB2312" w:cs="仿宋_GB2312"/>
          <w:b/>
          <w:sz w:val="32"/>
          <w:lang w:eastAsia="zh-CN"/>
        </w:rPr>
        <w:t>养老支出</w:t>
      </w:r>
      <w:r>
        <w:rPr>
          <w:rFonts w:hint="eastAsia" w:ascii="仿宋_GB2312" w:hAnsi="仿宋_GB2312" w:eastAsia="仿宋_GB2312" w:cs="仿宋_GB2312"/>
          <w:b/>
          <w:sz w:val="32"/>
        </w:rPr>
        <w:t>（款）行政单位离退休（项）。</w:t>
      </w:r>
      <w:r>
        <w:rPr>
          <w:rFonts w:hint="eastAsia" w:ascii="仿宋_GB2312" w:hAnsi="仿宋_GB2312" w:eastAsia="仿宋_GB2312" w:cs="仿宋_GB2312"/>
          <w:sz w:val="32"/>
        </w:rPr>
        <w:t>年初预算为1</w:t>
      </w:r>
      <w:r>
        <w:rPr>
          <w:rFonts w:hint="eastAsia" w:ascii="仿宋_GB2312" w:hAnsi="仿宋_GB2312" w:eastAsia="仿宋_GB2312" w:cs="仿宋_GB2312"/>
          <w:sz w:val="32"/>
          <w:lang w:val="en-US" w:eastAsia="zh-CN"/>
        </w:rPr>
        <w:t>47.69</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142.84</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96.72</w:t>
      </w:r>
      <w:r>
        <w:rPr>
          <w:rFonts w:hint="eastAsia" w:ascii="仿宋_GB2312" w:hAnsi="仿宋_GB2312" w:eastAsia="仿宋_GB2312" w:cs="仿宋_GB2312"/>
          <w:sz w:val="32"/>
        </w:rPr>
        <w:t>%。决算数与年初预算数存在差异的主要原因</w:t>
      </w:r>
      <w:r>
        <w:rPr>
          <w:rFonts w:hint="eastAsia" w:ascii="仿宋_GB2312" w:hAnsi="仿宋_GB2312" w:eastAsia="仿宋_GB2312" w:cs="仿宋_GB2312"/>
          <w:sz w:val="32"/>
          <w:lang w:eastAsia="zh-CN"/>
        </w:rPr>
        <w:t>是</w:t>
      </w:r>
      <w:r>
        <w:rPr>
          <w:rFonts w:hint="eastAsia" w:ascii="仿宋_GB2312" w:hAnsi="仿宋_GB2312" w:eastAsia="仿宋_GB2312" w:cs="仿宋_GB2312"/>
          <w:color w:val="auto"/>
          <w:sz w:val="32"/>
          <w:lang w:val="en-US" w:eastAsia="zh-CN"/>
        </w:rPr>
        <w:t>2021年度执行中统筹使用了以前年度结转资金</w:t>
      </w:r>
      <w:r>
        <w:rPr>
          <w:rFonts w:hint="eastAsia" w:ascii="仿宋_GB2312" w:hAnsi="仿宋_GB2312" w:eastAsia="仿宋_GB2312" w:cs="仿宋_GB2312"/>
          <w:sz w:val="32"/>
          <w:lang w:val="en-US" w:eastAsia="zh-CN"/>
        </w:rPr>
        <w:t>。</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7．社</w:t>
      </w:r>
      <w:r>
        <w:rPr>
          <w:rFonts w:hint="eastAsia" w:ascii="仿宋_GB2312" w:hAnsi="仿宋_GB2312" w:eastAsia="仿宋_GB2312" w:cs="仿宋_GB2312"/>
          <w:b/>
          <w:sz w:val="32"/>
        </w:rPr>
        <w:t>会保障和就业</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（类）行政事业单位</w:t>
      </w:r>
      <w:r>
        <w:rPr>
          <w:rFonts w:hint="eastAsia" w:ascii="仿宋_GB2312" w:hAnsi="仿宋_GB2312" w:eastAsia="仿宋_GB2312" w:cs="仿宋_GB2312"/>
          <w:b/>
          <w:sz w:val="32"/>
          <w:lang w:eastAsia="zh-CN"/>
        </w:rPr>
        <w:t>养老支出</w:t>
      </w:r>
      <w:r>
        <w:rPr>
          <w:rFonts w:hint="eastAsia" w:ascii="仿宋_GB2312" w:hAnsi="仿宋_GB2312" w:eastAsia="仿宋_GB2312" w:cs="仿宋_GB2312"/>
          <w:b/>
          <w:sz w:val="32"/>
        </w:rPr>
        <w:t>（款）机关事业单位基本养老保险缴费支出（项）。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45.69</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34.32</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75.11</w:t>
      </w:r>
      <w:r>
        <w:rPr>
          <w:rFonts w:hint="eastAsia" w:ascii="仿宋_GB2312" w:hAnsi="仿宋_GB2312" w:eastAsia="仿宋_GB2312" w:cs="仿宋_GB2312"/>
          <w:sz w:val="32"/>
        </w:rPr>
        <w:t>%。决算数与年初预算数存在差异的主要原因是人员增加</w:t>
      </w:r>
      <w:r>
        <w:rPr>
          <w:rFonts w:hint="eastAsia" w:ascii="仿宋_GB2312" w:hAnsi="仿宋_GB2312" w:eastAsia="仿宋_GB2312" w:cs="仿宋_GB2312"/>
          <w:sz w:val="32"/>
          <w:lang w:eastAsia="zh-CN"/>
        </w:rPr>
        <w:t>，统筹使用人员经费列支</w:t>
      </w:r>
      <w:r>
        <w:rPr>
          <w:rFonts w:hint="eastAsia" w:ascii="仿宋_GB2312" w:hAnsi="仿宋_GB2312" w:eastAsia="仿宋_GB2312" w:cs="仿宋_GB2312"/>
          <w:sz w:val="32"/>
        </w:rPr>
        <w:t>。</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8．</w:t>
      </w:r>
      <w:r>
        <w:rPr>
          <w:rFonts w:hint="eastAsia" w:ascii="仿宋_GB2312" w:hAnsi="仿宋_GB2312" w:eastAsia="仿宋_GB2312" w:cs="仿宋_GB2312"/>
          <w:b/>
          <w:sz w:val="32"/>
        </w:rPr>
        <w:t>社会保障和就业</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（类）抚恤（款）死亡抚恤（项）。</w:t>
      </w:r>
      <w:r>
        <w:rPr>
          <w:rFonts w:hint="eastAsia" w:ascii="仿宋_GB2312" w:hAnsi="仿宋_GB2312" w:eastAsia="仿宋_GB2312" w:cs="仿宋_GB2312"/>
          <w:sz w:val="32"/>
        </w:rPr>
        <w:t>年初预算为0</w:t>
      </w:r>
      <w:r>
        <w:rPr>
          <w:rFonts w:hint="eastAsia" w:ascii="仿宋_GB2312" w:hAnsi="仿宋_GB2312" w:eastAsia="仿宋_GB2312" w:cs="仿宋_GB2312"/>
          <w:sz w:val="32"/>
          <w:lang w:val="en-US" w:eastAsia="zh-CN"/>
        </w:rPr>
        <w:t>.00</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18.47</w:t>
      </w:r>
      <w:r>
        <w:rPr>
          <w:rFonts w:hint="eastAsia" w:ascii="仿宋_GB2312" w:hAnsi="仿宋_GB2312" w:eastAsia="仿宋_GB2312" w:cs="仿宋_GB2312"/>
          <w:sz w:val="32"/>
        </w:rPr>
        <w:t>万元。决算数与年初预算数存在差异的主要原因是增加死亡抚恤金支出。</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9．</w:t>
      </w:r>
      <w:r>
        <w:rPr>
          <w:rFonts w:hint="eastAsia" w:ascii="仿宋_GB2312" w:hAnsi="仿宋_GB2312" w:eastAsia="仿宋_GB2312" w:cs="仿宋_GB2312"/>
          <w:b/>
          <w:sz w:val="32"/>
        </w:rPr>
        <w:t>卫生健康</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（类）行政事业单位医疗</w:t>
      </w:r>
      <w:r>
        <w:rPr>
          <w:rFonts w:hint="eastAsia" w:ascii="仿宋_GB2312" w:hAnsi="仿宋_GB2312" w:eastAsia="仿宋_GB2312" w:cs="仿宋_GB2312"/>
          <w:b/>
          <w:sz w:val="32"/>
          <w:lang w:eastAsia="zh-CN"/>
        </w:rPr>
        <w:t>（</w:t>
      </w:r>
      <w:r>
        <w:rPr>
          <w:rFonts w:hint="eastAsia" w:ascii="仿宋_GB2312" w:hAnsi="仿宋_GB2312" w:eastAsia="仿宋_GB2312" w:cs="仿宋_GB2312"/>
          <w:b/>
          <w:sz w:val="32"/>
        </w:rPr>
        <w:t>款）行政单位医疗（项）。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24.21</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18.62</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76.91</w:t>
      </w:r>
      <w:r>
        <w:rPr>
          <w:rFonts w:hint="eastAsia" w:ascii="仿宋_GB2312" w:hAnsi="仿宋_GB2312" w:eastAsia="仿宋_GB2312" w:cs="仿宋_GB2312"/>
          <w:sz w:val="32"/>
        </w:rPr>
        <w:t>%。决算数与年初预算数存在差异的主要原因是人员增加</w:t>
      </w:r>
      <w:r>
        <w:rPr>
          <w:rFonts w:hint="eastAsia" w:ascii="仿宋_GB2312" w:hAnsi="仿宋_GB2312" w:eastAsia="仿宋_GB2312" w:cs="仿宋_GB2312"/>
          <w:sz w:val="32"/>
          <w:lang w:eastAsia="zh-CN"/>
        </w:rPr>
        <w:t>，统筹使用人员经费列支</w:t>
      </w:r>
      <w:r>
        <w:rPr>
          <w:rFonts w:hint="eastAsia" w:ascii="仿宋_GB2312" w:hAnsi="仿宋_GB2312" w:eastAsia="仿宋_GB2312" w:cs="仿宋_GB2312"/>
          <w:sz w:val="32"/>
        </w:rPr>
        <w:t>。</w:t>
      </w:r>
    </w:p>
    <w:p>
      <w:pPr>
        <w:widowControl/>
        <w:spacing w:line="59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10</w:t>
      </w:r>
      <w:r>
        <w:rPr>
          <w:rFonts w:hint="eastAsia" w:ascii="仿宋_GB2312" w:hAnsi="仿宋_GB2312" w:eastAsia="仿宋_GB2312" w:cs="仿宋_GB2312"/>
          <w:b/>
          <w:sz w:val="32"/>
        </w:rPr>
        <w:t>．卫生健康</w:t>
      </w:r>
      <w:r>
        <w:rPr>
          <w:rFonts w:hint="eastAsia" w:ascii="仿宋_GB2312" w:hAnsi="仿宋_GB2312" w:eastAsia="仿宋_GB2312" w:cs="仿宋_GB2312"/>
          <w:b/>
          <w:sz w:val="32"/>
          <w:lang w:eastAsia="zh-CN"/>
        </w:rPr>
        <w:t>支出（</w:t>
      </w:r>
      <w:r>
        <w:rPr>
          <w:rFonts w:hint="eastAsia" w:ascii="仿宋_GB2312" w:hAnsi="仿宋_GB2312" w:eastAsia="仿宋_GB2312" w:cs="仿宋_GB2312"/>
          <w:b/>
          <w:sz w:val="32"/>
        </w:rPr>
        <w:t>类）行政事业单位医疗（款）公务员医疗补助（项）。</w:t>
      </w:r>
      <w:r>
        <w:rPr>
          <w:rFonts w:hint="eastAsia" w:ascii="仿宋_GB2312" w:hAnsi="仿宋_GB2312" w:eastAsia="仿宋_GB2312" w:cs="仿宋_GB2312"/>
          <w:sz w:val="32"/>
        </w:rPr>
        <w:t>年初预算为2</w:t>
      </w:r>
      <w:r>
        <w:rPr>
          <w:rFonts w:hint="eastAsia" w:ascii="仿宋_GB2312" w:hAnsi="仿宋_GB2312" w:eastAsia="仿宋_GB2312" w:cs="仿宋_GB2312"/>
          <w:sz w:val="32"/>
          <w:lang w:val="en-US" w:eastAsia="zh-CN"/>
        </w:rPr>
        <w:t>3.06</w:t>
      </w:r>
      <w:r>
        <w:rPr>
          <w:rFonts w:hint="eastAsia" w:ascii="仿宋_GB2312" w:hAnsi="仿宋_GB2312" w:eastAsia="仿宋_GB2312" w:cs="仿宋_GB2312"/>
          <w:sz w:val="32"/>
        </w:rPr>
        <w:t>万元，支出决算为2</w:t>
      </w:r>
      <w:r>
        <w:rPr>
          <w:rFonts w:hint="eastAsia" w:ascii="仿宋_GB2312" w:hAnsi="仿宋_GB2312" w:eastAsia="仿宋_GB2312" w:cs="仿宋_GB2312"/>
          <w:sz w:val="32"/>
          <w:lang w:val="en-US" w:eastAsia="zh-CN"/>
        </w:rPr>
        <w:t>1.95</w:t>
      </w:r>
      <w:r>
        <w:rPr>
          <w:rFonts w:hint="eastAsia" w:ascii="仿宋_GB2312" w:hAnsi="仿宋_GB2312" w:eastAsia="仿宋_GB2312" w:cs="仿宋_GB2312"/>
          <w:sz w:val="32"/>
        </w:rPr>
        <w:t>万元，完成年初预算的</w:t>
      </w:r>
      <w:r>
        <w:rPr>
          <w:rFonts w:hint="eastAsia" w:ascii="仿宋_GB2312" w:hAnsi="仿宋_GB2312" w:eastAsia="仿宋_GB2312" w:cs="仿宋_GB2312"/>
          <w:sz w:val="32"/>
          <w:lang w:val="en-US" w:eastAsia="zh-CN"/>
        </w:rPr>
        <w:t>95.19</w:t>
      </w:r>
      <w:r>
        <w:rPr>
          <w:rFonts w:hint="eastAsia" w:ascii="仿宋_GB2312" w:hAnsi="仿宋_GB2312" w:eastAsia="仿宋_GB2312" w:cs="仿宋_GB2312"/>
          <w:sz w:val="32"/>
        </w:rPr>
        <w:t>%。决算数与年初预算数存在差异的主要原因是人员增加</w:t>
      </w:r>
      <w:r>
        <w:rPr>
          <w:rFonts w:hint="eastAsia" w:ascii="仿宋_GB2312" w:hAnsi="仿宋_GB2312" w:eastAsia="仿宋_GB2312" w:cs="仿宋_GB2312"/>
          <w:sz w:val="32"/>
          <w:lang w:eastAsia="zh-CN"/>
        </w:rPr>
        <w:t>，统筹使用人员经费列支</w:t>
      </w:r>
      <w:r>
        <w:rPr>
          <w:rFonts w:hint="eastAsia" w:ascii="仿宋_GB2312" w:hAnsi="仿宋_GB2312" w:eastAsia="仿宋_GB2312" w:cs="仿宋_GB2312"/>
          <w:sz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default" w:ascii="仿宋_GB2312" w:hAnsi="仿宋_GB2312" w:eastAsia="仿宋_GB2312" w:cs="仿宋_GB2312"/>
          <w:sz w:val="28"/>
          <w:szCs w:val="28"/>
          <w:highlight w:val="yellow"/>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1209.90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1044.65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奖金、机关事业</w:t>
      </w:r>
      <w:r>
        <w:rPr>
          <w:rFonts w:hint="eastAsia" w:ascii="仿宋_GB2312" w:hAnsi="仿宋_GB2312" w:eastAsia="仿宋_GB2312" w:cs="仿宋_GB2312"/>
          <w:sz w:val="32"/>
          <w:szCs w:val="32"/>
          <w:highlight w:val="none"/>
        </w:rPr>
        <w:t>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lang w:val="en-US" w:eastAsia="zh-CN"/>
        </w:rPr>
        <w:t xml:space="preserve"> 公务员医疗补助缴费、</w:t>
      </w:r>
      <w:r>
        <w:rPr>
          <w:rFonts w:hint="eastAsia" w:ascii="仿宋_GB2312" w:hAnsi="仿宋_GB2312" w:eastAsia="仿宋_GB2312" w:cs="仿宋_GB2312"/>
          <w:sz w:val="32"/>
          <w:szCs w:val="32"/>
          <w:highlight w:val="none"/>
        </w:rPr>
        <w:t>其他社会保障缴费、住房公积金、退休费、抚恤金、生活补助；公用经费</w:t>
      </w:r>
      <w:r>
        <w:rPr>
          <w:rFonts w:hint="eastAsia" w:ascii="仿宋_GB2312" w:hAnsi="仿宋_GB2312" w:eastAsia="仿宋_GB2312" w:cs="仿宋_GB2312"/>
          <w:sz w:val="32"/>
          <w:szCs w:val="32"/>
          <w:highlight w:val="none"/>
          <w:lang w:val="en-US" w:eastAsia="zh-CN"/>
        </w:rPr>
        <w:t>165.25</w:t>
      </w:r>
      <w:r>
        <w:rPr>
          <w:rFonts w:hint="eastAsia" w:ascii="仿宋_GB2312" w:hAnsi="仿宋_GB2312" w:eastAsia="仿宋_GB2312" w:cs="仿宋_GB2312"/>
          <w:sz w:val="32"/>
          <w:szCs w:val="32"/>
          <w:highlight w:val="none"/>
        </w:rPr>
        <w:t>万元，主要包括：办公费、水费、电费、邮电费、物业管理费、差旅费、维修（护）费、会议费、培训费、公务接待费、</w:t>
      </w:r>
      <w:r>
        <w:rPr>
          <w:rFonts w:hint="eastAsia" w:ascii="仿宋_GB2312" w:hAnsi="仿宋_GB2312" w:eastAsia="仿宋_GB2312" w:cs="仿宋_GB2312"/>
          <w:sz w:val="32"/>
          <w:szCs w:val="32"/>
          <w:highlight w:val="none"/>
          <w:lang w:eastAsia="zh-CN"/>
        </w:rPr>
        <w:t>劳务费、</w:t>
      </w:r>
      <w:r>
        <w:rPr>
          <w:rFonts w:hint="eastAsia" w:ascii="仿宋_GB2312" w:hAnsi="仿宋_GB2312" w:eastAsia="仿宋_GB2312" w:cs="仿宋_GB2312"/>
          <w:sz w:val="32"/>
          <w:szCs w:val="32"/>
          <w:highlight w:val="none"/>
        </w:rPr>
        <w:t>工会经费、福利费、公务用车运行维护费、其他交通费用、其他商品和服务支出、专用设备购置。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37.83</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w:t>
      </w:r>
      <w:r>
        <w:rPr>
          <w:rFonts w:hint="eastAsia" w:ascii="仿宋_GB2312" w:hAnsi="仿宋_GB2312" w:eastAsia="仿宋_GB2312" w:cs="仿宋_GB2312"/>
          <w:sz w:val="32"/>
          <w:szCs w:val="32"/>
        </w:rPr>
        <w:t>是</w:t>
      </w:r>
      <w:r>
        <w:rPr>
          <w:rFonts w:hint="eastAsia" w:ascii="仿宋_GB2312" w:hAnsi="仿宋_GB2312" w:eastAsia="仿宋_GB2312"/>
          <w:sz w:val="32"/>
        </w:rPr>
        <w:t>认真贯彻执行党中央、国务院厉行节约精神，采取有效措施严格控制和压缩“三公”经费支出。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46.25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81.50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18.50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2021年度“三公”经费支出决算数与预算数不存在差异。全年</w:t>
      </w:r>
      <w:r>
        <w:rPr>
          <w:rFonts w:hint="eastAsia" w:ascii="仿宋_GB2312" w:hAnsi="仿宋_GB2312" w:eastAsia="仿宋_GB2312" w:cs="仿宋_GB2312"/>
          <w:sz w:val="32"/>
          <w:szCs w:val="32"/>
          <w:highlight w:val="none"/>
        </w:rPr>
        <w:t>因公出国（境）团组0个，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rPr>
        <w:t>0人</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完成预算的46.25%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sz w:val="32"/>
        </w:rPr>
        <w:t>认真贯彻执行党中央、国务院厉行节约精神，进一步严格控制和压缩公务用车运行费支出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万元。主要用</w:t>
      </w:r>
      <w:r>
        <w:rPr>
          <w:rFonts w:hint="eastAsia" w:ascii="仿宋_GB2312" w:hAnsi="仿宋_GB2312" w:eastAsia="仿宋_GB2312" w:cs="仿宋_GB2312"/>
          <w:sz w:val="32"/>
          <w:szCs w:val="32"/>
        </w:rPr>
        <w:t>于</w:t>
      </w:r>
      <w:r>
        <w:rPr>
          <w:rFonts w:hint="eastAsia" w:ascii="仿宋_GB2312" w:hAnsi="仿宋_GB2312" w:eastAsia="仿宋_GB2312"/>
          <w:sz w:val="32"/>
        </w:rPr>
        <w:t>局机关机要文件交换、日常办公所需公务用车的燃料费、过桥过路费、维修费、保险费等支出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21.00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sz w:val="32"/>
        </w:rPr>
        <w:t>认真贯彻执行党中央、国务院厉行节约精神，进一步严格控制和压缩公务用车运行费支出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sz w:val="32"/>
        </w:rPr>
        <w:t>跨区域审计、有关部门和单位学习交流、交换审计意见等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163.56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165.25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统筹使用上年结转资金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pStyle w:val="9"/>
        <w:widowControl/>
        <w:wordWrap/>
        <w:autoSpaceDN w:val="0"/>
        <w:adjustRightInd/>
        <w:snapToGrid/>
        <w:spacing w:line="590" w:lineRule="exact"/>
        <w:ind w:firstLine="640"/>
        <w:textAlignment w:val="auto"/>
        <w:rPr>
          <w:rFonts w:hint="eastAsia" w:ascii="仿宋_GB2312" w:eastAsia="仿宋_GB2312"/>
          <w:sz w:val="32"/>
          <w:szCs w:val="32"/>
        </w:rPr>
      </w:pPr>
      <w:r>
        <w:rPr>
          <w:rFonts w:hint="eastAsia" w:ascii="仿宋_GB2312" w:eastAsia="仿宋_GB2312"/>
          <w:sz w:val="32"/>
          <w:szCs w:val="32"/>
          <w:highlight w:val="none"/>
        </w:rPr>
        <w:t>我</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按照《中共许昌市委 许昌市人民政府关于全面实施预算绩效管理的实施意见》（许发〔2021〕13号）文件要求，对本</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整</w:t>
      </w:r>
      <w:r>
        <w:rPr>
          <w:rFonts w:hint="eastAsia" w:ascii="仿宋_GB2312" w:eastAsia="仿宋_GB2312"/>
          <w:sz w:val="32"/>
          <w:szCs w:val="32"/>
        </w:rPr>
        <w:t>体支出和项目支出开展全过程预算绩效管理。</w:t>
      </w:r>
    </w:p>
    <w:p>
      <w:pPr>
        <w:widowControl/>
        <w:wordWrap/>
        <w:adjustRightInd/>
        <w:snapToGrid/>
        <w:spacing w:line="590" w:lineRule="exact"/>
        <w:ind w:firstLine="640" w:firstLineChars="200"/>
        <w:textAlignment w:val="auto"/>
        <w:rPr>
          <w:rFonts w:hint="default" w:ascii="仿宋_GB2312" w:hAnsi="仿宋_GB2312" w:eastAsia="仿宋_GB2312"/>
          <w:sz w:val="32"/>
          <w:highlight w:val="none"/>
        </w:rPr>
      </w:pPr>
      <w:r>
        <w:rPr>
          <w:rFonts w:hint="eastAsia" w:ascii="仿宋_GB2312" w:hAnsi="仿宋_GB2312" w:eastAsia="仿宋_GB2312" w:cs="仿宋_GB2312"/>
          <w:color w:val="auto"/>
          <w:sz w:val="32"/>
          <w:szCs w:val="32"/>
          <w:highlight w:val="none"/>
          <w:lang w:val="en-US" w:eastAsia="zh-CN"/>
        </w:rPr>
        <w:t>绩效管理开展的主要工作一是认真学习审计署和市委、市政府关于审计工作的决策部署及工作要求，参考上年项目绩效目标设置完成情况，合理设定2021年度绩效目标，保证绩效目标在合理水平。二是结合我局审计项目计划及审计计划执行情况，对我局审计计划完成情况进行了调查了解，做好绩效监控工作。三是审计项目计划执行完毕后，根据绩效目标对项目开展情况进行总结，分析研究存在的问题和不足，进一步规规范和提高绩效管理工作。本单位整体支出和项目支出开展全过程预算绩效管理。</w:t>
      </w:r>
      <w:r>
        <w:rPr>
          <w:rFonts w:hint="eastAsia" w:ascii="仿宋_GB2312" w:hAnsi="仿宋_GB2312" w:eastAsia="仿宋_GB2312"/>
          <w:sz w:val="32"/>
          <w:highlight w:val="none"/>
        </w:rPr>
        <w:t>从评价情况来看，项目立项符合</w:t>
      </w:r>
      <w:r>
        <w:rPr>
          <w:rFonts w:hint="eastAsia" w:ascii="仿宋_GB2312" w:hAnsi="仿宋_GB2312" w:eastAsia="仿宋_GB2312"/>
          <w:sz w:val="32"/>
          <w:highlight w:val="none"/>
          <w:lang w:eastAsia="zh-CN"/>
        </w:rPr>
        <w:t>单位</w:t>
      </w:r>
      <w:r>
        <w:rPr>
          <w:rFonts w:hint="eastAsia" w:ascii="仿宋_GB2312" w:hAnsi="仿宋_GB2312" w:eastAsia="仿宋_GB2312"/>
          <w:sz w:val="32"/>
          <w:highlight w:val="none"/>
        </w:rPr>
        <w:t>职责和相关管理规定，绩效目标设置合理，严格按各项管理制度执行，年初设定的各项工作目标完成情况较好。通过项目实施，审计工作取得较好的绩效。</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widowControl/>
        <w:wordWrap/>
        <w:adjustRightInd/>
        <w:snapToGrid/>
        <w:spacing w:line="590" w:lineRule="exact"/>
        <w:ind w:right="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w:t>
      </w:r>
      <w:r>
        <w:rPr>
          <w:rFonts w:hint="eastAsia" w:ascii="仿宋_GB2312" w:eastAsia="仿宋_GB2312"/>
          <w:sz w:val="32"/>
          <w:szCs w:val="32"/>
          <w:highlight w:val="none"/>
        </w:rPr>
        <w:t>一是</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整体绩效自评</w:t>
      </w:r>
      <w:r>
        <w:rPr>
          <w:rFonts w:hint="eastAsia" w:ascii="仿宋_GB2312" w:eastAsia="仿宋_GB2312"/>
          <w:sz w:val="32"/>
          <w:szCs w:val="32"/>
        </w:rPr>
        <w:t>工作已完成，</w:t>
      </w:r>
      <w:r>
        <w:rPr>
          <w:rFonts w:hint="eastAsia" w:ascii="仿宋" w:hAnsi="仿宋" w:eastAsia="仿宋"/>
          <w:sz w:val="32"/>
          <w:szCs w:val="32"/>
        </w:rPr>
        <w:t>各项指标基本达到了预期绩效目标</w:t>
      </w:r>
      <w:r>
        <w:rPr>
          <w:rFonts w:hint="eastAsia" w:ascii="仿宋_GB2312" w:eastAsia="仿宋_GB2312"/>
          <w:sz w:val="32"/>
          <w:szCs w:val="32"/>
        </w:rPr>
        <w:t>，整体绩效自评结果评定等级为“优”。二是项目绩效自评情况。我</w:t>
      </w:r>
      <w:r>
        <w:rPr>
          <w:rFonts w:hint="eastAsia" w:ascii="仿宋_GB2312" w:eastAsia="仿宋_GB2312"/>
          <w:sz w:val="32"/>
          <w:szCs w:val="32"/>
          <w:lang w:eastAsia="zh-CN"/>
        </w:rPr>
        <w:t>单位</w:t>
      </w:r>
      <w:r>
        <w:rPr>
          <w:rFonts w:hint="eastAsia" w:ascii="仿宋_GB2312" w:eastAsia="仿宋_GB2312"/>
          <w:sz w:val="32"/>
          <w:szCs w:val="32"/>
        </w:rPr>
        <w:t>共有</w:t>
      </w:r>
      <w:r>
        <w:rPr>
          <w:rFonts w:hint="eastAsia" w:ascii="仿宋_GB2312" w:eastAsia="仿宋_GB2312"/>
          <w:sz w:val="32"/>
          <w:szCs w:val="32"/>
          <w:lang w:val="en-US" w:eastAsia="zh-CN"/>
        </w:rPr>
        <w:t>1</w:t>
      </w:r>
      <w:r>
        <w:rPr>
          <w:rFonts w:hint="eastAsia" w:ascii="仿宋_GB2312" w:eastAsia="仿宋_GB2312"/>
          <w:sz w:val="32"/>
          <w:szCs w:val="32"/>
        </w:rPr>
        <w:t>个项目批复了绩效目标</w:t>
      </w:r>
      <w:r>
        <w:rPr>
          <w:rFonts w:hint="eastAsia" w:ascii="仿宋_GB2312" w:eastAsia="仿宋_GB2312"/>
          <w:sz w:val="32"/>
          <w:szCs w:val="32"/>
          <w:lang w:eastAsia="zh-CN"/>
        </w:rPr>
        <w:t>，项目金额</w:t>
      </w:r>
      <w:r>
        <w:rPr>
          <w:rFonts w:hint="eastAsia" w:ascii="仿宋_GB2312" w:eastAsia="仿宋_GB2312"/>
          <w:sz w:val="32"/>
          <w:szCs w:val="32"/>
          <w:highlight w:val="none"/>
          <w:lang w:val="en-US" w:eastAsia="zh-CN"/>
        </w:rPr>
        <w:t>35.33万元</w:t>
      </w:r>
      <w:r>
        <w:rPr>
          <w:rFonts w:hint="eastAsia" w:ascii="仿宋_GB2312" w:eastAsia="仿宋_GB2312"/>
          <w:sz w:val="32"/>
          <w:szCs w:val="32"/>
        </w:rPr>
        <w:t>。</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32"/>
          <w:szCs w:val="32"/>
        </w:rPr>
        <w:t>基于项目预期目标的实现程度，对2021年度项目支出绩效进行自评</w:t>
      </w:r>
      <w:r>
        <w:rPr>
          <w:rFonts w:hint="eastAsia" w:ascii="仿宋_GB2312" w:hAnsi="仿宋_GB2312" w:eastAsia="仿宋_GB2312" w:cs="仿宋_GB2312"/>
          <w:color w:val="auto"/>
          <w:sz w:val="32"/>
          <w:szCs w:val="32"/>
          <w:highlight w:val="none"/>
          <w:lang w:val="en-US" w:eastAsia="zh-CN"/>
        </w:rPr>
        <w:t>，绩效自评平均得分为99.20分。其中：1个项目评价等级为“优”、0个项目评价等级为“良”、0个项目评价等级为“中”、0个项目评价等级为“差”。</w:t>
      </w:r>
    </w:p>
    <w:p>
      <w:pPr>
        <w:pStyle w:val="9"/>
        <w:widowControl/>
        <w:wordWrap/>
        <w:autoSpaceDN w:val="0"/>
        <w:adjustRightInd/>
        <w:snapToGrid/>
        <w:spacing w:line="590" w:lineRule="exact"/>
        <w:ind w:firstLine="640"/>
        <w:textAlignment w:val="auto"/>
        <w:rPr>
          <w:rFonts w:hint="eastAsia" w:ascii="楷体_GB2312" w:hAnsi="楷体_GB2312"/>
          <w:b/>
          <w:bCs/>
          <w:sz w:val="32"/>
          <w:szCs w:val="32"/>
        </w:rPr>
      </w:pPr>
      <w:r>
        <w:rPr>
          <w:rFonts w:ascii="楷体_GB2312" w:hAnsi="楷体_GB2312"/>
          <w:b/>
          <w:bCs/>
          <w:sz w:val="32"/>
          <w:szCs w:val="32"/>
        </w:rPr>
        <w:t>（三）重点绩效评价结果。</w:t>
      </w:r>
    </w:p>
    <w:p>
      <w:pPr>
        <w:pStyle w:val="9"/>
        <w:widowControl/>
        <w:wordWrap/>
        <w:autoSpaceDN w:val="0"/>
        <w:adjustRightInd/>
        <w:snapToGrid/>
        <w:spacing w:line="590" w:lineRule="exact"/>
        <w:ind w:firstLine="640"/>
        <w:textAlignment w:val="auto"/>
        <w:rPr>
          <w:rFonts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eastAsia="zh-CN"/>
        </w:rPr>
        <w:t>单位</w:t>
      </w:r>
      <w:r>
        <w:rPr>
          <w:rFonts w:hint="eastAsia" w:ascii="仿宋_GB2312" w:eastAsia="仿宋_GB2312"/>
          <w:sz w:val="32"/>
          <w:szCs w:val="32"/>
        </w:rPr>
        <w:t>没有开展重点绩效评价的项目。</w:t>
      </w:r>
    </w:p>
    <w:p>
      <w:pPr>
        <w:rPr>
          <w:rFonts w:hint="eastAsia"/>
        </w:rPr>
      </w:pP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00000"/>
    <w:rsid w:val="054A784B"/>
    <w:rsid w:val="05C80770"/>
    <w:rsid w:val="189F35B2"/>
    <w:rsid w:val="26306192"/>
    <w:rsid w:val="2A4F742D"/>
    <w:rsid w:val="2C062AB7"/>
    <w:rsid w:val="31720ADD"/>
    <w:rsid w:val="41B415CD"/>
    <w:rsid w:val="7F5FD3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paragraph" w:customStyle="1" w:styleId="9">
    <w:name w:val="p0"/>
    <w:basedOn w:val="1"/>
    <w:qFormat/>
    <w:uiPriority w:val="0"/>
    <w:pPr>
      <w:widowControl/>
    </w:pPr>
    <w:rPr>
      <w:kern w:val="0"/>
      <w:szCs w:val="21"/>
    </w:rPr>
  </w:style>
  <w:style w:type="character" w:customStyle="1" w:styleId="10">
    <w:name w:val="批注框文本 Char Char Char"/>
    <w:link w:val="2"/>
    <w:qFormat/>
    <w:uiPriority w:val="99"/>
    <w:rPr>
      <w:kern w:val="2"/>
      <w:sz w:val="18"/>
      <w:szCs w:val="18"/>
    </w:rPr>
  </w:style>
  <w:style w:type="character" w:customStyle="1" w:styleId="11">
    <w:name w:val="页脚 Char Char Char"/>
    <w:link w:val="3"/>
    <w:qFormat/>
    <w:uiPriority w:val="99"/>
    <w:rPr>
      <w:kern w:val="2"/>
      <w:sz w:val="18"/>
      <w:szCs w:val="18"/>
    </w:rPr>
  </w:style>
  <w:style w:type="character" w:customStyle="1" w:styleId="12">
    <w:name w:val="页眉 Char Char Char"/>
    <w:link w:val="4"/>
    <w:qFormat/>
    <w:uiPriority w:val="99"/>
    <w:rPr>
      <w:kern w:val="2"/>
      <w:sz w:val="18"/>
      <w:szCs w:val="18"/>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8637</Words>
  <Characters>10826</Characters>
  <Lines>60</Lines>
  <Paragraphs>16</Paragraphs>
  <TotalTime>4</TotalTime>
  <ScaleCrop>false</ScaleCrop>
  <LinksUpToDate>false</LinksUpToDate>
  <CharactersWithSpaces>11070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2022-09-13T11:22:00Z</cp:lastPrinted>
  <dcterms:modified xsi:type="dcterms:W3CDTF">2023-05-15T03:16:04Z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A15914DCEB6240319BE75001726D20FA</vt:lpwstr>
  </property>
</Properties>
</file>