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center"/>
        <w:rPr>
          <w:rFonts w:hint="eastAsia" w:ascii="黑体" w:hAnsi="黑体" w:eastAsia="黑体" w:cs="黑体"/>
          <w:sz w:val="52"/>
          <w:szCs w:val="52"/>
          <w:highlight w:val="none"/>
        </w:rPr>
      </w:pPr>
      <w:r>
        <w:rPr>
          <w:rFonts w:hint="eastAsia" w:ascii="黑体" w:hAnsi="黑体" w:eastAsia="黑体" w:cs="黑体"/>
          <w:sz w:val="52"/>
          <w:szCs w:val="52"/>
          <w:highlight w:val="none"/>
        </w:rPr>
        <w:t>20</w:t>
      </w:r>
      <w:r>
        <w:rPr>
          <w:rFonts w:ascii="黑体" w:hAnsi="黑体" w:eastAsia="黑体" w:cs="黑体"/>
          <w:sz w:val="52"/>
          <w:szCs w:val="52"/>
          <w:highlight w:val="none"/>
        </w:rPr>
        <w:t>21</w:t>
      </w:r>
      <w:r>
        <w:rPr>
          <w:rFonts w:hint="eastAsia" w:ascii="黑体" w:hAnsi="黑体" w:eastAsia="黑体" w:cs="黑体"/>
          <w:sz w:val="52"/>
          <w:szCs w:val="52"/>
          <w:highlight w:val="none"/>
        </w:rPr>
        <w:t>年度</w:t>
      </w:r>
    </w:p>
    <w:p>
      <w:pPr>
        <w:jc w:val="center"/>
        <w:rPr>
          <w:rFonts w:hint="eastAsia" w:ascii="黑体" w:hAnsi="黑体" w:eastAsia="黑体" w:cs="黑体"/>
          <w:sz w:val="52"/>
          <w:szCs w:val="52"/>
          <w:highlight w:val="none"/>
        </w:rPr>
      </w:pPr>
      <w:r>
        <w:rPr>
          <w:rFonts w:hint="eastAsia" w:ascii="黑体" w:hAnsi="黑体" w:eastAsia="黑体" w:cs="黑体"/>
          <w:color w:val="auto"/>
          <w:sz w:val="52"/>
          <w:szCs w:val="52"/>
          <w:highlight w:val="none"/>
          <w:lang w:val="en-US" w:eastAsia="zh-CN"/>
        </w:rPr>
        <w:t>许昌市国有土地管理一所单位</w:t>
      </w:r>
      <w:r>
        <w:rPr>
          <w:rFonts w:hint="eastAsia" w:ascii="黑体" w:hAnsi="黑体" w:eastAsia="黑体" w:cs="黑体"/>
          <w:sz w:val="52"/>
          <w:szCs w:val="52"/>
          <w:highlight w:val="none"/>
        </w:rPr>
        <w:t>决算</w:t>
      </w:r>
    </w:p>
    <w:p>
      <w:pPr>
        <w:jc w:val="center"/>
        <w:rPr>
          <w:rFonts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32"/>
          <w:szCs w:val="32"/>
          <w:highlight w:val="none"/>
        </w:rPr>
        <w:sectPr>
          <w:pgSz w:w="11906" w:h="16838"/>
          <w:pgMar w:top="1440" w:right="1531" w:bottom="1440" w:left="1587" w:header="850" w:footer="992" w:gutter="0"/>
          <w:pgNumType w:fmt="numberInDash"/>
          <w:cols w:space="720" w:num="1"/>
          <w:docGrid w:type="lines" w:linePitch="317" w:charSpace="0"/>
        </w:sectPr>
      </w:pPr>
      <w:r>
        <w:rPr>
          <w:rFonts w:hint="eastAsia" w:ascii="黑体" w:hAnsi="黑体" w:eastAsia="黑体" w:cs="黑体"/>
          <w:sz w:val="32"/>
          <w:szCs w:val="32"/>
          <w:highlight w:val="none"/>
        </w:rPr>
        <w:t>二〇二二年</w:t>
      </w:r>
      <w:r>
        <w:rPr>
          <w:rFonts w:hint="eastAsia" w:ascii="黑体" w:hAnsi="黑体" w:eastAsia="黑体" w:cs="黑体"/>
          <w:sz w:val="32"/>
          <w:szCs w:val="32"/>
          <w:highlight w:val="none"/>
          <w:lang w:eastAsia="zh-CN"/>
        </w:rPr>
        <w:t>九</w:t>
      </w:r>
      <w:r>
        <w:rPr>
          <w:rFonts w:hint="eastAsia" w:ascii="黑体" w:hAnsi="黑体" w:eastAsia="黑体" w:cs="黑体"/>
          <w:sz w:val="32"/>
          <w:szCs w:val="32"/>
          <w:highlight w:val="none"/>
        </w:rPr>
        <w:t>月</w:t>
      </w:r>
    </w:p>
    <w:p>
      <w:pPr>
        <w:jc w:val="center"/>
        <w:rPr>
          <w:rFonts w:ascii="黑体" w:hAnsi="黑体" w:eastAsia="黑体" w:cs="黑体"/>
          <w:sz w:val="36"/>
          <w:szCs w:val="36"/>
          <w:highlight w:val="none"/>
        </w:rPr>
      </w:pPr>
      <w:r>
        <w:rPr>
          <w:rFonts w:hint="eastAsia" w:ascii="黑体" w:hAnsi="黑体" w:eastAsia="黑体" w:cs="黑体"/>
          <w:sz w:val="36"/>
          <w:szCs w:val="36"/>
          <w:highlight w:val="none"/>
        </w:rPr>
        <w:t>目　　录</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第一部分　</w:t>
      </w:r>
      <w:r>
        <w:rPr>
          <w:rFonts w:hint="eastAsia" w:ascii="黑体" w:hAnsi="黑体" w:eastAsia="黑体" w:cs="黑体"/>
          <w:color w:val="auto"/>
          <w:sz w:val="32"/>
          <w:szCs w:val="32"/>
          <w:highlight w:val="none"/>
          <w:lang w:val="en-US" w:eastAsia="zh-CN"/>
        </w:rPr>
        <w:t>许昌市国有土地管理一所</w:t>
      </w:r>
      <w:r>
        <w:rPr>
          <w:rFonts w:hint="eastAsia" w:ascii="黑体" w:hAnsi="黑体" w:eastAsia="黑体" w:cs="黑体"/>
          <w:sz w:val="32"/>
          <w:szCs w:val="32"/>
          <w:highlight w:val="none"/>
        </w:rPr>
        <w:t>概况</w:t>
      </w:r>
    </w:p>
    <w:p>
      <w:pPr>
        <w:numPr>
          <w:ilvl w:val="0"/>
          <w:numId w:val="1"/>
        </w:numPr>
        <w:ind w:firstLine="640" w:firstLineChars="200"/>
        <w:jc w:val="left"/>
        <w:rPr>
          <w:rFonts w:ascii="宋体" w:hAnsi="宋体" w:cs="宋体"/>
          <w:sz w:val="32"/>
          <w:szCs w:val="32"/>
          <w:highlight w:val="none"/>
        </w:rPr>
      </w:pPr>
      <w:r>
        <w:rPr>
          <w:rFonts w:hint="eastAsia" w:ascii="宋体" w:hAnsi="宋体" w:cs="宋体"/>
          <w:sz w:val="32"/>
          <w:szCs w:val="32"/>
          <w:highlight w:val="none"/>
          <w:lang w:val="en-US" w:eastAsia="zh-CN"/>
        </w:rPr>
        <w:t>单位</w:t>
      </w:r>
      <w:r>
        <w:rPr>
          <w:rFonts w:hint="eastAsia" w:ascii="宋体" w:hAnsi="宋体" w:cs="宋体"/>
          <w:sz w:val="32"/>
          <w:szCs w:val="32"/>
          <w:highlight w:val="none"/>
        </w:rPr>
        <w:t>职责</w:t>
      </w:r>
    </w:p>
    <w:p>
      <w:pPr>
        <w:numPr>
          <w:ilvl w:val="0"/>
          <w:numId w:val="1"/>
        </w:numPr>
        <w:ind w:firstLine="640" w:firstLineChars="200"/>
        <w:jc w:val="left"/>
        <w:rPr>
          <w:rFonts w:ascii="宋体" w:hAnsi="宋体" w:cs="宋体"/>
          <w:sz w:val="32"/>
          <w:szCs w:val="32"/>
          <w:highlight w:val="none"/>
        </w:rPr>
      </w:pPr>
      <w:r>
        <w:rPr>
          <w:rFonts w:hint="eastAsia" w:ascii="宋体" w:hAnsi="宋体" w:cs="宋体"/>
          <w:sz w:val="32"/>
          <w:szCs w:val="32"/>
          <w:highlight w:val="none"/>
        </w:rPr>
        <w:t>机构设置</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第二部分  2021年度</w:t>
      </w:r>
      <w:r>
        <w:rPr>
          <w:rFonts w:hint="eastAsia" w:ascii="黑体" w:hAnsi="黑体" w:eastAsia="黑体" w:cs="黑体"/>
          <w:sz w:val="32"/>
          <w:szCs w:val="32"/>
          <w:highlight w:val="none"/>
          <w:lang w:val="en-US" w:eastAsia="zh-CN"/>
        </w:rPr>
        <w:t>单位</w:t>
      </w:r>
      <w:r>
        <w:rPr>
          <w:rFonts w:hint="eastAsia" w:ascii="黑体" w:hAnsi="黑体" w:eastAsia="黑体" w:cs="黑体"/>
          <w:sz w:val="32"/>
          <w:szCs w:val="32"/>
          <w:highlight w:val="none"/>
        </w:rPr>
        <w:t>决算表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一、收入支出决算总表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二、收入决算表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三、支出决算表</w:t>
      </w:r>
    </w:p>
    <w:p>
      <w:pPr>
        <w:ind w:firstLine="640" w:firstLineChars="200"/>
        <w:jc w:val="left"/>
        <w:rPr>
          <w:rFonts w:ascii="宋体" w:hAnsi="宋体" w:cs="黑体"/>
          <w:sz w:val="32"/>
          <w:szCs w:val="32"/>
          <w:highlight w:val="none"/>
        </w:rPr>
      </w:pPr>
      <w:r>
        <w:rPr>
          <w:rFonts w:hint="eastAsia" w:ascii="宋体" w:hAnsi="宋体" w:cs="黑体"/>
          <w:sz w:val="32"/>
          <w:szCs w:val="32"/>
          <w:highlight w:val="none"/>
        </w:rPr>
        <w:t>四、财政拨款收入支出决算总表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五、一般公共预算财政拨款支出决算表</w:t>
      </w:r>
    </w:p>
    <w:p>
      <w:pPr>
        <w:ind w:firstLine="640" w:firstLineChars="200"/>
        <w:jc w:val="left"/>
        <w:rPr>
          <w:rFonts w:ascii="宋体" w:hAnsi="宋体" w:cs="黑体"/>
          <w:sz w:val="32"/>
          <w:szCs w:val="32"/>
          <w:highlight w:val="none"/>
        </w:rPr>
      </w:pPr>
      <w:r>
        <w:rPr>
          <w:rFonts w:hint="eastAsia" w:ascii="宋体" w:hAnsi="宋体" w:cs="黑体"/>
          <w:sz w:val="32"/>
          <w:szCs w:val="32"/>
          <w:highlight w:val="none"/>
        </w:rPr>
        <w:t>六、一般公共预算财政拨款基本支出决算明细表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七、一般公共预算财政拨款“三公”经费支出决算表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八、政府性基金预算财政拨款收入支出决算表</w:t>
      </w:r>
    </w:p>
    <w:p>
      <w:pPr>
        <w:jc w:val="left"/>
        <w:rPr>
          <w:rFonts w:hint="eastAsia" w:ascii="黑体" w:hAnsi="黑体" w:eastAsia="黑体" w:cs="黑体"/>
          <w:sz w:val="32"/>
          <w:szCs w:val="32"/>
          <w:highlight w:val="none"/>
        </w:rPr>
      </w:pPr>
      <w:r>
        <w:rPr>
          <w:rFonts w:hint="eastAsia" w:ascii="黑体" w:hAnsi="黑体" w:eastAsia="黑体" w:cs="黑体"/>
          <w:sz w:val="32"/>
          <w:szCs w:val="32"/>
          <w:highlight w:val="none"/>
        </w:rPr>
        <w:t>第三部分　</w:t>
      </w:r>
      <w:r>
        <w:rPr>
          <w:rFonts w:ascii="黑体" w:hAnsi="黑体" w:eastAsia="黑体" w:cs="黑体"/>
          <w:sz w:val="32"/>
          <w:szCs w:val="32"/>
          <w:highlight w:val="none"/>
        </w:rPr>
        <w:t>2021</w:t>
      </w:r>
      <w:r>
        <w:rPr>
          <w:rFonts w:hint="eastAsia" w:ascii="黑体" w:hAnsi="黑体" w:eastAsia="黑体" w:cs="黑体"/>
          <w:sz w:val="32"/>
          <w:szCs w:val="32"/>
          <w:highlight w:val="none"/>
        </w:rPr>
        <w:t>年度</w:t>
      </w:r>
      <w:r>
        <w:rPr>
          <w:rFonts w:hint="eastAsia" w:ascii="黑体" w:hAnsi="黑体" w:eastAsia="黑体" w:cs="黑体"/>
          <w:sz w:val="32"/>
          <w:szCs w:val="32"/>
          <w:highlight w:val="none"/>
          <w:lang w:val="en-US" w:eastAsia="zh-CN"/>
        </w:rPr>
        <w:t>单位</w:t>
      </w:r>
      <w:r>
        <w:rPr>
          <w:rFonts w:hint="eastAsia" w:ascii="黑体" w:hAnsi="黑体" w:eastAsia="黑体" w:cs="黑体"/>
          <w:sz w:val="32"/>
          <w:szCs w:val="32"/>
          <w:highlight w:val="none"/>
        </w:rPr>
        <w:t>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一、收入支出决算总体情况说明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二、收入决算情况说明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三、支出决算情况说明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四、财政拨款收入支出决算总体情况说明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五、一般公共预算财政拨款支出决算情况说明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六、一般公共预算财政拨款基本支出决算情况说明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七、一般公共预算财政拨款“三公”经费支出决算情况说明</w:t>
      </w:r>
    </w:p>
    <w:p>
      <w:pPr>
        <w:ind w:firstLine="640" w:firstLineChars="200"/>
        <w:jc w:val="left"/>
        <w:rPr>
          <w:rFonts w:ascii="宋体" w:hAnsi="宋体" w:cs="宋体"/>
          <w:sz w:val="32"/>
          <w:szCs w:val="32"/>
          <w:highlight w:val="none"/>
        </w:rPr>
      </w:pPr>
      <w:r>
        <w:rPr>
          <w:rFonts w:hint="eastAsia" w:ascii="宋体" w:hAnsi="宋体" w:cs="宋体"/>
          <w:sz w:val="32"/>
          <w:szCs w:val="32"/>
          <w:highlight w:val="none"/>
        </w:rPr>
        <w:t>八、政府性基金预算财政拨款支出决算情况说明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九、机关运行经费支出情况说明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十、政府采购支出情况说明</w:t>
      </w:r>
    </w:p>
    <w:p>
      <w:pPr>
        <w:ind w:firstLine="640" w:firstLineChars="200"/>
        <w:jc w:val="left"/>
        <w:rPr>
          <w:rFonts w:ascii="宋体" w:hAnsi="宋体" w:cs="宋体"/>
          <w:sz w:val="32"/>
          <w:szCs w:val="32"/>
          <w:highlight w:val="none"/>
        </w:rPr>
      </w:pPr>
      <w:r>
        <w:rPr>
          <w:rFonts w:hint="eastAsia" w:ascii="宋体" w:hAnsi="宋体" w:cs="宋体"/>
          <w:sz w:val="32"/>
          <w:szCs w:val="32"/>
          <w:highlight w:val="none"/>
        </w:rPr>
        <w:t>十一、国有资产占用情况说明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十二、预算绩效情况说明</w:t>
      </w:r>
    </w:p>
    <w:p>
      <w:pPr>
        <w:jc w:val="left"/>
        <w:rPr>
          <w:rFonts w:hint="eastAsia" w:ascii="黑体" w:hAnsi="黑体" w:eastAsia="黑体" w:cs="黑体"/>
          <w:sz w:val="32"/>
          <w:szCs w:val="32"/>
          <w:highlight w:val="none"/>
        </w:rPr>
      </w:pPr>
      <w:r>
        <w:rPr>
          <w:rFonts w:hint="eastAsia" w:ascii="黑体" w:hAnsi="黑体" w:eastAsia="黑体" w:cs="黑体"/>
          <w:sz w:val="32"/>
          <w:szCs w:val="32"/>
          <w:highlight w:val="none"/>
        </w:rPr>
        <w:t>第四部分　　名词解释</w:t>
      </w: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both"/>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numPr>
          <w:ilvl w:val="0"/>
          <w:numId w:val="2"/>
        </w:numPr>
        <w:jc w:val="center"/>
        <w:outlineLvl w:val="0"/>
        <w:rPr>
          <w:rFonts w:hint="eastAsia" w:ascii="黑体" w:hAnsi="黑体" w:eastAsia="黑体" w:cs="黑体"/>
          <w:sz w:val="48"/>
          <w:szCs w:val="48"/>
          <w:highlight w:val="none"/>
        </w:rPr>
      </w:pPr>
      <w:r>
        <w:rPr>
          <w:rFonts w:hint="eastAsia" w:ascii="黑体" w:hAnsi="黑体" w:eastAsia="黑体" w:cs="黑体"/>
          <w:sz w:val="48"/>
          <w:szCs w:val="48"/>
          <w:highlight w:val="none"/>
        </w:rPr>
        <w:t xml:space="preserve"> </w:t>
      </w:r>
    </w:p>
    <w:p>
      <w:pPr>
        <w:widowControl/>
        <w:numPr>
          <w:ilvl w:val="0"/>
          <w:numId w:val="0"/>
        </w:numPr>
        <w:jc w:val="center"/>
        <w:outlineLvl w:val="0"/>
        <w:rPr>
          <w:rFonts w:hint="eastAsia" w:ascii="黑体" w:hAnsi="宋体" w:eastAsia="黑体" w:cs="宋体"/>
          <w:kern w:val="0"/>
          <w:sz w:val="28"/>
          <w:szCs w:val="28"/>
          <w:highlight w:val="none"/>
        </w:rPr>
      </w:pPr>
      <w:r>
        <w:rPr>
          <w:rFonts w:hint="eastAsia" w:ascii="黑体" w:hAnsi="黑体" w:eastAsia="黑体" w:cs="黑体"/>
          <w:color w:val="auto"/>
          <w:sz w:val="48"/>
          <w:szCs w:val="48"/>
          <w:highlight w:val="none"/>
          <w:lang w:val="en-US" w:eastAsia="zh-CN"/>
        </w:rPr>
        <w:t>许昌市国有土地管理一所</w:t>
      </w:r>
      <w:r>
        <w:rPr>
          <w:rFonts w:hint="eastAsia" w:ascii="黑体" w:hAnsi="黑体" w:eastAsia="黑体" w:cs="黑体"/>
          <w:sz w:val="48"/>
          <w:szCs w:val="48"/>
          <w:highlight w:val="none"/>
        </w:rPr>
        <w:t>概况</w:t>
      </w:r>
    </w:p>
    <w:p>
      <w:pPr>
        <w:widowControl/>
        <w:ind w:firstLine="640" w:firstLineChars="200"/>
        <w:jc w:val="center"/>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hint="eastAsia" w:ascii="黑体" w:hAnsi="黑体" w:eastAsia="黑体" w:cs="黑体"/>
          <w:kern w:val="0"/>
          <w:sz w:val="32"/>
          <w:szCs w:val="32"/>
          <w:highlight w:val="none"/>
        </w:rPr>
      </w:pPr>
      <w:r>
        <w:rPr>
          <w:rFonts w:hint="eastAsia" w:ascii="黑体" w:hAnsi="黑体" w:eastAsia="黑体" w:cs="黑体"/>
          <w:kern w:val="0"/>
          <w:sz w:val="32"/>
          <w:szCs w:val="32"/>
          <w:highlight w:val="none"/>
        </w:rPr>
        <w:t>一、部门</w:t>
      </w:r>
      <w:r>
        <w:rPr>
          <w:rFonts w:hint="eastAsia" w:ascii="黑体" w:hAnsi="黑体" w:eastAsia="黑体" w:cs="黑体"/>
          <w:bCs/>
          <w:sz w:val="32"/>
          <w:szCs w:val="32"/>
          <w:highlight w:val="none"/>
        </w:rPr>
        <w:t>职责</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 w:eastAsia="仿宋_GB2312" w:cs="仿宋"/>
          <w:kern w:val="1"/>
          <w:sz w:val="32"/>
          <w:szCs w:val="32"/>
        </w:rPr>
      </w:pPr>
      <w:r>
        <w:rPr>
          <w:rFonts w:hint="eastAsia" w:ascii="仿宋_GB2312" w:hAnsi="楷体_GB2312" w:eastAsia="仿宋_GB2312" w:cs="楷体_GB2312"/>
          <w:bCs/>
          <w:sz w:val="32"/>
          <w:szCs w:val="32"/>
        </w:rPr>
        <w:t>（一）</w:t>
      </w:r>
      <w:r>
        <w:rPr>
          <w:rFonts w:hint="eastAsia" w:ascii="仿宋_GB2312" w:hAnsi="仿宋" w:eastAsia="仿宋_GB2312" w:cs="仿宋"/>
          <w:kern w:val="1"/>
          <w:sz w:val="32"/>
          <w:szCs w:val="32"/>
        </w:rPr>
        <w:t>宣传贯彻土地管理法律、法规；</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eastAsia="仿宋_GB2312"/>
          <w:sz w:val="32"/>
          <w:szCs w:val="32"/>
        </w:rPr>
      </w:pPr>
      <w:r>
        <w:rPr>
          <w:rFonts w:hint="eastAsia" w:eastAsia="仿宋_GB2312"/>
          <w:sz w:val="32"/>
          <w:szCs w:val="32"/>
          <w:lang w:eastAsia="zh-CN"/>
        </w:rPr>
        <w:t>（</w:t>
      </w:r>
      <w:r>
        <w:rPr>
          <w:rFonts w:hint="eastAsia" w:eastAsia="仿宋_GB2312"/>
          <w:sz w:val="32"/>
          <w:szCs w:val="32"/>
          <w:lang w:val="en-US" w:eastAsia="zh-CN"/>
        </w:rPr>
        <w:t>二</w:t>
      </w:r>
      <w:r>
        <w:rPr>
          <w:rFonts w:hint="eastAsia" w:eastAsia="仿宋_GB2312"/>
          <w:sz w:val="32"/>
          <w:szCs w:val="32"/>
          <w:lang w:eastAsia="zh-CN"/>
        </w:rPr>
        <w:t>）</w:t>
      </w:r>
      <w:r>
        <w:rPr>
          <w:rFonts w:hint="eastAsia" w:eastAsia="仿宋_GB2312"/>
          <w:sz w:val="32"/>
          <w:szCs w:val="32"/>
        </w:rPr>
        <w:t>国有土地使用费收取；</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 w:eastAsia="仿宋_GB2312" w:cs="仿宋"/>
          <w:kern w:val="1"/>
          <w:sz w:val="32"/>
          <w:szCs w:val="32"/>
        </w:rPr>
      </w:pPr>
      <w:r>
        <w:rPr>
          <w:rFonts w:hint="eastAsia" w:ascii="仿宋_GB2312" w:hAnsi="楷体_GB2312" w:eastAsia="仿宋_GB2312" w:cs="楷体_GB2312"/>
          <w:bCs/>
          <w:sz w:val="32"/>
          <w:szCs w:val="32"/>
        </w:rPr>
        <w:t>（</w:t>
      </w:r>
      <w:r>
        <w:rPr>
          <w:rFonts w:hint="eastAsia" w:ascii="仿宋_GB2312" w:hAnsi="楷体_GB2312" w:eastAsia="仿宋_GB2312" w:cs="楷体_GB2312"/>
          <w:bCs/>
          <w:sz w:val="32"/>
          <w:szCs w:val="32"/>
          <w:lang w:val="en-US" w:eastAsia="zh-CN"/>
        </w:rPr>
        <w:t>三</w:t>
      </w:r>
      <w:r>
        <w:rPr>
          <w:rFonts w:hint="eastAsia" w:ascii="仿宋_GB2312" w:hAnsi="楷体_GB2312" w:eastAsia="仿宋_GB2312" w:cs="楷体_GB2312"/>
          <w:bCs/>
          <w:sz w:val="32"/>
          <w:szCs w:val="32"/>
        </w:rPr>
        <w:t>）</w:t>
      </w:r>
      <w:r>
        <w:rPr>
          <w:rFonts w:hint="eastAsia" w:ascii="仿宋_GB2312" w:hAnsi="仿宋" w:eastAsia="仿宋_GB2312" w:cs="仿宋"/>
          <w:kern w:val="1"/>
          <w:sz w:val="32"/>
          <w:szCs w:val="32"/>
        </w:rPr>
        <w:t>负责辖区内的国有土地使用权的变更登记和二</w:t>
      </w:r>
      <w:r>
        <w:rPr>
          <w:rFonts w:hint="eastAsia" w:ascii="仿宋_GB2312" w:hAnsi="仿宋" w:eastAsia="仿宋_GB2312" w:cs="仿宋"/>
          <w:kern w:val="1"/>
          <w:sz w:val="32"/>
          <w:szCs w:val="32"/>
          <w:lang w:eastAsia="zh-CN"/>
        </w:rPr>
        <w:t>、</w:t>
      </w:r>
      <w:r>
        <w:rPr>
          <w:rFonts w:hint="eastAsia" w:ascii="仿宋_GB2312" w:hAnsi="仿宋" w:eastAsia="仿宋_GB2312" w:cs="仿宋"/>
          <w:kern w:val="1"/>
          <w:sz w:val="32"/>
          <w:szCs w:val="32"/>
        </w:rPr>
        <w:t>三级土地市场的管理；</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仿宋" w:hAnsi="仿宋" w:eastAsia="仿宋" w:cs="仿宋"/>
          <w:b w:val="0"/>
          <w:bCs w:val="0"/>
          <w:color w:val="000000"/>
          <w:kern w:val="1"/>
          <w:sz w:val="32"/>
          <w:szCs w:val="32"/>
        </w:rPr>
      </w:pPr>
      <w:r>
        <w:rPr>
          <w:rFonts w:hint="eastAsia" w:ascii="仿宋_GB2312" w:hAnsi="仿宋_GB2312" w:eastAsia="仿宋_GB2312" w:cs="仿宋_GB2312"/>
          <w:b w:val="0"/>
          <w:bCs w:val="0"/>
          <w:color w:val="000000"/>
          <w:kern w:val="1"/>
          <w:sz w:val="32"/>
          <w:szCs w:val="32"/>
          <w:lang w:eastAsia="zh-CN"/>
        </w:rPr>
        <w:t>（</w:t>
      </w:r>
      <w:r>
        <w:rPr>
          <w:rFonts w:hint="eastAsia" w:ascii="仿宋_GB2312" w:hAnsi="仿宋_GB2312" w:eastAsia="仿宋_GB2312" w:cs="仿宋_GB2312"/>
          <w:b w:val="0"/>
          <w:bCs w:val="0"/>
          <w:color w:val="000000"/>
          <w:kern w:val="1"/>
          <w:sz w:val="32"/>
          <w:szCs w:val="32"/>
          <w:lang w:val="en-US" w:eastAsia="zh-CN"/>
        </w:rPr>
        <w:t>四</w:t>
      </w:r>
      <w:r>
        <w:rPr>
          <w:rFonts w:hint="eastAsia" w:ascii="仿宋_GB2312" w:hAnsi="仿宋_GB2312" w:eastAsia="仿宋_GB2312" w:cs="仿宋_GB2312"/>
          <w:b w:val="0"/>
          <w:bCs w:val="0"/>
          <w:color w:val="000000"/>
          <w:kern w:val="1"/>
          <w:sz w:val="32"/>
          <w:szCs w:val="32"/>
          <w:lang w:eastAsia="zh-CN"/>
        </w:rPr>
        <w:t>）</w:t>
      </w:r>
      <w:r>
        <w:rPr>
          <w:rFonts w:hint="eastAsia" w:ascii="仿宋_GB2312" w:hAnsi="仿宋_GB2312" w:eastAsia="仿宋_GB2312" w:cs="仿宋_GB2312"/>
          <w:b w:val="0"/>
          <w:bCs w:val="0"/>
          <w:color w:val="000000"/>
          <w:kern w:val="1"/>
          <w:sz w:val="32"/>
          <w:szCs w:val="32"/>
        </w:rPr>
        <w:t>协助对国有土地的权属调查，确权发证</w:t>
      </w:r>
      <w:r>
        <w:rPr>
          <w:rFonts w:hint="eastAsia" w:ascii="仿宋" w:hAnsi="仿宋" w:eastAsia="仿宋" w:cs="仿宋"/>
          <w:b w:val="0"/>
          <w:bCs w:val="0"/>
          <w:color w:val="000000"/>
          <w:kern w:val="1"/>
          <w:sz w:val="32"/>
          <w:szCs w:val="32"/>
        </w:rPr>
        <w:t>；</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kern w:val="1"/>
          <w:sz w:val="32"/>
          <w:szCs w:val="32"/>
          <w:lang w:eastAsia="zh-CN"/>
        </w:rPr>
        <w:t>（</w:t>
      </w:r>
      <w:r>
        <w:rPr>
          <w:rFonts w:hint="eastAsia" w:ascii="仿宋_GB2312" w:hAnsi="仿宋_GB2312" w:eastAsia="仿宋_GB2312" w:cs="仿宋_GB2312"/>
          <w:b w:val="0"/>
          <w:bCs w:val="0"/>
          <w:color w:val="000000"/>
          <w:kern w:val="1"/>
          <w:sz w:val="32"/>
          <w:szCs w:val="32"/>
          <w:lang w:val="en-US" w:eastAsia="zh-CN"/>
        </w:rPr>
        <w:t>五</w:t>
      </w:r>
      <w:r>
        <w:rPr>
          <w:rFonts w:hint="eastAsia" w:ascii="仿宋_GB2312" w:hAnsi="仿宋_GB2312" w:eastAsia="仿宋_GB2312" w:cs="仿宋_GB2312"/>
          <w:b w:val="0"/>
          <w:bCs w:val="0"/>
          <w:color w:val="000000"/>
          <w:kern w:val="1"/>
          <w:sz w:val="32"/>
          <w:szCs w:val="32"/>
          <w:lang w:eastAsia="zh-CN"/>
        </w:rPr>
        <w:t>）</w:t>
      </w:r>
      <w:r>
        <w:rPr>
          <w:rFonts w:hint="eastAsia" w:ascii="仿宋_GB2312" w:hAnsi="仿宋_GB2312" w:eastAsia="仿宋_GB2312" w:cs="仿宋_GB2312"/>
          <w:b w:val="0"/>
          <w:bCs w:val="0"/>
          <w:color w:val="000000"/>
          <w:kern w:val="1"/>
          <w:sz w:val="32"/>
          <w:szCs w:val="32"/>
        </w:rPr>
        <w:t>协调处理土地纠纷。</w:t>
      </w:r>
    </w:p>
    <w:p>
      <w:pPr>
        <w:widowControl/>
        <w:ind w:firstLine="640" w:firstLineChars="200"/>
        <w:jc w:val="left"/>
        <w:outlineLvl w:val="1"/>
        <w:rPr>
          <w:rFonts w:hint="eastAsia" w:ascii="黑体" w:hAnsi="黑体" w:eastAsia="黑体" w:cs="黑体"/>
          <w:kern w:val="0"/>
          <w:sz w:val="32"/>
          <w:szCs w:val="32"/>
          <w:highlight w:val="none"/>
        </w:rPr>
      </w:pPr>
      <w:r>
        <w:rPr>
          <w:rFonts w:hint="eastAsia" w:ascii="黑体" w:hAnsi="黑体" w:eastAsia="黑体" w:cs="黑体"/>
          <w:kern w:val="0"/>
          <w:sz w:val="32"/>
          <w:szCs w:val="32"/>
          <w:highlight w:val="none"/>
        </w:rPr>
        <w:t>二、机构设置</w:t>
      </w:r>
    </w:p>
    <w:p>
      <w:pPr>
        <w:widowControl/>
        <w:ind w:firstLine="640" w:firstLineChars="200"/>
        <w:jc w:val="left"/>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许昌市国有土地管理一所内设机构</w:t>
      </w:r>
      <w:r>
        <w:rPr>
          <w:rFonts w:hint="default" w:ascii="仿宋_GB2312" w:hAnsi="仿宋_GB2312" w:eastAsia="仿宋_GB2312" w:cs="仿宋_GB2312"/>
          <w:color w:val="auto"/>
          <w:kern w:val="0"/>
          <w:sz w:val="32"/>
          <w:szCs w:val="32"/>
          <w:highlight w:val="none"/>
          <w:lang w:val="en" w:eastAsia="zh-CN"/>
        </w:rPr>
        <w:t>1</w:t>
      </w:r>
      <w:r>
        <w:rPr>
          <w:rFonts w:hint="eastAsia" w:ascii="仿宋_GB2312" w:hAnsi="仿宋_GB2312" w:eastAsia="仿宋_GB2312" w:cs="仿宋_GB2312"/>
          <w:color w:val="auto"/>
          <w:kern w:val="0"/>
          <w:sz w:val="32"/>
          <w:szCs w:val="32"/>
          <w:highlight w:val="none"/>
          <w:lang w:val="en-US" w:eastAsia="zh-CN"/>
        </w:rPr>
        <w:t>个，包括：办公室。</w:t>
      </w:r>
    </w:p>
    <w:p>
      <w:pPr>
        <w:widowControl/>
        <w:ind w:firstLine="640" w:firstLineChars="200"/>
        <w:jc w:val="left"/>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从决算单位构成看，许昌市国有土地管理一所单位决算包括：本级决算（1个）。</w:t>
      </w:r>
    </w:p>
    <w:p>
      <w:pPr>
        <w:widowControl/>
        <w:ind w:firstLine="640" w:firstLineChars="200"/>
        <w:jc w:val="left"/>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纳入本单位2021年度单位决算编制范围的单位共1个，其中包括：</w:t>
      </w:r>
    </w:p>
    <w:p>
      <w:pPr>
        <w:widowControl/>
        <w:ind w:firstLine="640" w:firstLineChars="200"/>
        <w:jc w:val="left"/>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许昌市国有土地管理一所</w:t>
      </w:r>
    </w:p>
    <w:p>
      <w:pPr>
        <w:widowControl/>
        <w:ind w:firstLine="640" w:firstLineChars="200"/>
        <w:jc w:val="left"/>
        <w:rPr>
          <w:rFonts w:hint="eastAsia" w:ascii="仿宋_GB2312" w:hAnsi="仿宋_GB2312" w:eastAsia="仿宋_GB2312" w:cs="仿宋_GB2312"/>
          <w:kern w:val="0"/>
          <w:sz w:val="32"/>
          <w:szCs w:val="32"/>
          <w:highlight w:val="none"/>
        </w:rPr>
      </w:pPr>
    </w:p>
    <w:p>
      <w:pPr>
        <w:widowControl/>
        <w:jc w:val="left"/>
        <w:rPr>
          <w:rFonts w:hint="eastAsia" w:ascii="黑体" w:hAnsi="宋体" w:eastAsia="黑体" w:cs="宋体"/>
          <w:kern w:val="0"/>
          <w:sz w:val="28"/>
          <w:szCs w:val="28"/>
          <w:highlight w:val="none"/>
        </w:rPr>
        <w:sectPr>
          <w:footerReference r:id="rId3" w:type="default"/>
          <w:footerReference r:id="rId4" w:type="even"/>
          <w:pgSz w:w="11906" w:h="16838"/>
          <w:pgMar w:top="1440" w:right="1800" w:bottom="1440" w:left="1800" w:header="720" w:footer="720" w:gutter="0"/>
          <w:pgNumType w:fmt="numberInDash"/>
          <w:cols w:space="720" w:num="1"/>
          <w:docGrid w:type="lines" w:linePitch="312" w:charSpace="0"/>
        </w:sect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center"/>
        <w:outlineLvl w:val="0"/>
        <w:rPr>
          <w:rFonts w:hint="eastAsia" w:ascii="黑体" w:hAnsi="黑体" w:eastAsia="黑体" w:cs="黑体"/>
          <w:sz w:val="48"/>
          <w:szCs w:val="48"/>
          <w:highlight w:val="none"/>
        </w:rPr>
      </w:pPr>
      <w:r>
        <w:rPr>
          <w:rFonts w:hint="eastAsia" w:ascii="黑体" w:hAnsi="黑体" w:eastAsia="黑体" w:cs="黑体"/>
          <w:sz w:val="48"/>
          <w:szCs w:val="48"/>
          <w:highlight w:val="none"/>
        </w:rPr>
        <w:t>第二部分  2021年度</w:t>
      </w:r>
      <w:r>
        <w:rPr>
          <w:rFonts w:hint="eastAsia" w:ascii="黑体" w:hAnsi="黑体" w:eastAsia="黑体" w:cs="黑体"/>
          <w:sz w:val="48"/>
          <w:szCs w:val="48"/>
          <w:highlight w:val="none"/>
          <w:lang w:val="en-US" w:eastAsia="zh-CN"/>
        </w:rPr>
        <w:t>单位</w:t>
      </w:r>
      <w:r>
        <w:rPr>
          <w:rFonts w:hint="eastAsia" w:ascii="黑体" w:hAnsi="黑体" w:eastAsia="黑体" w:cs="黑体"/>
          <w:sz w:val="48"/>
          <w:szCs w:val="48"/>
          <w:highlight w:val="none"/>
        </w:rPr>
        <w:t>决算表</w:t>
      </w: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sectPr>
          <w:pgSz w:w="11906" w:h="16838"/>
          <w:pgMar w:top="1440" w:right="1800" w:bottom="1440" w:left="1800" w:header="720" w:footer="720" w:gutter="0"/>
          <w:pgNumType w:fmt="numberInDash"/>
          <w:cols w:space="720" w:num="1"/>
          <w:docGrid w:type="lines" w:linePitch="312" w:charSpace="0"/>
        </w:sectPr>
      </w:pPr>
    </w:p>
    <w:tbl>
      <w:tblPr>
        <w:tblStyle w:val="6"/>
        <w:tblpPr w:leftFromText="180" w:rightFromText="180" w:vertAnchor="text" w:horzAnchor="page" w:tblpX="1561" w:tblpY="69"/>
        <w:tblOverlap w:val="never"/>
        <w:tblW w:w="1407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5150"/>
        <w:gridCol w:w="904"/>
        <w:gridCol w:w="1132"/>
        <w:gridCol w:w="4847"/>
        <w:gridCol w:w="904"/>
        <w:gridCol w:w="113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4070" w:type="dxa"/>
            <w:gridSpan w:val="6"/>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5150" w:type="dxa"/>
            <w:tcBorders>
              <w:top w:val="nil"/>
              <w:left w:val="nil"/>
              <w:bottom w:val="nil"/>
              <w:right w:val="nil"/>
            </w:tcBorders>
            <w:noWrap/>
            <w:vAlign w:val="bottom"/>
          </w:tcPr>
          <w:p>
            <w:pPr>
              <w:rPr>
                <w:rFonts w:hint="eastAsia" w:ascii="Arial" w:hAnsi="Arial" w:cs="Arial"/>
                <w:i w:val="0"/>
                <w:iCs w:val="0"/>
                <w:color w:val="000000"/>
                <w:sz w:val="20"/>
                <w:szCs w:val="20"/>
                <w:u w:val="none"/>
              </w:rPr>
            </w:pPr>
          </w:p>
        </w:tc>
        <w:tc>
          <w:tcPr>
            <w:tcW w:w="904"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132"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4847"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2037" w:type="dxa"/>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5150" w:type="dxa"/>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单位</w:t>
            </w:r>
            <w:r>
              <w:rPr>
                <w:rFonts w:hint="eastAsia" w:ascii="宋体" w:hAnsi="宋体" w:eastAsia="宋体" w:cs="宋体"/>
                <w:i w:val="0"/>
                <w:iCs w:val="0"/>
                <w:color w:val="000000"/>
                <w:kern w:val="0"/>
                <w:sz w:val="20"/>
                <w:szCs w:val="20"/>
                <w:u w:val="none"/>
                <w:lang w:val="en-US" w:eastAsia="zh-CN" w:bidi="ar"/>
              </w:rPr>
              <w:t>：许昌市国有土地管理一所</w:t>
            </w:r>
          </w:p>
        </w:tc>
        <w:tc>
          <w:tcPr>
            <w:tcW w:w="904"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132"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4847"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2037" w:type="dxa"/>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186" w:type="dxa"/>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收入</w:t>
            </w:r>
          </w:p>
        </w:tc>
        <w:tc>
          <w:tcPr>
            <w:tcW w:w="6884" w:type="dxa"/>
            <w:gridSpan w:val="3"/>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150"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90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113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c>
          <w:tcPr>
            <w:tcW w:w="4847"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90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1133"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150"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904" w:type="dxa"/>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13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4847"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904" w:type="dxa"/>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133"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150"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一、一般公共预算财政拨款收入</w:t>
            </w:r>
          </w:p>
        </w:tc>
        <w:tc>
          <w:tcPr>
            <w:tcW w:w="90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13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112.76</w:t>
            </w:r>
          </w:p>
        </w:tc>
        <w:tc>
          <w:tcPr>
            <w:tcW w:w="484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90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113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150"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二、政府性基金预算财政拨款收入</w:t>
            </w:r>
          </w:p>
        </w:tc>
        <w:tc>
          <w:tcPr>
            <w:tcW w:w="90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13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84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二、外交支出</w:t>
            </w:r>
          </w:p>
        </w:tc>
        <w:tc>
          <w:tcPr>
            <w:tcW w:w="90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c>
          <w:tcPr>
            <w:tcW w:w="113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150"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三、国有资本经营预算财政拨款收入</w:t>
            </w:r>
          </w:p>
        </w:tc>
        <w:tc>
          <w:tcPr>
            <w:tcW w:w="90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13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84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三、国防支出</w:t>
            </w:r>
          </w:p>
        </w:tc>
        <w:tc>
          <w:tcPr>
            <w:tcW w:w="90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w:t>
            </w:r>
          </w:p>
        </w:tc>
        <w:tc>
          <w:tcPr>
            <w:tcW w:w="113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150"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四、上级补助收入</w:t>
            </w:r>
          </w:p>
        </w:tc>
        <w:tc>
          <w:tcPr>
            <w:tcW w:w="90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13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84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四、公共安全支出</w:t>
            </w:r>
          </w:p>
        </w:tc>
        <w:tc>
          <w:tcPr>
            <w:tcW w:w="90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113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150"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五、事业收入</w:t>
            </w:r>
          </w:p>
        </w:tc>
        <w:tc>
          <w:tcPr>
            <w:tcW w:w="90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13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84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五、教育支出</w:t>
            </w:r>
          </w:p>
        </w:tc>
        <w:tc>
          <w:tcPr>
            <w:tcW w:w="90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113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150"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六、经营收入</w:t>
            </w:r>
          </w:p>
        </w:tc>
        <w:tc>
          <w:tcPr>
            <w:tcW w:w="90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13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84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六、科学技术支出</w:t>
            </w:r>
          </w:p>
        </w:tc>
        <w:tc>
          <w:tcPr>
            <w:tcW w:w="90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c>
          <w:tcPr>
            <w:tcW w:w="113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150"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七、附属单位上缴收入</w:t>
            </w:r>
          </w:p>
        </w:tc>
        <w:tc>
          <w:tcPr>
            <w:tcW w:w="90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113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84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90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w:t>
            </w:r>
          </w:p>
        </w:tc>
        <w:tc>
          <w:tcPr>
            <w:tcW w:w="113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150"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八、其他收入</w:t>
            </w:r>
          </w:p>
        </w:tc>
        <w:tc>
          <w:tcPr>
            <w:tcW w:w="90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113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84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90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w:t>
            </w:r>
          </w:p>
        </w:tc>
        <w:tc>
          <w:tcPr>
            <w:tcW w:w="113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150"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90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113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84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九、卫生健康支出</w:t>
            </w:r>
          </w:p>
        </w:tc>
        <w:tc>
          <w:tcPr>
            <w:tcW w:w="90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113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150"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90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13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84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十、节能环保支出</w:t>
            </w:r>
          </w:p>
        </w:tc>
        <w:tc>
          <w:tcPr>
            <w:tcW w:w="90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w:t>
            </w:r>
          </w:p>
        </w:tc>
        <w:tc>
          <w:tcPr>
            <w:tcW w:w="113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150"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90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113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84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十一、城乡社区支出</w:t>
            </w:r>
          </w:p>
        </w:tc>
        <w:tc>
          <w:tcPr>
            <w:tcW w:w="90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w:t>
            </w:r>
          </w:p>
        </w:tc>
        <w:tc>
          <w:tcPr>
            <w:tcW w:w="113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122.63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150"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90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113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84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十二、农林水支出</w:t>
            </w:r>
          </w:p>
        </w:tc>
        <w:tc>
          <w:tcPr>
            <w:tcW w:w="90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w:t>
            </w:r>
          </w:p>
        </w:tc>
        <w:tc>
          <w:tcPr>
            <w:tcW w:w="113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150"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90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113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84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十三、交通运输支出</w:t>
            </w:r>
          </w:p>
        </w:tc>
        <w:tc>
          <w:tcPr>
            <w:tcW w:w="90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w:t>
            </w:r>
          </w:p>
        </w:tc>
        <w:tc>
          <w:tcPr>
            <w:tcW w:w="113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150"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90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113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84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90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c>
          <w:tcPr>
            <w:tcW w:w="113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150"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90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113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84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90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w:t>
            </w:r>
          </w:p>
        </w:tc>
        <w:tc>
          <w:tcPr>
            <w:tcW w:w="113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150"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90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113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84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十六、金融支出</w:t>
            </w:r>
          </w:p>
        </w:tc>
        <w:tc>
          <w:tcPr>
            <w:tcW w:w="90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w:t>
            </w:r>
          </w:p>
        </w:tc>
        <w:tc>
          <w:tcPr>
            <w:tcW w:w="113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150"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90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113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84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90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w:t>
            </w:r>
          </w:p>
        </w:tc>
        <w:tc>
          <w:tcPr>
            <w:tcW w:w="113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150"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90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113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84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90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w:t>
            </w:r>
          </w:p>
        </w:tc>
        <w:tc>
          <w:tcPr>
            <w:tcW w:w="113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150"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90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113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84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十九、住房保障支出</w:t>
            </w:r>
          </w:p>
        </w:tc>
        <w:tc>
          <w:tcPr>
            <w:tcW w:w="90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113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150"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90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113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84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90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w:t>
            </w:r>
          </w:p>
        </w:tc>
        <w:tc>
          <w:tcPr>
            <w:tcW w:w="113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150"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90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113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84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90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w:t>
            </w:r>
          </w:p>
        </w:tc>
        <w:tc>
          <w:tcPr>
            <w:tcW w:w="113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150"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90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113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84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90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w:t>
            </w:r>
          </w:p>
        </w:tc>
        <w:tc>
          <w:tcPr>
            <w:tcW w:w="113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150"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90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113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84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二十三、其他支出</w:t>
            </w:r>
          </w:p>
        </w:tc>
        <w:tc>
          <w:tcPr>
            <w:tcW w:w="90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w:t>
            </w:r>
          </w:p>
        </w:tc>
        <w:tc>
          <w:tcPr>
            <w:tcW w:w="113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150" w:type="dxa"/>
            <w:tcBorders>
              <w:top w:val="nil"/>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20"/>
                <w:szCs w:val="20"/>
                <w:u w:val="none"/>
              </w:rPr>
            </w:pPr>
          </w:p>
        </w:tc>
        <w:tc>
          <w:tcPr>
            <w:tcW w:w="90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113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484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90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w:t>
            </w:r>
          </w:p>
        </w:tc>
        <w:tc>
          <w:tcPr>
            <w:tcW w:w="113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150"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0"/>
                <w:szCs w:val="20"/>
                <w:u w:val="none"/>
              </w:rPr>
            </w:pPr>
          </w:p>
        </w:tc>
        <w:tc>
          <w:tcPr>
            <w:tcW w:w="90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113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484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90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w:t>
            </w:r>
          </w:p>
        </w:tc>
        <w:tc>
          <w:tcPr>
            <w:tcW w:w="113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150"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0"/>
                <w:szCs w:val="20"/>
                <w:u w:val="none"/>
              </w:rPr>
            </w:pPr>
          </w:p>
        </w:tc>
        <w:tc>
          <w:tcPr>
            <w:tcW w:w="90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w:t>
            </w:r>
          </w:p>
        </w:tc>
        <w:tc>
          <w:tcPr>
            <w:tcW w:w="113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484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90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w:t>
            </w:r>
          </w:p>
        </w:tc>
        <w:tc>
          <w:tcPr>
            <w:tcW w:w="113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150"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本年收入合计</w:t>
            </w:r>
          </w:p>
        </w:tc>
        <w:tc>
          <w:tcPr>
            <w:tcW w:w="90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113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112.76</w:t>
            </w:r>
          </w:p>
        </w:tc>
        <w:tc>
          <w:tcPr>
            <w:tcW w:w="4847"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本年支出合计</w:t>
            </w:r>
          </w:p>
        </w:tc>
        <w:tc>
          <w:tcPr>
            <w:tcW w:w="90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w:t>
            </w:r>
          </w:p>
        </w:tc>
        <w:tc>
          <w:tcPr>
            <w:tcW w:w="113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136.79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150"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使用非财政拨款结余</w:t>
            </w:r>
          </w:p>
        </w:tc>
        <w:tc>
          <w:tcPr>
            <w:tcW w:w="90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113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84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结余分配</w:t>
            </w:r>
          </w:p>
        </w:tc>
        <w:tc>
          <w:tcPr>
            <w:tcW w:w="90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w:t>
            </w:r>
          </w:p>
        </w:tc>
        <w:tc>
          <w:tcPr>
            <w:tcW w:w="113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150"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年初结转和结余</w:t>
            </w:r>
          </w:p>
        </w:tc>
        <w:tc>
          <w:tcPr>
            <w:tcW w:w="90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113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24.03</w:t>
            </w:r>
          </w:p>
        </w:tc>
        <w:tc>
          <w:tcPr>
            <w:tcW w:w="484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年末结转和结余</w:t>
            </w:r>
          </w:p>
        </w:tc>
        <w:tc>
          <w:tcPr>
            <w:tcW w:w="90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113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150"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90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113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847"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90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w:t>
            </w:r>
          </w:p>
        </w:tc>
        <w:tc>
          <w:tcPr>
            <w:tcW w:w="1133"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150"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904" w:type="dxa"/>
            <w:tcBorders>
              <w:top w:val="nil"/>
              <w:left w:val="nil"/>
              <w:bottom w:val="single" w:color="000000" w:sz="8"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113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136.79</w:t>
            </w:r>
          </w:p>
        </w:tc>
        <w:tc>
          <w:tcPr>
            <w:tcW w:w="4847"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90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w:t>
            </w:r>
          </w:p>
        </w:tc>
        <w:tc>
          <w:tcPr>
            <w:tcW w:w="113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136.79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070" w:type="dxa"/>
            <w:gridSpan w:val="6"/>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w:t>
            </w:r>
            <w:r>
              <w:rPr>
                <w:rFonts w:hint="eastAsia" w:ascii="宋体" w:hAnsi="宋体" w:cs="宋体"/>
                <w:i w:val="0"/>
                <w:iCs w:val="0"/>
                <w:color w:val="000000"/>
                <w:kern w:val="0"/>
                <w:sz w:val="22"/>
                <w:szCs w:val="22"/>
                <w:u w:val="none"/>
                <w:lang w:val="en-US" w:eastAsia="zh-CN" w:bidi="ar"/>
              </w:rPr>
              <w:t>单位</w:t>
            </w:r>
            <w:r>
              <w:rPr>
                <w:rFonts w:hint="eastAsia" w:ascii="宋体" w:hAnsi="宋体" w:eastAsia="宋体" w:cs="宋体"/>
                <w:i w:val="0"/>
                <w:iCs w:val="0"/>
                <w:color w:val="000000"/>
                <w:kern w:val="0"/>
                <w:sz w:val="22"/>
                <w:szCs w:val="22"/>
                <w:u w:val="none"/>
                <w:lang w:val="en-US" w:eastAsia="zh-CN" w:bidi="ar"/>
              </w:rPr>
              <w:t>本年度的总收支和年末结转结余情况。本表金额转换为万元时，因四舍五入可能存在尾差。</w:t>
            </w:r>
          </w:p>
        </w:tc>
      </w:tr>
    </w:tbl>
    <w:p>
      <w:pPr>
        <w:rPr>
          <w:rFonts w:hint="eastAsia" w:ascii="仿宋_GB2312" w:hAnsi="仿宋_GB2312" w:eastAsia="仿宋_GB2312" w:cs="仿宋_GB2312"/>
          <w:sz w:val="32"/>
          <w:szCs w:val="32"/>
          <w:highlight w:val="none"/>
        </w:rPr>
      </w:pPr>
    </w:p>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6"/>
        <w:tblpPr w:leftFromText="180" w:rightFromText="180" w:vertAnchor="text" w:horzAnchor="page" w:tblpX="1561" w:tblpY="18"/>
        <w:tblOverlap w:val="never"/>
        <w:tblW w:w="1399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016"/>
        <w:gridCol w:w="222"/>
        <w:gridCol w:w="222"/>
        <w:gridCol w:w="3956"/>
        <w:gridCol w:w="1066"/>
        <w:gridCol w:w="1083"/>
        <w:gridCol w:w="652"/>
        <w:gridCol w:w="628"/>
        <w:gridCol w:w="631"/>
        <w:gridCol w:w="663"/>
        <w:gridCol w:w="185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3992" w:type="dxa"/>
            <w:gridSpan w:val="11"/>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收入决算表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3016" w:type="dxa"/>
            <w:tcBorders>
              <w:top w:val="nil"/>
              <w:left w:val="nil"/>
              <w:bottom w:val="nil"/>
              <w:right w:val="nil"/>
            </w:tcBorders>
            <w:noWrap/>
            <w:vAlign w:val="bottom"/>
          </w:tcPr>
          <w:p>
            <w:pPr>
              <w:rPr>
                <w:rFonts w:hint="eastAsia" w:ascii="Arial" w:hAnsi="Arial" w:cs="Arial"/>
                <w:i w:val="0"/>
                <w:iCs w:val="0"/>
                <w:color w:val="000000"/>
                <w:sz w:val="20"/>
                <w:szCs w:val="20"/>
                <w:u w:val="none"/>
              </w:rPr>
            </w:pPr>
          </w:p>
        </w:tc>
        <w:tc>
          <w:tcPr>
            <w:tcW w:w="222"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222"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3956"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066"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083"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652"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628"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631"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663"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853" w:type="dxa"/>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3016" w:type="dxa"/>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单位</w:t>
            </w:r>
            <w:r>
              <w:rPr>
                <w:rFonts w:hint="eastAsia" w:ascii="宋体" w:hAnsi="宋体" w:eastAsia="宋体" w:cs="宋体"/>
                <w:i w:val="0"/>
                <w:iCs w:val="0"/>
                <w:color w:val="000000"/>
                <w:kern w:val="0"/>
                <w:sz w:val="20"/>
                <w:szCs w:val="20"/>
                <w:u w:val="none"/>
                <w:lang w:val="en-US" w:eastAsia="zh-CN" w:bidi="ar"/>
              </w:rPr>
              <w:t>：许昌市国有土地管理一所</w:t>
            </w:r>
          </w:p>
        </w:tc>
        <w:tc>
          <w:tcPr>
            <w:tcW w:w="222"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222"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3956"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066"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083"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652"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628"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631"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663"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853" w:type="dxa"/>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416" w:type="dxa"/>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1066"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本年收入合计</w:t>
            </w:r>
          </w:p>
        </w:tc>
        <w:tc>
          <w:tcPr>
            <w:tcW w:w="1083"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财政拨款收入</w:t>
            </w:r>
          </w:p>
        </w:tc>
        <w:tc>
          <w:tcPr>
            <w:tcW w:w="652"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上级补助收入</w:t>
            </w:r>
          </w:p>
        </w:tc>
        <w:tc>
          <w:tcPr>
            <w:tcW w:w="628"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事业收入</w:t>
            </w:r>
          </w:p>
        </w:tc>
        <w:tc>
          <w:tcPr>
            <w:tcW w:w="631"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经营收入</w:t>
            </w:r>
          </w:p>
        </w:tc>
        <w:tc>
          <w:tcPr>
            <w:tcW w:w="663"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附属单位上缴收入</w:t>
            </w:r>
          </w:p>
        </w:tc>
        <w:tc>
          <w:tcPr>
            <w:tcW w:w="1853"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60" w:type="dxa"/>
            <w:gridSpan w:val="3"/>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功能分类科目编码</w:t>
            </w:r>
          </w:p>
        </w:tc>
        <w:tc>
          <w:tcPr>
            <w:tcW w:w="3956" w:type="dxa"/>
            <w:vMerge w:val="restar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066"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083"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652"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628"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631"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663"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853"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60"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3956" w:type="dxa"/>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066"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083"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652"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628"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631"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663"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853"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60"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3956" w:type="dxa"/>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066"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083"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652"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628"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631"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663"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853"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416" w:type="dxa"/>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1066"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083"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652"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628"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631"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663"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853"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416" w:type="dxa"/>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06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default" w:ascii="宋体" w:hAnsi="宋体" w:eastAsia="宋体" w:cs="宋体"/>
                <w:b/>
                <w:bCs/>
                <w:i w:val="0"/>
                <w:iCs w:val="0"/>
                <w:color w:val="000000"/>
                <w:sz w:val="22"/>
                <w:szCs w:val="22"/>
                <w:u w:val="none"/>
                <w:lang w:val="en-US"/>
              </w:rPr>
            </w:pPr>
            <w:r>
              <w:rPr>
                <w:rFonts w:hint="eastAsia" w:ascii="宋体" w:hAnsi="宋体" w:eastAsia="宋体" w:cs="宋体"/>
                <w:b/>
                <w:bCs/>
                <w:i w:val="0"/>
                <w:iCs w:val="0"/>
                <w:color w:val="000000"/>
                <w:kern w:val="0"/>
                <w:sz w:val="22"/>
                <w:szCs w:val="22"/>
                <w:u w:val="none"/>
                <w:lang w:val="en-US" w:eastAsia="zh-CN" w:bidi="ar"/>
              </w:rPr>
              <w:t>112.76</w:t>
            </w:r>
          </w:p>
        </w:tc>
        <w:tc>
          <w:tcPr>
            <w:tcW w:w="108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default" w:ascii="宋体" w:hAnsi="宋体" w:eastAsia="宋体" w:cs="宋体"/>
                <w:b/>
                <w:bCs/>
                <w:i w:val="0"/>
                <w:iCs w:val="0"/>
                <w:color w:val="000000"/>
                <w:sz w:val="22"/>
                <w:szCs w:val="22"/>
                <w:u w:val="none"/>
                <w:lang w:val="en-US"/>
              </w:rPr>
            </w:pPr>
            <w:r>
              <w:rPr>
                <w:rFonts w:hint="eastAsia" w:ascii="宋体" w:hAnsi="宋体" w:eastAsia="宋体" w:cs="宋体"/>
                <w:b/>
                <w:bCs/>
                <w:i w:val="0"/>
                <w:iCs w:val="0"/>
                <w:color w:val="000000"/>
                <w:kern w:val="0"/>
                <w:sz w:val="22"/>
                <w:szCs w:val="22"/>
                <w:u w:val="none"/>
                <w:lang w:val="en-US" w:eastAsia="zh-CN" w:bidi="ar"/>
              </w:rPr>
              <w:t>112.76</w:t>
            </w:r>
          </w:p>
        </w:tc>
        <w:tc>
          <w:tcPr>
            <w:tcW w:w="65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c>
          <w:tcPr>
            <w:tcW w:w="62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c>
          <w:tcPr>
            <w:tcW w:w="63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c>
          <w:tcPr>
            <w:tcW w:w="66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c>
          <w:tcPr>
            <w:tcW w:w="185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60"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w:t>
            </w:r>
          </w:p>
        </w:tc>
        <w:tc>
          <w:tcPr>
            <w:tcW w:w="39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一般公共服务支出</w:t>
            </w:r>
          </w:p>
        </w:tc>
        <w:tc>
          <w:tcPr>
            <w:tcW w:w="106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0.48</w:t>
            </w:r>
          </w:p>
        </w:tc>
        <w:tc>
          <w:tcPr>
            <w:tcW w:w="108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0.48</w:t>
            </w:r>
          </w:p>
        </w:tc>
        <w:tc>
          <w:tcPr>
            <w:tcW w:w="65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62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63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66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85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60"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w:t>
            </w:r>
          </w:p>
        </w:tc>
        <w:tc>
          <w:tcPr>
            <w:tcW w:w="39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群众团体事务</w:t>
            </w:r>
          </w:p>
        </w:tc>
        <w:tc>
          <w:tcPr>
            <w:tcW w:w="106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0.48</w:t>
            </w:r>
          </w:p>
        </w:tc>
        <w:tc>
          <w:tcPr>
            <w:tcW w:w="108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0.48</w:t>
            </w:r>
          </w:p>
        </w:tc>
        <w:tc>
          <w:tcPr>
            <w:tcW w:w="65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62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63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66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85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60"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2012906</w:t>
            </w:r>
          </w:p>
        </w:tc>
        <w:tc>
          <w:tcPr>
            <w:tcW w:w="39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工会事务</w:t>
            </w:r>
          </w:p>
        </w:tc>
        <w:tc>
          <w:tcPr>
            <w:tcW w:w="106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0.48</w:t>
            </w:r>
          </w:p>
        </w:tc>
        <w:tc>
          <w:tcPr>
            <w:tcW w:w="108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0.48</w:t>
            </w:r>
          </w:p>
        </w:tc>
        <w:tc>
          <w:tcPr>
            <w:tcW w:w="65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62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63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66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85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60"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39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106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9.77</w:t>
            </w:r>
          </w:p>
        </w:tc>
        <w:tc>
          <w:tcPr>
            <w:tcW w:w="108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9.77</w:t>
            </w:r>
          </w:p>
        </w:tc>
        <w:tc>
          <w:tcPr>
            <w:tcW w:w="65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62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63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66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85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60"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w:t>
            </w:r>
          </w:p>
        </w:tc>
        <w:tc>
          <w:tcPr>
            <w:tcW w:w="39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106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9.77</w:t>
            </w:r>
          </w:p>
        </w:tc>
        <w:tc>
          <w:tcPr>
            <w:tcW w:w="108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9.77</w:t>
            </w:r>
          </w:p>
        </w:tc>
        <w:tc>
          <w:tcPr>
            <w:tcW w:w="65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62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63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66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85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trPr>
        <w:tc>
          <w:tcPr>
            <w:tcW w:w="3460"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2080502</w:t>
            </w:r>
          </w:p>
        </w:tc>
        <w:tc>
          <w:tcPr>
            <w:tcW w:w="39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事业单位离退休</w:t>
            </w:r>
          </w:p>
        </w:tc>
        <w:tc>
          <w:tcPr>
            <w:tcW w:w="106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5.59</w:t>
            </w:r>
          </w:p>
        </w:tc>
        <w:tc>
          <w:tcPr>
            <w:tcW w:w="108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5.59</w:t>
            </w:r>
          </w:p>
        </w:tc>
        <w:tc>
          <w:tcPr>
            <w:tcW w:w="65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62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63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66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85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60"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2080505</w:t>
            </w:r>
          </w:p>
        </w:tc>
        <w:tc>
          <w:tcPr>
            <w:tcW w:w="39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106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4.18</w:t>
            </w:r>
          </w:p>
        </w:tc>
        <w:tc>
          <w:tcPr>
            <w:tcW w:w="108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4.18</w:t>
            </w:r>
          </w:p>
        </w:tc>
        <w:tc>
          <w:tcPr>
            <w:tcW w:w="65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62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63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66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85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60"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w:t>
            </w:r>
          </w:p>
        </w:tc>
        <w:tc>
          <w:tcPr>
            <w:tcW w:w="39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卫生健康支出</w:t>
            </w:r>
          </w:p>
        </w:tc>
        <w:tc>
          <w:tcPr>
            <w:tcW w:w="106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3.91</w:t>
            </w:r>
          </w:p>
        </w:tc>
        <w:tc>
          <w:tcPr>
            <w:tcW w:w="108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3.91</w:t>
            </w:r>
          </w:p>
        </w:tc>
        <w:tc>
          <w:tcPr>
            <w:tcW w:w="65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62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63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66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85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60"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w:t>
            </w:r>
          </w:p>
        </w:tc>
        <w:tc>
          <w:tcPr>
            <w:tcW w:w="39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行政事业单位医疗</w:t>
            </w:r>
          </w:p>
        </w:tc>
        <w:tc>
          <w:tcPr>
            <w:tcW w:w="106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3.91</w:t>
            </w:r>
          </w:p>
        </w:tc>
        <w:tc>
          <w:tcPr>
            <w:tcW w:w="108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3.91</w:t>
            </w:r>
          </w:p>
        </w:tc>
        <w:tc>
          <w:tcPr>
            <w:tcW w:w="65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62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63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66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85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60"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2101102</w:t>
            </w:r>
          </w:p>
        </w:tc>
        <w:tc>
          <w:tcPr>
            <w:tcW w:w="39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事业单位医疗</w:t>
            </w:r>
          </w:p>
        </w:tc>
        <w:tc>
          <w:tcPr>
            <w:tcW w:w="106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2.03</w:t>
            </w:r>
          </w:p>
        </w:tc>
        <w:tc>
          <w:tcPr>
            <w:tcW w:w="108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2.03</w:t>
            </w:r>
          </w:p>
        </w:tc>
        <w:tc>
          <w:tcPr>
            <w:tcW w:w="65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62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63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66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85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60"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2101103</w:t>
            </w:r>
          </w:p>
        </w:tc>
        <w:tc>
          <w:tcPr>
            <w:tcW w:w="39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公务员医疗补助</w:t>
            </w:r>
          </w:p>
        </w:tc>
        <w:tc>
          <w:tcPr>
            <w:tcW w:w="106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1.88</w:t>
            </w:r>
          </w:p>
        </w:tc>
        <w:tc>
          <w:tcPr>
            <w:tcW w:w="108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1.88</w:t>
            </w:r>
          </w:p>
        </w:tc>
        <w:tc>
          <w:tcPr>
            <w:tcW w:w="65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62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63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66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85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60"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w:t>
            </w:r>
          </w:p>
        </w:tc>
        <w:tc>
          <w:tcPr>
            <w:tcW w:w="39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城乡社区支出</w:t>
            </w:r>
          </w:p>
        </w:tc>
        <w:tc>
          <w:tcPr>
            <w:tcW w:w="106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98.61</w:t>
            </w:r>
          </w:p>
        </w:tc>
        <w:tc>
          <w:tcPr>
            <w:tcW w:w="108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98.61</w:t>
            </w:r>
          </w:p>
        </w:tc>
        <w:tc>
          <w:tcPr>
            <w:tcW w:w="65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62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63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66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85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60"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21201</w:t>
            </w:r>
          </w:p>
        </w:tc>
        <w:tc>
          <w:tcPr>
            <w:tcW w:w="39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城乡社区管理事务</w:t>
            </w:r>
          </w:p>
        </w:tc>
        <w:tc>
          <w:tcPr>
            <w:tcW w:w="106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98.61</w:t>
            </w:r>
          </w:p>
        </w:tc>
        <w:tc>
          <w:tcPr>
            <w:tcW w:w="108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98.61</w:t>
            </w:r>
          </w:p>
        </w:tc>
        <w:tc>
          <w:tcPr>
            <w:tcW w:w="65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62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63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66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85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60"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2120199</w:t>
            </w:r>
          </w:p>
        </w:tc>
        <w:tc>
          <w:tcPr>
            <w:tcW w:w="39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其他城乡社区管理事务支出</w:t>
            </w:r>
          </w:p>
        </w:tc>
        <w:tc>
          <w:tcPr>
            <w:tcW w:w="106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98.61</w:t>
            </w:r>
          </w:p>
        </w:tc>
        <w:tc>
          <w:tcPr>
            <w:tcW w:w="108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98.61</w:t>
            </w:r>
          </w:p>
        </w:tc>
        <w:tc>
          <w:tcPr>
            <w:tcW w:w="65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62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63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66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85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992" w:type="dxa"/>
            <w:gridSpan w:val="11"/>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w:t>
            </w:r>
            <w:r>
              <w:rPr>
                <w:rFonts w:hint="eastAsia" w:ascii="宋体" w:hAnsi="宋体" w:cs="宋体"/>
                <w:i w:val="0"/>
                <w:iCs w:val="0"/>
                <w:color w:val="000000"/>
                <w:kern w:val="0"/>
                <w:sz w:val="22"/>
                <w:szCs w:val="22"/>
                <w:u w:val="none"/>
                <w:lang w:val="en-US" w:eastAsia="zh-CN" w:bidi="ar"/>
              </w:rPr>
              <w:t>单位</w:t>
            </w:r>
            <w:r>
              <w:rPr>
                <w:rFonts w:hint="eastAsia" w:ascii="宋体" w:hAnsi="宋体" w:eastAsia="宋体" w:cs="宋体"/>
                <w:i w:val="0"/>
                <w:iCs w:val="0"/>
                <w:color w:val="000000"/>
                <w:kern w:val="0"/>
                <w:sz w:val="22"/>
                <w:szCs w:val="22"/>
                <w:u w:val="none"/>
                <w:lang w:val="en-US" w:eastAsia="zh-CN" w:bidi="ar"/>
              </w:rPr>
              <w:t>本年度取得的各项收入情况。本表金额转换为万元时，因四舍五入可能存在尾差。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3016"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222"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222"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3956"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066"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083"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652"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628"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631"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663"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853"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6"/>
        <w:tblW w:w="13962"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016"/>
        <w:gridCol w:w="222"/>
        <w:gridCol w:w="222"/>
        <w:gridCol w:w="3956"/>
        <w:gridCol w:w="1148"/>
        <w:gridCol w:w="1148"/>
        <w:gridCol w:w="1019"/>
        <w:gridCol w:w="689"/>
        <w:gridCol w:w="685"/>
        <w:gridCol w:w="185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3962" w:type="dxa"/>
            <w:gridSpan w:val="10"/>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tcBorders>
              <w:top w:val="nil"/>
              <w:left w:val="nil"/>
              <w:bottom w:val="nil"/>
              <w:right w:val="nil"/>
            </w:tcBorders>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857" w:type="dxa"/>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单位</w:t>
            </w:r>
            <w:r>
              <w:rPr>
                <w:rFonts w:hint="eastAsia" w:ascii="宋体" w:hAnsi="宋体" w:eastAsia="宋体" w:cs="宋体"/>
                <w:i w:val="0"/>
                <w:iCs w:val="0"/>
                <w:color w:val="000000"/>
                <w:kern w:val="0"/>
                <w:sz w:val="20"/>
                <w:szCs w:val="20"/>
                <w:u w:val="none"/>
                <w:lang w:val="en-US" w:eastAsia="zh-CN" w:bidi="ar"/>
              </w:rPr>
              <w:t>：许昌市国有土地管理一所</w:t>
            </w: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857" w:type="dxa"/>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1148"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本年支出合计</w:t>
            </w:r>
          </w:p>
        </w:tc>
        <w:tc>
          <w:tcPr>
            <w:tcW w:w="1148"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1019"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c>
          <w:tcPr>
            <w:tcW w:w="689"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上缴上级支出</w:t>
            </w:r>
          </w:p>
        </w:tc>
        <w:tc>
          <w:tcPr>
            <w:tcW w:w="685"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经营支出</w:t>
            </w:r>
          </w:p>
        </w:tc>
        <w:tc>
          <w:tcPr>
            <w:tcW w:w="1857"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60" w:type="dxa"/>
            <w:gridSpan w:val="3"/>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功能分类科目编码</w:t>
            </w:r>
          </w:p>
        </w:tc>
        <w:tc>
          <w:tcPr>
            <w:tcW w:w="0" w:type="auto"/>
            <w:vMerge w:val="restar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148"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48"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019"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689"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68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857"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60"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148"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48"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019"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689"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68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857"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60"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148"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48"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019"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689"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68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857"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1148"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148"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019"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689"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68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857"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136.79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126.24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10.55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c>
          <w:tcPr>
            <w:tcW w:w="185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一般公共服务支出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0.48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0.48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85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群众团体事务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0.48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0.48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85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2012906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工会事务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0.48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0.48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85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9.77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9.77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85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9.77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9.77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85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事业单位离退休</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85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85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卫生健康支出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85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行政事业单位医疗</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85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事业单位医疗</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85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公务员医疗补助</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85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城乡社区支出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122.63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112.08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10.55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85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城乡社区管理事务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122.63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112.08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10.55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85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2120199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其他城乡社区管理事务支出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122.63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112.08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10.55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85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962" w:type="dxa"/>
            <w:gridSpan w:val="10"/>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w:t>
            </w:r>
            <w:r>
              <w:rPr>
                <w:rFonts w:hint="eastAsia" w:ascii="宋体" w:hAnsi="宋体" w:cs="宋体"/>
                <w:i w:val="0"/>
                <w:iCs w:val="0"/>
                <w:color w:val="000000"/>
                <w:kern w:val="0"/>
                <w:sz w:val="22"/>
                <w:szCs w:val="22"/>
                <w:u w:val="none"/>
                <w:lang w:val="en-US" w:eastAsia="zh-CN" w:bidi="ar"/>
              </w:rPr>
              <w:t>单位</w:t>
            </w:r>
            <w:r>
              <w:rPr>
                <w:rFonts w:hint="eastAsia" w:ascii="宋体" w:hAnsi="宋体" w:eastAsia="宋体" w:cs="宋体"/>
                <w:i w:val="0"/>
                <w:iCs w:val="0"/>
                <w:color w:val="000000"/>
                <w:kern w:val="0"/>
                <w:sz w:val="22"/>
                <w:szCs w:val="22"/>
                <w:u w:val="none"/>
                <w:lang w:val="en-US" w:eastAsia="zh-CN" w:bidi="ar"/>
              </w:rPr>
              <w:t>本年度各项支出情况。本表金额转换为万元时，因四舍五入可能存在尾差。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6"/>
        <w:tblW w:w="14162"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538"/>
        <w:gridCol w:w="556"/>
        <w:gridCol w:w="1158"/>
        <w:gridCol w:w="4045"/>
        <w:gridCol w:w="558"/>
        <w:gridCol w:w="956"/>
        <w:gridCol w:w="1201"/>
        <w:gridCol w:w="941"/>
        <w:gridCol w:w="120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4162" w:type="dxa"/>
            <w:gridSpan w:val="9"/>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财政拨款收入支出决算总表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3538" w:type="dxa"/>
            <w:tcBorders>
              <w:top w:val="nil"/>
              <w:left w:val="nil"/>
              <w:bottom w:val="nil"/>
              <w:right w:val="nil"/>
            </w:tcBorders>
            <w:noWrap/>
            <w:vAlign w:val="bottom"/>
          </w:tcPr>
          <w:p>
            <w:pPr>
              <w:rPr>
                <w:rFonts w:hint="eastAsia" w:ascii="Arial" w:hAnsi="Arial" w:cs="Arial"/>
                <w:i w:val="0"/>
                <w:iCs w:val="0"/>
                <w:color w:val="000000"/>
                <w:sz w:val="20"/>
                <w:szCs w:val="20"/>
                <w:u w:val="none"/>
              </w:rPr>
            </w:pPr>
          </w:p>
        </w:tc>
        <w:tc>
          <w:tcPr>
            <w:tcW w:w="556"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158"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4045"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558"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956"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201"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941"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209" w:type="dxa"/>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3538" w:type="dxa"/>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单位</w:t>
            </w:r>
            <w:r>
              <w:rPr>
                <w:rFonts w:hint="eastAsia" w:ascii="宋体" w:hAnsi="宋体" w:eastAsia="宋体" w:cs="宋体"/>
                <w:i w:val="0"/>
                <w:iCs w:val="0"/>
                <w:color w:val="000000"/>
                <w:kern w:val="0"/>
                <w:sz w:val="20"/>
                <w:szCs w:val="20"/>
                <w:u w:val="none"/>
                <w:lang w:val="en-US" w:eastAsia="zh-CN" w:bidi="ar"/>
              </w:rPr>
              <w:t>：许昌市国有土地管理一所</w:t>
            </w:r>
          </w:p>
        </w:tc>
        <w:tc>
          <w:tcPr>
            <w:tcW w:w="556"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158"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4045"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558"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956"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201"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2150" w:type="dxa"/>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252" w:type="dxa"/>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收     入</w:t>
            </w:r>
          </w:p>
        </w:tc>
        <w:tc>
          <w:tcPr>
            <w:tcW w:w="8910" w:type="dxa"/>
            <w:gridSpan w:val="6"/>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2" w:hRule="atLeast"/>
        </w:trPr>
        <w:tc>
          <w:tcPr>
            <w:tcW w:w="3538" w:type="dxa"/>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556"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1158"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c>
          <w:tcPr>
            <w:tcW w:w="4045"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558"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956" w:type="dxa"/>
            <w:vMerge w:val="restar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201"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一般公共预算财政拨款</w:t>
            </w:r>
          </w:p>
        </w:tc>
        <w:tc>
          <w:tcPr>
            <w:tcW w:w="941"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政府性基金预算财政拨款</w:t>
            </w:r>
          </w:p>
        </w:tc>
        <w:tc>
          <w:tcPr>
            <w:tcW w:w="1209"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3538"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556"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58"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04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558"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956" w:type="dxa"/>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201"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941"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209"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538"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556" w:type="dxa"/>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158"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404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558" w:type="dxa"/>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956"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20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94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209"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538"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一、一般公共预算财政拨款</w:t>
            </w:r>
          </w:p>
        </w:tc>
        <w:tc>
          <w:tcPr>
            <w:tcW w:w="556"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15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112.76</w:t>
            </w:r>
          </w:p>
        </w:tc>
        <w:tc>
          <w:tcPr>
            <w:tcW w:w="404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558"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c>
          <w:tcPr>
            <w:tcW w:w="95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0.48</w:t>
            </w:r>
          </w:p>
        </w:tc>
        <w:tc>
          <w:tcPr>
            <w:tcW w:w="120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0.48</w:t>
            </w:r>
          </w:p>
        </w:tc>
        <w:tc>
          <w:tcPr>
            <w:tcW w:w="94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0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538"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二、政府性基金预算财政拨款</w:t>
            </w:r>
          </w:p>
        </w:tc>
        <w:tc>
          <w:tcPr>
            <w:tcW w:w="556"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15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04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二、外交支出</w:t>
            </w:r>
          </w:p>
        </w:tc>
        <w:tc>
          <w:tcPr>
            <w:tcW w:w="558"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w:t>
            </w:r>
          </w:p>
        </w:tc>
        <w:tc>
          <w:tcPr>
            <w:tcW w:w="95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0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4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0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538"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三、国有资本经营财政拨款</w:t>
            </w:r>
          </w:p>
        </w:tc>
        <w:tc>
          <w:tcPr>
            <w:tcW w:w="556"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15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04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三、国防支出</w:t>
            </w:r>
          </w:p>
        </w:tc>
        <w:tc>
          <w:tcPr>
            <w:tcW w:w="558"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95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0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4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0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538"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556"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15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04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四、公共安全支出</w:t>
            </w:r>
          </w:p>
        </w:tc>
        <w:tc>
          <w:tcPr>
            <w:tcW w:w="558"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95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0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4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0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538"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556"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15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04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五、教育支出</w:t>
            </w:r>
          </w:p>
        </w:tc>
        <w:tc>
          <w:tcPr>
            <w:tcW w:w="558"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c>
          <w:tcPr>
            <w:tcW w:w="95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0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4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0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538"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556"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15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04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六、科学技术支出</w:t>
            </w:r>
          </w:p>
        </w:tc>
        <w:tc>
          <w:tcPr>
            <w:tcW w:w="558"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w:t>
            </w:r>
          </w:p>
        </w:tc>
        <w:tc>
          <w:tcPr>
            <w:tcW w:w="95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0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4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0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538"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556"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115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04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558"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w:t>
            </w:r>
          </w:p>
        </w:tc>
        <w:tc>
          <w:tcPr>
            <w:tcW w:w="95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0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4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0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538"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556"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115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04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558"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95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9.77</w:t>
            </w:r>
          </w:p>
        </w:tc>
        <w:tc>
          <w:tcPr>
            <w:tcW w:w="120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9.77</w:t>
            </w:r>
          </w:p>
        </w:tc>
        <w:tc>
          <w:tcPr>
            <w:tcW w:w="94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0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538"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556"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115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04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九、卫生健康支出</w:t>
            </w:r>
          </w:p>
        </w:tc>
        <w:tc>
          <w:tcPr>
            <w:tcW w:w="558"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w:t>
            </w:r>
          </w:p>
        </w:tc>
        <w:tc>
          <w:tcPr>
            <w:tcW w:w="95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3.91</w:t>
            </w:r>
          </w:p>
        </w:tc>
        <w:tc>
          <w:tcPr>
            <w:tcW w:w="120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3.91</w:t>
            </w:r>
          </w:p>
        </w:tc>
        <w:tc>
          <w:tcPr>
            <w:tcW w:w="94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0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538"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556"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15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04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十、节能环保支出</w:t>
            </w:r>
          </w:p>
        </w:tc>
        <w:tc>
          <w:tcPr>
            <w:tcW w:w="558"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w:t>
            </w:r>
          </w:p>
        </w:tc>
        <w:tc>
          <w:tcPr>
            <w:tcW w:w="95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0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4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0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538"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556"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115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04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十一、城乡社区支出</w:t>
            </w:r>
          </w:p>
        </w:tc>
        <w:tc>
          <w:tcPr>
            <w:tcW w:w="558"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w:t>
            </w:r>
          </w:p>
        </w:tc>
        <w:tc>
          <w:tcPr>
            <w:tcW w:w="95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122.63</w:t>
            </w:r>
          </w:p>
        </w:tc>
        <w:tc>
          <w:tcPr>
            <w:tcW w:w="120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122.63</w:t>
            </w:r>
          </w:p>
        </w:tc>
        <w:tc>
          <w:tcPr>
            <w:tcW w:w="94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0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538"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556"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115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04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十二、农林水支出</w:t>
            </w:r>
          </w:p>
        </w:tc>
        <w:tc>
          <w:tcPr>
            <w:tcW w:w="558"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w:t>
            </w:r>
          </w:p>
        </w:tc>
        <w:tc>
          <w:tcPr>
            <w:tcW w:w="95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0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4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0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538"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556"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115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04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十三、交通运输支出</w:t>
            </w:r>
          </w:p>
        </w:tc>
        <w:tc>
          <w:tcPr>
            <w:tcW w:w="558"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c>
          <w:tcPr>
            <w:tcW w:w="95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0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4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0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538"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556"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115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04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558"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w:t>
            </w:r>
          </w:p>
        </w:tc>
        <w:tc>
          <w:tcPr>
            <w:tcW w:w="95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0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4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0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538"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556"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115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04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558"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w:t>
            </w:r>
          </w:p>
        </w:tc>
        <w:tc>
          <w:tcPr>
            <w:tcW w:w="95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0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4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0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538"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556"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115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04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十六、金融支出</w:t>
            </w:r>
          </w:p>
        </w:tc>
        <w:tc>
          <w:tcPr>
            <w:tcW w:w="558"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w:t>
            </w:r>
          </w:p>
        </w:tc>
        <w:tc>
          <w:tcPr>
            <w:tcW w:w="95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0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4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0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538"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556"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115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04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558"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w:t>
            </w:r>
          </w:p>
        </w:tc>
        <w:tc>
          <w:tcPr>
            <w:tcW w:w="95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0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4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0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538"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556"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115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04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558"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95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0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4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0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538"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556"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115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04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十九、住房保障支出</w:t>
            </w:r>
          </w:p>
        </w:tc>
        <w:tc>
          <w:tcPr>
            <w:tcW w:w="558"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w:t>
            </w:r>
          </w:p>
        </w:tc>
        <w:tc>
          <w:tcPr>
            <w:tcW w:w="95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0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4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0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538"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556"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115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04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558"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w:t>
            </w:r>
          </w:p>
        </w:tc>
        <w:tc>
          <w:tcPr>
            <w:tcW w:w="95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0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4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0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538"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556"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115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04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558"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w:t>
            </w:r>
          </w:p>
        </w:tc>
        <w:tc>
          <w:tcPr>
            <w:tcW w:w="95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0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4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0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538"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556"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115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04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558"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w:t>
            </w:r>
          </w:p>
        </w:tc>
        <w:tc>
          <w:tcPr>
            <w:tcW w:w="95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0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4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0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538"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556"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115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04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二十三、其他支出</w:t>
            </w:r>
          </w:p>
        </w:tc>
        <w:tc>
          <w:tcPr>
            <w:tcW w:w="558"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w:t>
            </w:r>
          </w:p>
        </w:tc>
        <w:tc>
          <w:tcPr>
            <w:tcW w:w="95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0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4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0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538" w:type="dxa"/>
            <w:tcBorders>
              <w:top w:val="nil"/>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20"/>
                <w:szCs w:val="20"/>
                <w:u w:val="none"/>
              </w:rPr>
            </w:pPr>
          </w:p>
        </w:tc>
        <w:tc>
          <w:tcPr>
            <w:tcW w:w="556"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w:t>
            </w:r>
          </w:p>
        </w:tc>
        <w:tc>
          <w:tcPr>
            <w:tcW w:w="115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04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558"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w:t>
            </w:r>
          </w:p>
        </w:tc>
        <w:tc>
          <w:tcPr>
            <w:tcW w:w="95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0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4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0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538"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0"/>
                <w:szCs w:val="20"/>
                <w:u w:val="none"/>
              </w:rPr>
            </w:pPr>
          </w:p>
        </w:tc>
        <w:tc>
          <w:tcPr>
            <w:tcW w:w="556"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115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04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558"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w:t>
            </w:r>
          </w:p>
        </w:tc>
        <w:tc>
          <w:tcPr>
            <w:tcW w:w="95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0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4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0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538"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0"/>
                <w:szCs w:val="20"/>
                <w:u w:val="none"/>
              </w:rPr>
            </w:pPr>
          </w:p>
        </w:tc>
        <w:tc>
          <w:tcPr>
            <w:tcW w:w="556"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w:t>
            </w:r>
          </w:p>
        </w:tc>
        <w:tc>
          <w:tcPr>
            <w:tcW w:w="115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04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558"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w:t>
            </w:r>
          </w:p>
        </w:tc>
        <w:tc>
          <w:tcPr>
            <w:tcW w:w="95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0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4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0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538"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本年收入合计</w:t>
            </w:r>
          </w:p>
        </w:tc>
        <w:tc>
          <w:tcPr>
            <w:tcW w:w="556"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115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112.76</w:t>
            </w:r>
          </w:p>
        </w:tc>
        <w:tc>
          <w:tcPr>
            <w:tcW w:w="404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本年支出合计</w:t>
            </w:r>
          </w:p>
        </w:tc>
        <w:tc>
          <w:tcPr>
            <w:tcW w:w="558"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w:t>
            </w:r>
          </w:p>
        </w:tc>
        <w:tc>
          <w:tcPr>
            <w:tcW w:w="95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136.79</w:t>
            </w:r>
          </w:p>
        </w:tc>
        <w:tc>
          <w:tcPr>
            <w:tcW w:w="120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136.79</w:t>
            </w:r>
          </w:p>
        </w:tc>
        <w:tc>
          <w:tcPr>
            <w:tcW w:w="94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0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538"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年初财政拨款结转和结余</w:t>
            </w:r>
          </w:p>
        </w:tc>
        <w:tc>
          <w:tcPr>
            <w:tcW w:w="556"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115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24.03</w:t>
            </w:r>
          </w:p>
        </w:tc>
        <w:tc>
          <w:tcPr>
            <w:tcW w:w="404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年末财政拨款结转和结余</w:t>
            </w:r>
          </w:p>
        </w:tc>
        <w:tc>
          <w:tcPr>
            <w:tcW w:w="558"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95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0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4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0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538"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一般公共预算财政拨款</w:t>
            </w:r>
          </w:p>
        </w:tc>
        <w:tc>
          <w:tcPr>
            <w:tcW w:w="556"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115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24.03</w:t>
            </w:r>
          </w:p>
        </w:tc>
        <w:tc>
          <w:tcPr>
            <w:tcW w:w="4045"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558"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w:t>
            </w:r>
          </w:p>
        </w:tc>
        <w:tc>
          <w:tcPr>
            <w:tcW w:w="95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0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4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0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538"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政府性基金预算财政拨款</w:t>
            </w:r>
          </w:p>
        </w:tc>
        <w:tc>
          <w:tcPr>
            <w:tcW w:w="556"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115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045"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558"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w:t>
            </w:r>
          </w:p>
        </w:tc>
        <w:tc>
          <w:tcPr>
            <w:tcW w:w="95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0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4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0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538"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国有资本经营预算财政拨款</w:t>
            </w:r>
          </w:p>
        </w:tc>
        <w:tc>
          <w:tcPr>
            <w:tcW w:w="556"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115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045"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558"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w:t>
            </w:r>
          </w:p>
        </w:tc>
        <w:tc>
          <w:tcPr>
            <w:tcW w:w="95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0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4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0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538"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556" w:type="dxa"/>
            <w:tcBorders>
              <w:top w:val="nil"/>
              <w:left w:val="nil"/>
              <w:bottom w:val="single" w:color="000000" w:sz="8"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115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136.79</w:t>
            </w:r>
          </w:p>
        </w:tc>
        <w:tc>
          <w:tcPr>
            <w:tcW w:w="404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558"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w:t>
            </w:r>
          </w:p>
        </w:tc>
        <w:tc>
          <w:tcPr>
            <w:tcW w:w="95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136.79</w:t>
            </w:r>
          </w:p>
        </w:tc>
        <w:tc>
          <w:tcPr>
            <w:tcW w:w="120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136.79</w:t>
            </w:r>
          </w:p>
        </w:tc>
        <w:tc>
          <w:tcPr>
            <w:tcW w:w="94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0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14162" w:type="dxa"/>
            <w:gridSpan w:val="9"/>
            <w:tcBorders>
              <w:top w:val="nil"/>
              <w:left w:val="nil"/>
              <w:bottom w:val="nil"/>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w:t>
            </w:r>
            <w:r>
              <w:rPr>
                <w:rFonts w:hint="eastAsia" w:ascii="宋体" w:hAnsi="宋体" w:cs="宋体"/>
                <w:i w:val="0"/>
                <w:iCs w:val="0"/>
                <w:color w:val="000000"/>
                <w:kern w:val="0"/>
                <w:sz w:val="22"/>
                <w:szCs w:val="22"/>
                <w:u w:val="none"/>
                <w:lang w:val="en-US" w:eastAsia="zh-CN" w:bidi="ar"/>
              </w:rPr>
              <w:t>单位</w:t>
            </w:r>
            <w:r>
              <w:rPr>
                <w:rFonts w:hint="eastAsia" w:ascii="宋体" w:hAnsi="宋体" w:eastAsia="宋体" w:cs="宋体"/>
                <w:i w:val="0"/>
                <w:iCs w:val="0"/>
                <w:color w:val="000000"/>
                <w:kern w:val="0"/>
                <w:sz w:val="22"/>
                <w:szCs w:val="22"/>
                <w:u w:val="none"/>
                <w:lang w:val="en-US" w:eastAsia="zh-CN" w:bidi="ar"/>
              </w:rPr>
              <w:t>本年度一般公共预算财政拨款、政府性基金预算财政拨款和国有资本经营预算财政拨款的总收支和年末结转结余情况。本表金额转换为万元时，因四舍五入可能存在尾差。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6"/>
        <w:tblW w:w="13969"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016"/>
        <w:gridCol w:w="222"/>
        <w:gridCol w:w="222"/>
        <w:gridCol w:w="3956"/>
        <w:gridCol w:w="2182"/>
        <w:gridCol w:w="2185"/>
        <w:gridCol w:w="218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3969" w:type="dxa"/>
            <w:gridSpan w:val="7"/>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一般公共预算财政拨款支出决算表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3016" w:type="dxa"/>
            <w:tcBorders>
              <w:top w:val="nil"/>
              <w:left w:val="nil"/>
              <w:bottom w:val="nil"/>
              <w:right w:val="nil"/>
            </w:tcBorders>
            <w:noWrap/>
            <w:vAlign w:val="bottom"/>
          </w:tcPr>
          <w:p>
            <w:pPr>
              <w:rPr>
                <w:rFonts w:hint="eastAsia" w:ascii="Arial" w:hAnsi="Arial" w:cs="Arial"/>
                <w:i w:val="0"/>
                <w:iCs w:val="0"/>
                <w:color w:val="000000"/>
                <w:sz w:val="20"/>
                <w:szCs w:val="20"/>
                <w:u w:val="none"/>
              </w:rPr>
            </w:pPr>
          </w:p>
        </w:tc>
        <w:tc>
          <w:tcPr>
            <w:tcW w:w="222"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222"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3956"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2182"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2185"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2186" w:type="dxa"/>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公开05表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3016" w:type="dxa"/>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单位</w:t>
            </w:r>
            <w:r>
              <w:rPr>
                <w:rFonts w:hint="eastAsia" w:ascii="宋体" w:hAnsi="宋体" w:eastAsia="宋体" w:cs="宋体"/>
                <w:i w:val="0"/>
                <w:iCs w:val="0"/>
                <w:color w:val="000000"/>
                <w:kern w:val="0"/>
                <w:sz w:val="20"/>
                <w:szCs w:val="20"/>
                <w:u w:val="none"/>
                <w:lang w:val="en-US" w:eastAsia="zh-CN" w:bidi="ar"/>
              </w:rPr>
              <w:t>：许昌市国有土地管理一所</w:t>
            </w:r>
          </w:p>
        </w:tc>
        <w:tc>
          <w:tcPr>
            <w:tcW w:w="222"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222"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3956"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2182"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2185"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2186" w:type="dxa"/>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416" w:type="dxa"/>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6553" w:type="dxa"/>
            <w:gridSpan w:val="3"/>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60" w:type="dxa"/>
            <w:gridSpan w:val="3"/>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功能分类科目编码</w:t>
            </w:r>
          </w:p>
        </w:tc>
        <w:tc>
          <w:tcPr>
            <w:tcW w:w="3956" w:type="dxa"/>
            <w:vMerge w:val="restar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2182"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2185"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2186"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7" w:hRule="atLeast"/>
        </w:trPr>
        <w:tc>
          <w:tcPr>
            <w:tcW w:w="3460"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3956" w:type="dxa"/>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2182"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18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186"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60"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3956" w:type="dxa"/>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2182"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18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186"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416" w:type="dxa"/>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218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218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2186"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416" w:type="dxa"/>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218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136.79</w:t>
            </w:r>
          </w:p>
        </w:tc>
        <w:tc>
          <w:tcPr>
            <w:tcW w:w="218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126.24</w:t>
            </w:r>
          </w:p>
        </w:tc>
        <w:tc>
          <w:tcPr>
            <w:tcW w:w="218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10.55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60"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w:t>
            </w:r>
          </w:p>
        </w:tc>
        <w:tc>
          <w:tcPr>
            <w:tcW w:w="39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一般公共服务支出</w:t>
            </w:r>
          </w:p>
        </w:tc>
        <w:tc>
          <w:tcPr>
            <w:tcW w:w="218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0.48</w:t>
            </w:r>
          </w:p>
        </w:tc>
        <w:tc>
          <w:tcPr>
            <w:tcW w:w="218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0.48</w:t>
            </w:r>
          </w:p>
        </w:tc>
        <w:tc>
          <w:tcPr>
            <w:tcW w:w="218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60"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w:t>
            </w:r>
          </w:p>
        </w:tc>
        <w:tc>
          <w:tcPr>
            <w:tcW w:w="39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群众团体事务</w:t>
            </w:r>
          </w:p>
        </w:tc>
        <w:tc>
          <w:tcPr>
            <w:tcW w:w="218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0.48</w:t>
            </w:r>
          </w:p>
        </w:tc>
        <w:tc>
          <w:tcPr>
            <w:tcW w:w="218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0.48</w:t>
            </w:r>
          </w:p>
        </w:tc>
        <w:tc>
          <w:tcPr>
            <w:tcW w:w="218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60"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2012906</w:t>
            </w:r>
          </w:p>
        </w:tc>
        <w:tc>
          <w:tcPr>
            <w:tcW w:w="39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工会事务</w:t>
            </w:r>
          </w:p>
        </w:tc>
        <w:tc>
          <w:tcPr>
            <w:tcW w:w="218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0.48</w:t>
            </w:r>
          </w:p>
        </w:tc>
        <w:tc>
          <w:tcPr>
            <w:tcW w:w="218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0.48</w:t>
            </w:r>
          </w:p>
        </w:tc>
        <w:tc>
          <w:tcPr>
            <w:tcW w:w="218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60"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39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218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9.77</w:t>
            </w:r>
          </w:p>
        </w:tc>
        <w:tc>
          <w:tcPr>
            <w:tcW w:w="218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9.77</w:t>
            </w:r>
          </w:p>
        </w:tc>
        <w:tc>
          <w:tcPr>
            <w:tcW w:w="218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60"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w:t>
            </w:r>
          </w:p>
        </w:tc>
        <w:tc>
          <w:tcPr>
            <w:tcW w:w="39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218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9.77</w:t>
            </w:r>
          </w:p>
        </w:tc>
        <w:tc>
          <w:tcPr>
            <w:tcW w:w="218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9.77</w:t>
            </w:r>
          </w:p>
        </w:tc>
        <w:tc>
          <w:tcPr>
            <w:tcW w:w="218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60"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2080502</w:t>
            </w:r>
          </w:p>
        </w:tc>
        <w:tc>
          <w:tcPr>
            <w:tcW w:w="39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事业单位离退休</w:t>
            </w:r>
          </w:p>
        </w:tc>
        <w:tc>
          <w:tcPr>
            <w:tcW w:w="218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5.59</w:t>
            </w:r>
          </w:p>
        </w:tc>
        <w:tc>
          <w:tcPr>
            <w:tcW w:w="218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5.59</w:t>
            </w:r>
          </w:p>
        </w:tc>
        <w:tc>
          <w:tcPr>
            <w:tcW w:w="218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60"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2080505</w:t>
            </w:r>
          </w:p>
        </w:tc>
        <w:tc>
          <w:tcPr>
            <w:tcW w:w="39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218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4.18</w:t>
            </w:r>
          </w:p>
        </w:tc>
        <w:tc>
          <w:tcPr>
            <w:tcW w:w="218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4.18</w:t>
            </w:r>
          </w:p>
        </w:tc>
        <w:tc>
          <w:tcPr>
            <w:tcW w:w="218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60"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w:t>
            </w:r>
          </w:p>
        </w:tc>
        <w:tc>
          <w:tcPr>
            <w:tcW w:w="39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卫生健康支出</w:t>
            </w:r>
          </w:p>
        </w:tc>
        <w:tc>
          <w:tcPr>
            <w:tcW w:w="218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3.91</w:t>
            </w:r>
          </w:p>
        </w:tc>
        <w:tc>
          <w:tcPr>
            <w:tcW w:w="218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3.91</w:t>
            </w:r>
          </w:p>
        </w:tc>
        <w:tc>
          <w:tcPr>
            <w:tcW w:w="218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60"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w:t>
            </w:r>
          </w:p>
        </w:tc>
        <w:tc>
          <w:tcPr>
            <w:tcW w:w="39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行政事业单位医疗</w:t>
            </w:r>
          </w:p>
        </w:tc>
        <w:tc>
          <w:tcPr>
            <w:tcW w:w="218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3.91</w:t>
            </w:r>
          </w:p>
        </w:tc>
        <w:tc>
          <w:tcPr>
            <w:tcW w:w="218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3.91</w:t>
            </w:r>
          </w:p>
        </w:tc>
        <w:tc>
          <w:tcPr>
            <w:tcW w:w="218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60"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2101102</w:t>
            </w:r>
          </w:p>
        </w:tc>
        <w:tc>
          <w:tcPr>
            <w:tcW w:w="39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事业单位医疗</w:t>
            </w:r>
          </w:p>
        </w:tc>
        <w:tc>
          <w:tcPr>
            <w:tcW w:w="218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2.03</w:t>
            </w:r>
          </w:p>
        </w:tc>
        <w:tc>
          <w:tcPr>
            <w:tcW w:w="218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2.03</w:t>
            </w:r>
          </w:p>
        </w:tc>
        <w:tc>
          <w:tcPr>
            <w:tcW w:w="218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60"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2101103</w:t>
            </w:r>
          </w:p>
        </w:tc>
        <w:tc>
          <w:tcPr>
            <w:tcW w:w="39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公务员医疗补助</w:t>
            </w:r>
          </w:p>
        </w:tc>
        <w:tc>
          <w:tcPr>
            <w:tcW w:w="218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1.88</w:t>
            </w:r>
          </w:p>
        </w:tc>
        <w:tc>
          <w:tcPr>
            <w:tcW w:w="218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1.88</w:t>
            </w:r>
          </w:p>
        </w:tc>
        <w:tc>
          <w:tcPr>
            <w:tcW w:w="218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60"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w:t>
            </w:r>
          </w:p>
        </w:tc>
        <w:tc>
          <w:tcPr>
            <w:tcW w:w="39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城乡社区支出</w:t>
            </w:r>
          </w:p>
        </w:tc>
        <w:tc>
          <w:tcPr>
            <w:tcW w:w="218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122.63</w:t>
            </w:r>
          </w:p>
        </w:tc>
        <w:tc>
          <w:tcPr>
            <w:tcW w:w="218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112.08</w:t>
            </w:r>
          </w:p>
        </w:tc>
        <w:tc>
          <w:tcPr>
            <w:tcW w:w="218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60"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21201</w:t>
            </w:r>
          </w:p>
        </w:tc>
        <w:tc>
          <w:tcPr>
            <w:tcW w:w="39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城乡社区管理事务</w:t>
            </w:r>
          </w:p>
        </w:tc>
        <w:tc>
          <w:tcPr>
            <w:tcW w:w="218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122.63</w:t>
            </w:r>
          </w:p>
        </w:tc>
        <w:tc>
          <w:tcPr>
            <w:tcW w:w="218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112.08</w:t>
            </w:r>
          </w:p>
        </w:tc>
        <w:tc>
          <w:tcPr>
            <w:tcW w:w="218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60"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2120199</w:t>
            </w:r>
          </w:p>
        </w:tc>
        <w:tc>
          <w:tcPr>
            <w:tcW w:w="39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其他城乡社区管理事务支出</w:t>
            </w:r>
          </w:p>
        </w:tc>
        <w:tc>
          <w:tcPr>
            <w:tcW w:w="218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122.63</w:t>
            </w:r>
          </w:p>
        </w:tc>
        <w:tc>
          <w:tcPr>
            <w:tcW w:w="218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112.08</w:t>
            </w:r>
          </w:p>
        </w:tc>
        <w:tc>
          <w:tcPr>
            <w:tcW w:w="218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969" w:type="dxa"/>
            <w:gridSpan w:val="7"/>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w:t>
            </w:r>
            <w:r>
              <w:rPr>
                <w:rFonts w:hint="eastAsia" w:ascii="宋体" w:hAnsi="宋体" w:cs="宋体"/>
                <w:i w:val="0"/>
                <w:iCs w:val="0"/>
                <w:color w:val="000000"/>
                <w:kern w:val="0"/>
                <w:sz w:val="22"/>
                <w:szCs w:val="22"/>
                <w:u w:val="none"/>
                <w:lang w:val="en-US" w:eastAsia="zh-CN" w:bidi="ar"/>
              </w:rPr>
              <w:t>单位</w:t>
            </w:r>
            <w:r>
              <w:rPr>
                <w:rFonts w:hint="eastAsia" w:ascii="宋体" w:hAnsi="宋体" w:eastAsia="宋体" w:cs="宋体"/>
                <w:i w:val="0"/>
                <w:iCs w:val="0"/>
                <w:color w:val="000000"/>
                <w:kern w:val="0"/>
                <w:sz w:val="22"/>
                <w:szCs w:val="22"/>
                <w:u w:val="none"/>
                <w:lang w:val="en-US" w:eastAsia="zh-CN" w:bidi="ar"/>
              </w:rPr>
              <w:t>本年度一般公共预算财政拨款支出情况。本套报表金额单位转换时可能存在尾数误差。</w:t>
            </w: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6"/>
        <w:tblW w:w="0" w:type="auto"/>
        <w:tblInd w:w="0" w:type="dxa"/>
        <w:tblLayout w:type="fixed"/>
        <w:tblCellMar>
          <w:top w:w="0" w:type="dxa"/>
          <w:left w:w="0" w:type="dxa"/>
          <w:bottom w:w="0" w:type="dxa"/>
          <w:right w:w="0" w:type="dxa"/>
        </w:tblCellMar>
      </w:tblPr>
      <w:tblGrid>
        <w:gridCol w:w="1008"/>
        <w:gridCol w:w="2785"/>
        <w:gridCol w:w="938"/>
        <w:gridCol w:w="870"/>
        <w:gridCol w:w="2066"/>
        <w:gridCol w:w="938"/>
        <w:gridCol w:w="870"/>
        <w:gridCol w:w="3575"/>
        <w:gridCol w:w="938"/>
      </w:tblGrid>
      <w:tr>
        <w:tblPrEx>
          <w:tblCellMar>
            <w:top w:w="0" w:type="dxa"/>
            <w:left w:w="0" w:type="dxa"/>
            <w:bottom w:w="0" w:type="dxa"/>
            <w:right w:w="0" w:type="dxa"/>
          </w:tblCellMar>
        </w:tblPrEx>
        <w:trPr>
          <w:trHeight w:val="435" w:hRule="atLeast"/>
        </w:trPr>
        <w:tc>
          <w:tcPr>
            <w:tcW w:w="13988" w:type="dxa"/>
            <w:gridSpan w:val="9"/>
            <w:tcBorders>
              <w:top w:val="nil"/>
              <w:left w:val="nil"/>
              <w:bottom w:val="nil"/>
              <w:right w:val="nil"/>
            </w:tcBorders>
            <w:noWrap/>
            <w:tcMar>
              <w:top w:w="15" w:type="dxa"/>
              <w:left w:w="15" w:type="dxa"/>
              <w:right w:w="15" w:type="dxa"/>
            </w:tcMar>
            <w:vAlign w:val="center"/>
          </w:tcPr>
          <w:p>
            <w:pPr>
              <w:widowControl/>
              <w:jc w:val="center"/>
              <w:textAlignment w:val="center"/>
              <w:rPr>
                <w:rFonts w:ascii="华文中宋" w:hAnsi="华文中宋" w:eastAsia="华文中宋" w:cs="华文中宋"/>
                <w:color w:val="000000"/>
                <w:sz w:val="32"/>
                <w:szCs w:val="32"/>
                <w:highlight w:val="none"/>
              </w:rPr>
            </w:pPr>
            <w:r>
              <w:rPr>
                <w:rFonts w:hint="eastAsia" w:ascii="华文中宋" w:hAnsi="华文中宋" w:eastAsia="华文中宋" w:cs="华文中宋"/>
                <w:color w:val="000000"/>
                <w:kern w:val="0"/>
                <w:sz w:val="32"/>
                <w:szCs w:val="32"/>
                <w:highlight w:val="none"/>
                <w:lang w:bidi="ar"/>
              </w:rPr>
              <w:t>一般公共预算财政拨款基本支出决算明细表</w:t>
            </w:r>
          </w:p>
        </w:tc>
      </w:tr>
      <w:tr>
        <w:tblPrEx>
          <w:tblCellMar>
            <w:top w:w="0" w:type="dxa"/>
            <w:left w:w="0" w:type="dxa"/>
            <w:bottom w:w="0" w:type="dxa"/>
            <w:right w:w="0" w:type="dxa"/>
          </w:tblCellMar>
        </w:tblPrEx>
        <w:trPr>
          <w:trHeight w:val="405" w:hRule="atLeast"/>
        </w:trPr>
        <w:tc>
          <w:tcPr>
            <w:tcW w:w="1008" w:type="dxa"/>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2785" w:type="dxa"/>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938" w:type="dxa"/>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870"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2066"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938"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870"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3575"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938" w:type="dxa"/>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公开06表</w:t>
            </w:r>
          </w:p>
        </w:tc>
      </w:tr>
      <w:tr>
        <w:tblPrEx>
          <w:tblCellMar>
            <w:top w:w="0" w:type="dxa"/>
            <w:left w:w="0" w:type="dxa"/>
            <w:bottom w:w="0" w:type="dxa"/>
            <w:right w:w="0" w:type="dxa"/>
          </w:tblCellMar>
        </w:tblPrEx>
        <w:trPr>
          <w:trHeight w:val="300" w:hRule="atLeast"/>
        </w:trPr>
        <w:tc>
          <w:tcPr>
            <w:tcW w:w="3793" w:type="dxa"/>
            <w:gridSpan w:val="2"/>
            <w:tcBorders>
              <w:top w:val="nil"/>
              <w:left w:val="nil"/>
              <w:bottom w:val="nil"/>
              <w:right w:val="nil"/>
            </w:tcBorders>
            <w:noWrap/>
            <w:tcMar>
              <w:top w:w="15" w:type="dxa"/>
              <w:left w:w="15" w:type="dxa"/>
              <w:right w:w="15" w:type="dxa"/>
            </w:tcMar>
            <w:vAlign w:val="center"/>
          </w:tcPr>
          <w:p>
            <w:pPr>
              <w:rPr>
                <w:rFonts w:ascii="Arial" w:hAnsi="Arial" w:cs="Arial"/>
                <w:color w:val="000000"/>
                <w:sz w:val="20"/>
                <w:szCs w:val="20"/>
                <w:highlight w:val="none"/>
              </w:rPr>
            </w:pPr>
            <w:r>
              <w:rPr>
                <w:rFonts w:hint="eastAsia" w:ascii="Arial" w:hAnsi="Arial" w:cs="Arial"/>
                <w:color w:val="000000"/>
                <w:kern w:val="0"/>
                <w:sz w:val="20"/>
                <w:szCs w:val="20"/>
                <w:highlight w:val="none"/>
                <w:lang w:val="en-US" w:eastAsia="zh-CN" w:bidi="ar"/>
              </w:rPr>
              <w:t>单位</w:t>
            </w:r>
            <w:r>
              <w:rPr>
                <w:rFonts w:ascii="Arial" w:hAnsi="Arial" w:cs="Arial"/>
                <w:color w:val="000000"/>
                <w:kern w:val="0"/>
                <w:sz w:val="20"/>
                <w:szCs w:val="20"/>
                <w:highlight w:val="none"/>
                <w:lang w:bidi="ar"/>
              </w:rPr>
              <w:t>：</w:t>
            </w:r>
            <w:r>
              <w:rPr>
                <w:rFonts w:hint="eastAsia" w:ascii="宋体" w:hAnsi="宋体" w:eastAsia="宋体" w:cs="宋体"/>
                <w:i w:val="0"/>
                <w:iCs w:val="0"/>
                <w:color w:val="000000"/>
                <w:kern w:val="0"/>
                <w:sz w:val="20"/>
                <w:szCs w:val="20"/>
                <w:u w:val="none"/>
                <w:lang w:val="en-US" w:eastAsia="zh-CN" w:bidi="ar"/>
              </w:rPr>
              <w:t>许昌市国有土地管理一所</w:t>
            </w:r>
          </w:p>
        </w:tc>
        <w:tc>
          <w:tcPr>
            <w:tcW w:w="938" w:type="dxa"/>
            <w:tcBorders>
              <w:top w:val="nil"/>
              <w:left w:val="nil"/>
              <w:bottom w:val="nil"/>
              <w:right w:val="nil"/>
            </w:tcBorders>
            <w:noWrap/>
            <w:tcMar>
              <w:top w:w="15" w:type="dxa"/>
              <w:left w:w="15" w:type="dxa"/>
              <w:right w:w="15" w:type="dxa"/>
            </w:tcMar>
            <w:vAlign w:val="center"/>
          </w:tcPr>
          <w:p>
            <w:pPr>
              <w:rPr>
                <w:rFonts w:ascii="Arial" w:hAnsi="Arial" w:cs="Arial"/>
                <w:color w:val="000000"/>
                <w:sz w:val="20"/>
                <w:szCs w:val="20"/>
                <w:highlight w:val="none"/>
              </w:rPr>
            </w:pPr>
          </w:p>
        </w:tc>
        <w:tc>
          <w:tcPr>
            <w:tcW w:w="870" w:type="dxa"/>
            <w:tcBorders>
              <w:top w:val="nil"/>
              <w:left w:val="nil"/>
              <w:bottom w:val="nil"/>
              <w:right w:val="nil"/>
            </w:tcBorders>
            <w:noWrap/>
            <w:tcMar>
              <w:top w:w="15" w:type="dxa"/>
              <w:left w:w="15" w:type="dxa"/>
              <w:right w:w="15" w:type="dxa"/>
            </w:tcMar>
            <w:vAlign w:val="center"/>
          </w:tcPr>
          <w:p>
            <w:pPr>
              <w:rPr>
                <w:rFonts w:ascii="Arial" w:hAnsi="Arial" w:cs="Arial"/>
                <w:color w:val="000000"/>
                <w:sz w:val="20"/>
                <w:szCs w:val="20"/>
                <w:highlight w:val="none"/>
              </w:rPr>
            </w:pPr>
          </w:p>
        </w:tc>
        <w:tc>
          <w:tcPr>
            <w:tcW w:w="2066" w:type="dxa"/>
            <w:tcBorders>
              <w:top w:val="nil"/>
              <w:left w:val="nil"/>
              <w:bottom w:val="nil"/>
              <w:right w:val="nil"/>
            </w:tcBorders>
            <w:noWrap/>
            <w:tcMar>
              <w:top w:w="15" w:type="dxa"/>
              <w:left w:w="15" w:type="dxa"/>
              <w:right w:w="15" w:type="dxa"/>
            </w:tcMar>
            <w:vAlign w:val="center"/>
          </w:tcPr>
          <w:p>
            <w:pPr>
              <w:rPr>
                <w:rFonts w:ascii="Arial" w:hAnsi="Arial" w:cs="Arial"/>
                <w:color w:val="000000"/>
                <w:sz w:val="20"/>
                <w:szCs w:val="20"/>
                <w:highlight w:val="none"/>
              </w:rPr>
            </w:pPr>
          </w:p>
        </w:tc>
        <w:tc>
          <w:tcPr>
            <w:tcW w:w="938" w:type="dxa"/>
            <w:tcBorders>
              <w:top w:val="nil"/>
              <w:left w:val="nil"/>
              <w:bottom w:val="nil"/>
              <w:right w:val="nil"/>
            </w:tcBorders>
            <w:noWrap/>
            <w:tcMar>
              <w:top w:w="15" w:type="dxa"/>
              <w:left w:w="15" w:type="dxa"/>
              <w:right w:w="15" w:type="dxa"/>
            </w:tcMar>
            <w:vAlign w:val="center"/>
          </w:tcPr>
          <w:p>
            <w:pPr>
              <w:rPr>
                <w:rFonts w:ascii="Arial" w:hAnsi="Arial" w:cs="Arial"/>
                <w:color w:val="000000"/>
                <w:sz w:val="20"/>
                <w:szCs w:val="20"/>
                <w:highlight w:val="none"/>
              </w:rPr>
            </w:pPr>
          </w:p>
        </w:tc>
        <w:tc>
          <w:tcPr>
            <w:tcW w:w="870" w:type="dxa"/>
            <w:tcBorders>
              <w:top w:val="nil"/>
              <w:left w:val="nil"/>
              <w:bottom w:val="nil"/>
              <w:right w:val="nil"/>
            </w:tcBorders>
            <w:noWrap/>
            <w:tcMar>
              <w:top w:w="15" w:type="dxa"/>
              <w:left w:w="15" w:type="dxa"/>
              <w:right w:w="15" w:type="dxa"/>
            </w:tcMar>
            <w:vAlign w:val="center"/>
          </w:tcPr>
          <w:p>
            <w:pPr>
              <w:rPr>
                <w:rFonts w:ascii="Arial" w:hAnsi="Arial" w:cs="Arial"/>
                <w:color w:val="000000"/>
                <w:sz w:val="20"/>
                <w:szCs w:val="20"/>
                <w:highlight w:val="none"/>
              </w:rPr>
            </w:pPr>
          </w:p>
        </w:tc>
        <w:tc>
          <w:tcPr>
            <w:tcW w:w="4513" w:type="dxa"/>
            <w:gridSpan w:val="2"/>
            <w:tcBorders>
              <w:top w:val="nil"/>
              <w:left w:val="nil"/>
              <w:bottom w:val="nil"/>
              <w:right w:val="nil"/>
            </w:tcBorders>
            <w:noWrap/>
            <w:tcMar>
              <w:top w:w="15" w:type="dxa"/>
              <w:left w:w="15" w:type="dxa"/>
              <w:right w:w="15" w:type="dxa"/>
            </w:tcMar>
            <w:vAlign w:val="center"/>
          </w:tcPr>
          <w:p>
            <w:pPr>
              <w:widowControl/>
              <w:jc w:val="righ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eastAsia="zh-CN" w:bidi="ar"/>
              </w:rPr>
              <w:t>金额</w:t>
            </w:r>
            <w:r>
              <w:rPr>
                <w:rFonts w:hint="eastAsia" w:ascii="宋体" w:hAnsi="宋体" w:cs="宋体"/>
                <w:color w:val="000000"/>
                <w:kern w:val="0"/>
                <w:sz w:val="20"/>
                <w:szCs w:val="20"/>
                <w:highlight w:val="none"/>
                <w:lang w:bidi="ar"/>
              </w:rPr>
              <w:t>单位：万元</w:t>
            </w:r>
          </w:p>
        </w:tc>
      </w:tr>
      <w:tr>
        <w:tblPrEx>
          <w:tblCellMar>
            <w:top w:w="0" w:type="dxa"/>
            <w:left w:w="0" w:type="dxa"/>
            <w:bottom w:w="0" w:type="dxa"/>
            <w:right w:w="0" w:type="dxa"/>
          </w:tblCellMar>
        </w:tblPrEx>
        <w:trPr>
          <w:trHeight w:val="615" w:hRule="atLeast"/>
        </w:trPr>
        <w:tc>
          <w:tcPr>
            <w:tcW w:w="1008" w:type="dxa"/>
            <w:tcBorders>
              <w:top w:val="single" w:color="000000" w:sz="8"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经济分类科目编码</w:t>
            </w:r>
          </w:p>
        </w:tc>
        <w:tc>
          <w:tcPr>
            <w:tcW w:w="2785" w:type="dxa"/>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科目名称</w:t>
            </w:r>
          </w:p>
        </w:tc>
        <w:tc>
          <w:tcPr>
            <w:tcW w:w="938" w:type="dxa"/>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决算数</w:t>
            </w:r>
          </w:p>
        </w:tc>
        <w:tc>
          <w:tcPr>
            <w:tcW w:w="870" w:type="dxa"/>
            <w:tcBorders>
              <w:top w:val="single" w:color="000000" w:sz="8"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经济分类科目编码</w:t>
            </w:r>
          </w:p>
        </w:tc>
        <w:tc>
          <w:tcPr>
            <w:tcW w:w="2066" w:type="dxa"/>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科目名称</w:t>
            </w:r>
          </w:p>
        </w:tc>
        <w:tc>
          <w:tcPr>
            <w:tcW w:w="938" w:type="dxa"/>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决算数</w:t>
            </w:r>
          </w:p>
        </w:tc>
        <w:tc>
          <w:tcPr>
            <w:tcW w:w="870" w:type="dxa"/>
            <w:tcBorders>
              <w:top w:val="single" w:color="000000" w:sz="8"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经济分类科目编码</w:t>
            </w:r>
          </w:p>
        </w:tc>
        <w:tc>
          <w:tcPr>
            <w:tcW w:w="3575" w:type="dxa"/>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科目名称</w:t>
            </w:r>
          </w:p>
        </w:tc>
        <w:tc>
          <w:tcPr>
            <w:tcW w:w="938" w:type="dxa"/>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决算数</w:t>
            </w: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301</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工资福利支出</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r>
              <w:rPr>
                <w:rFonts w:hint="eastAsia" w:ascii="宋体" w:hAnsi="宋体" w:cs="宋体"/>
                <w:color w:val="000000"/>
                <w:sz w:val="20"/>
                <w:szCs w:val="20"/>
                <w:highlight w:val="none"/>
              </w:rPr>
              <w:t>111.71</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302</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商品和服务支出</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2"/>
                <w:szCs w:val="22"/>
                <w:u w:val="none"/>
                <w:lang w:val="en-US" w:eastAsia="zh-CN" w:bidi="ar"/>
              </w:rPr>
              <w:t>8.44</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310</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资本性支出</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30101</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基本工资</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2"/>
                <w:szCs w:val="22"/>
                <w:u w:val="none"/>
                <w:lang w:val="en-US" w:eastAsia="zh-CN" w:bidi="ar"/>
              </w:rPr>
              <w:t>30.14</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30201</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办公费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2"/>
                <w:szCs w:val="22"/>
                <w:u w:val="none"/>
                <w:lang w:val="en-US" w:eastAsia="zh-CN" w:bidi="ar"/>
              </w:rPr>
              <w:t>4.71</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31001</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房屋建筑物购建</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30102</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津贴补贴</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2"/>
                <w:szCs w:val="22"/>
                <w:u w:val="none"/>
                <w:lang w:val="en-US" w:eastAsia="zh-CN" w:bidi="ar"/>
              </w:rPr>
              <w:t>27.32</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30202</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印刷费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2"/>
                <w:szCs w:val="22"/>
                <w:u w:val="none"/>
                <w:lang w:val="en-US" w:eastAsia="zh-CN" w:bidi="ar"/>
              </w:rPr>
              <w:t>0.16</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31002</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办公设备购置</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30103</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奖金</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2"/>
                <w:szCs w:val="22"/>
                <w:u w:val="none"/>
                <w:lang w:val="en-US" w:eastAsia="zh-CN" w:bidi="ar"/>
              </w:rPr>
              <w:t>11.41</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30203</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咨询费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31003</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专用设备购置</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30106</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伙食补助费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30204</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手续费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31005</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基础设施建设</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30107</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绩效工资</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2"/>
                <w:szCs w:val="22"/>
                <w:u w:val="none"/>
                <w:lang w:val="en-US" w:eastAsia="zh-CN" w:bidi="ar"/>
              </w:rPr>
              <w:t>17.30</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30205</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水费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31006</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大型修缮</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30108</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机关事业单位基本养老保险费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2"/>
                <w:szCs w:val="22"/>
                <w:u w:val="none"/>
                <w:lang w:val="en-US" w:eastAsia="zh-CN" w:bidi="ar"/>
              </w:rPr>
              <w:t>7.85</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30206</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电费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31007</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信息网络及软件购置更新</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30109</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职业年金缴费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30207</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邮电费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31008</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物资储备</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30110</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职工基本医疗保险缴费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2"/>
                <w:szCs w:val="22"/>
                <w:u w:val="none"/>
                <w:lang w:val="en-US" w:eastAsia="zh-CN" w:bidi="ar"/>
              </w:rPr>
              <w:t>3.68</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30208</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取暖费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31009</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土地补偿</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30111</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公务员医疗补助缴费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2"/>
                <w:szCs w:val="22"/>
                <w:u w:val="none"/>
                <w:lang w:val="en-US" w:eastAsia="zh-CN" w:bidi="ar"/>
              </w:rPr>
              <w:t>3.50</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30209</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物业管理费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31010</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安置补助</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30112</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其他社会保障缴费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2"/>
                <w:szCs w:val="22"/>
                <w:u w:val="none"/>
                <w:lang w:val="en-US" w:eastAsia="zh-CN" w:bidi="ar"/>
              </w:rPr>
              <w:t>0.11</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30211</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差旅费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31011</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地上附着物和青苗补偿</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30113</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住房公积金</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2"/>
                <w:szCs w:val="22"/>
                <w:u w:val="none"/>
                <w:lang w:val="en-US" w:eastAsia="zh-CN" w:bidi="ar"/>
              </w:rPr>
              <w:t>7.16</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30212</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因公出国（境）费用</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31012</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拆迁补偿</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30114</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医疗费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30213</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维修（护）费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31013</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公务用车购置</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30199</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其他工资福利支出</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2"/>
                <w:szCs w:val="22"/>
                <w:u w:val="none"/>
                <w:lang w:val="en-US" w:eastAsia="zh-CN" w:bidi="ar"/>
              </w:rPr>
              <w:t>3.24</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30214</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租赁费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31019</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其他交通工具购置</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303</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对个人和家庭的补助</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2"/>
                <w:szCs w:val="22"/>
                <w:u w:val="none"/>
                <w:lang w:val="en-US" w:eastAsia="zh-CN" w:bidi="ar"/>
              </w:rPr>
              <w:t>6.09</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30215</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会议费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31021</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文物和陈列品购置</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30301</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离休费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30216</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培训费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31022</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无形资产购置</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30302</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退休费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6.09</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30217</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公务招待费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31099</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其他资本性支出</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30303</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退职（役）费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30218</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专用材料费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312</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对企业补助</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30304</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抚恤金</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30224</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被装购置费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31201</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资本金注入</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30305</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生活补助</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30225</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专用燃料费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31203</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政府投资基金股权投资</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30306</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救济费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30226</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劳务费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31204</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费用补贴</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30307</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医疗费补助</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30227</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委托业务费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31205</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利息补贴</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30308</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助学金</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30228</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工会经费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2"/>
                <w:szCs w:val="22"/>
                <w:u w:val="none"/>
                <w:lang w:val="en-US" w:eastAsia="zh-CN" w:bidi="ar"/>
              </w:rPr>
              <w:t>0.48</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31299</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其他对企业补助</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30309</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奖励金</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30229</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福利费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2"/>
                <w:szCs w:val="22"/>
                <w:u w:val="none"/>
                <w:lang w:val="en-US" w:eastAsia="zh-CN" w:bidi="ar"/>
              </w:rPr>
              <w:t>0.60</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313</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对社会保障基金补助</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30310</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个人农业生产补贴</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30231</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公务用车运行维护费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2"/>
                <w:szCs w:val="22"/>
                <w:u w:val="none"/>
                <w:lang w:val="en-US" w:eastAsia="zh-CN" w:bidi="ar"/>
              </w:rPr>
              <w:t>1.47</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31302</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对社会保险基金补助</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30399</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对其他个人和家庭的补助支出</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30239</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其他交通费用</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31303</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补充全国社会保障基金</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0"/>
                <w:szCs w:val="20"/>
                <w:highlight w:val="none"/>
              </w:rPr>
            </w:pP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0"/>
                <w:szCs w:val="20"/>
                <w:highlight w:val="none"/>
              </w:rPr>
            </w:pP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30240</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税金及附加费用</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399</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其他支出</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0"/>
                <w:szCs w:val="20"/>
                <w:highlight w:val="none"/>
              </w:rPr>
            </w:pP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0"/>
                <w:szCs w:val="20"/>
                <w:highlight w:val="none"/>
              </w:rPr>
            </w:pP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30299</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其他商品和服务支出</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1.02</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39906</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赠与</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0"/>
                <w:szCs w:val="20"/>
                <w:highlight w:val="none"/>
              </w:rPr>
            </w:pP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0"/>
                <w:szCs w:val="20"/>
                <w:highlight w:val="none"/>
              </w:rPr>
            </w:pP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307</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债务利息及费用支出</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39907</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国家赔偿费用支出</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0"/>
                <w:szCs w:val="20"/>
                <w:highlight w:val="none"/>
              </w:rPr>
            </w:pP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0"/>
                <w:szCs w:val="20"/>
                <w:highlight w:val="none"/>
              </w:rPr>
            </w:pP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30701</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国内债务付息</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39908</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对民间非营利组织和群众性自治组织补贴</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0"/>
                <w:szCs w:val="20"/>
                <w:highlight w:val="none"/>
              </w:rPr>
            </w:pP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0"/>
                <w:szCs w:val="20"/>
                <w:highlight w:val="none"/>
              </w:rPr>
            </w:pP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30702</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国外债务付息</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39999</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其他支出</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0"/>
                <w:szCs w:val="20"/>
                <w:highlight w:val="none"/>
              </w:rPr>
            </w:pP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0"/>
                <w:szCs w:val="20"/>
                <w:highlight w:val="none"/>
              </w:rPr>
            </w:pP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30703</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国内债务发行费用</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0"/>
                <w:szCs w:val="20"/>
                <w:highlight w:val="none"/>
              </w:rPr>
            </w:pP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0"/>
                <w:szCs w:val="20"/>
                <w:highlight w:val="none"/>
              </w:rPr>
            </w:pP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252" w:hRule="atLeast"/>
        </w:trPr>
        <w:tc>
          <w:tcPr>
            <w:tcW w:w="3793" w:type="dxa"/>
            <w:gridSpan w:val="2"/>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30704</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国外债务发行费用</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18"/>
                <w:szCs w:val="18"/>
                <w:highlight w:val="none"/>
              </w:rPr>
            </w:pP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18"/>
                <w:szCs w:val="18"/>
                <w:highlight w:val="none"/>
              </w:rPr>
            </w:pP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252" w:hRule="atLeast"/>
        </w:trPr>
        <w:tc>
          <w:tcPr>
            <w:tcW w:w="3793" w:type="dxa"/>
            <w:gridSpan w:val="2"/>
            <w:tcBorders>
              <w:top w:val="single" w:color="000000" w:sz="4" w:space="0"/>
              <w:left w:val="single" w:color="000000" w:sz="8" w:space="0"/>
              <w:bottom w:val="single" w:color="000000" w:sz="8"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人员经费合计</w:t>
            </w:r>
          </w:p>
        </w:tc>
        <w:tc>
          <w:tcPr>
            <w:tcW w:w="938"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117.80</w:t>
            </w:r>
          </w:p>
        </w:tc>
        <w:tc>
          <w:tcPr>
            <w:tcW w:w="8319" w:type="dxa"/>
            <w:gridSpan w:val="5"/>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公用经费合计</w:t>
            </w:r>
          </w:p>
        </w:tc>
        <w:tc>
          <w:tcPr>
            <w:tcW w:w="938" w:type="dxa"/>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8.44</w:t>
            </w:r>
          </w:p>
        </w:tc>
      </w:tr>
      <w:tr>
        <w:tblPrEx>
          <w:tblCellMar>
            <w:top w:w="0" w:type="dxa"/>
            <w:left w:w="0" w:type="dxa"/>
            <w:bottom w:w="0" w:type="dxa"/>
            <w:right w:w="0" w:type="dxa"/>
          </w:tblCellMar>
        </w:tblPrEx>
        <w:trPr>
          <w:trHeight w:val="390" w:hRule="atLeast"/>
        </w:trPr>
        <w:tc>
          <w:tcPr>
            <w:tcW w:w="13988" w:type="dxa"/>
            <w:gridSpan w:val="9"/>
            <w:tcBorders>
              <w:top w:val="nil"/>
              <w:left w:val="nil"/>
              <w:bottom w:val="nil"/>
              <w:right w:val="nil"/>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注：本表反映</w:t>
            </w:r>
            <w:r>
              <w:rPr>
                <w:rFonts w:hint="eastAsia" w:ascii="宋体" w:hAnsi="宋体" w:cs="宋体"/>
                <w:color w:val="000000"/>
                <w:kern w:val="0"/>
                <w:sz w:val="20"/>
                <w:szCs w:val="20"/>
                <w:highlight w:val="none"/>
                <w:lang w:val="en-US" w:eastAsia="zh-CN" w:bidi="ar"/>
              </w:rPr>
              <w:t>单位</w:t>
            </w:r>
            <w:r>
              <w:rPr>
                <w:rFonts w:hint="eastAsia" w:ascii="宋体" w:hAnsi="宋体" w:cs="宋体"/>
                <w:color w:val="000000"/>
                <w:kern w:val="0"/>
                <w:sz w:val="20"/>
                <w:szCs w:val="20"/>
                <w:highlight w:val="none"/>
                <w:lang w:bidi="ar"/>
              </w:rPr>
              <w:t>本年度一般公共预算财政拨款基本支出明细情况。本表金额转换为万元时，因四舍五入可能存在尾差。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6"/>
        <w:tblW w:w="0" w:type="auto"/>
        <w:tblInd w:w="0" w:type="dxa"/>
        <w:tblLayout w:type="fixed"/>
        <w:tblCellMar>
          <w:top w:w="0" w:type="dxa"/>
          <w:left w:w="0" w:type="dxa"/>
          <w:bottom w:w="0" w:type="dxa"/>
          <w:right w:w="0" w:type="dxa"/>
        </w:tblCellMar>
      </w:tblPr>
      <w:tblGrid>
        <w:gridCol w:w="1151"/>
        <w:gridCol w:w="1149"/>
        <w:gridCol w:w="1150"/>
        <w:gridCol w:w="1150"/>
        <w:gridCol w:w="1151"/>
        <w:gridCol w:w="1150"/>
        <w:gridCol w:w="1151"/>
        <w:gridCol w:w="1151"/>
        <w:gridCol w:w="1151"/>
        <w:gridCol w:w="1151"/>
        <w:gridCol w:w="1151"/>
        <w:gridCol w:w="1151"/>
      </w:tblGrid>
      <w:tr>
        <w:tblPrEx>
          <w:tblCellMar>
            <w:top w:w="0" w:type="dxa"/>
            <w:left w:w="0" w:type="dxa"/>
            <w:bottom w:w="0" w:type="dxa"/>
            <w:right w:w="0" w:type="dxa"/>
          </w:tblCellMar>
        </w:tblPrEx>
        <w:trPr>
          <w:trHeight w:val="600" w:hRule="atLeast"/>
        </w:trPr>
        <w:tc>
          <w:tcPr>
            <w:tcW w:w="13807" w:type="dxa"/>
            <w:gridSpan w:val="12"/>
            <w:tcBorders>
              <w:top w:val="nil"/>
              <w:left w:val="nil"/>
              <w:bottom w:val="nil"/>
              <w:right w:val="nil"/>
            </w:tcBorders>
            <w:shd w:val="clear" w:color="auto" w:fill="FFFFFF"/>
            <w:noWrap w:val="0"/>
            <w:tcMar>
              <w:top w:w="15" w:type="dxa"/>
              <w:left w:w="15" w:type="dxa"/>
              <w:right w:w="15" w:type="dxa"/>
            </w:tcMar>
            <w:vAlign w:val="center"/>
          </w:tcPr>
          <w:p>
            <w:pPr>
              <w:widowControl/>
              <w:jc w:val="center"/>
              <w:textAlignment w:val="center"/>
              <w:rPr>
                <w:rFonts w:ascii="华文中宋" w:hAnsi="华文中宋" w:eastAsia="华文中宋" w:cs="华文中宋"/>
                <w:color w:val="000000"/>
                <w:sz w:val="32"/>
                <w:szCs w:val="32"/>
                <w:highlight w:val="none"/>
              </w:rPr>
            </w:pPr>
            <w:r>
              <w:rPr>
                <w:rFonts w:hint="eastAsia" w:ascii="华文中宋" w:hAnsi="华文中宋" w:eastAsia="华文中宋" w:cs="华文中宋"/>
                <w:color w:val="000000"/>
                <w:kern w:val="0"/>
                <w:sz w:val="32"/>
                <w:szCs w:val="32"/>
                <w:highlight w:val="none"/>
                <w:lang w:bidi="ar"/>
              </w:rPr>
              <w:t>一般公共预算财政拨款“三公”经费支出决算表</w:t>
            </w:r>
          </w:p>
        </w:tc>
      </w:tr>
      <w:tr>
        <w:tblPrEx>
          <w:tblCellMar>
            <w:top w:w="0" w:type="dxa"/>
            <w:left w:w="0" w:type="dxa"/>
            <w:bottom w:w="0" w:type="dxa"/>
            <w:right w:w="0" w:type="dxa"/>
          </w:tblCellMar>
        </w:tblPrEx>
        <w:trPr>
          <w:trHeight w:val="222" w:hRule="atLeast"/>
        </w:trPr>
        <w:tc>
          <w:tcPr>
            <w:tcW w:w="1151"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149"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150"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150"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151"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150"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151"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151"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151"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151"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151"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151" w:type="dxa"/>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公开07表</w:t>
            </w:r>
          </w:p>
        </w:tc>
      </w:tr>
      <w:tr>
        <w:tblPrEx>
          <w:tblCellMar>
            <w:top w:w="0" w:type="dxa"/>
            <w:left w:w="0" w:type="dxa"/>
            <w:bottom w:w="0" w:type="dxa"/>
            <w:right w:w="0" w:type="dxa"/>
          </w:tblCellMar>
        </w:tblPrEx>
        <w:trPr>
          <w:trHeight w:val="300" w:hRule="atLeast"/>
        </w:trPr>
        <w:tc>
          <w:tcPr>
            <w:tcW w:w="3450" w:type="dxa"/>
            <w:gridSpan w:val="3"/>
            <w:tcBorders>
              <w:top w:val="nil"/>
              <w:left w:val="nil"/>
              <w:bottom w:val="nil"/>
              <w:right w:val="nil"/>
            </w:tcBorders>
            <w:shd w:val="clear" w:color="auto" w:fill="FFFFFF"/>
            <w:noWrap/>
            <w:tcMar>
              <w:top w:w="15" w:type="dxa"/>
              <w:left w:w="15" w:type="dxa"/>
              <w:right w:w="15" w:type="dxa"/>
            </w:tcMar>
            <w:vAlign w:val="center"/>
          </w:tcPr>
          <w:p>
            <w:pP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val="en-US" w:eastAsia="zh-CN" w:bidi="ar"/>
              </w:rPr>
              <w:t>单位</w:t>
            </w:r>
            <w:r>
              <w:rPr>
                <w:rFonts w:hint="eastAsia" w:ascii="宋体" w:hAnsi="宋体" w:cs="宋体"/>
                <w:color w:val="000000"/>
                <w:kern w:val="0"/>
                <w:sz w:val="20"/>
                <w:szCs w:val="20"/>
                <w:highlight w:val="none"/>
                <w:lang w:bidi="ar"/>
              </w:rPr>
              <w:t>：</w:t>
            </w:r>
            <w:r>
              <w:rPr>
                <w:rFonts w:hint="eastAsia" w:ascii="宋体" w:hAnsi="宋体" w:eastAsia="宋体" w:cs="宋体"/>
                <w:i w:val="0"/>
                <w:iCs w:val="0"/>
                <w:color w:val="000000"/>
                <w:kern w:val="0"/>
                <w:sz w:val="20"/>
                <w:szCs w:val="20"/>
                <w:u w:val="none"/>
                <w:lang w:val="en-US" w:eastAsia="zh-CN" w:bidi="ar"/>
              </w:rPr>
              <w:t>许昌市国有土地管理一所</w:t>
            </w:r>
          </w:p>
        </w:tc>
        <w:tc>
          <w:tcPr>
            <w:tcW w:w="1150" w:type="dxa"/>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151" w:type="dxa"/>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150" w:type="dxa"/>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151" w:type="dxa"/>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151" w:type="dxa"/>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151" w:type="dxa"/>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151" w:type="dxa"/>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2302" w:type="dxa"/>
            <w:gridSpan w:val="2"/>
            <w:tcBorders>
              <w:top w:val="nil"/>
              <w:left w:val="nil"/>
              <w:bottom w:val="nil"/>
              <w:right w:val="nil"/>
            </w:tcBorders>
            <w:shd w:val="clear" w:color="auto" w:fill="FFFFFF"/>
            <w:noWrap w:val="0"/>
            <w:tcMar>
              <w:top w:w="15" w:type="dxa"/>
              <w:left w:w="15" w:type="dxa"/>
              <w:right w:w="15" w:type="dxa"/>
            </w:tcMar>
            <w:vAlign w:val="center"/>
          </w:tcPr>
          <w:p>
            <w:pPr>
              <w:widowControl/>
              <w:jc w:val="righ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eastAsia="zh-CN" w:bidi="ar"/>
              </w:rPr>
              <w:t>金额</w:t>
            </w:r>
            <w:r>
              <w:rPr>
                <w:rFonts w:hint="eastAsia" w:ascii="宋体" w:hAnsi="宋体" w:cs="宋体"/>
                <w:color w:val="000000"/>
                <w:kern w:val="0"/>
                <w:sz w:val="20"/>
                <w:szCs w:val="20"/>
                <w:highlight w:val="none"/>
                <w:lang w:bidi="ar"/>
              </w:rPr>
              <w:t>单位：万元</w:t>
            </w:r>
          </w:p>
        </w:tc>
      </w:tr>
      <w:tr>
        <w:tblPrEx>
          <w:tblCellMar>
            <w:top w:w="0" w:type="dxa"/>
            <w:left w:w="0" w:type="dxa"/>
            <w:bottom w:w="0" w:type="dxa"/>
            <w:right w:w="0" w:type="dxa"/>
          </w:tblCellMar>
        </w:tblPrEx>
        <w:trPr>
          <w:trHeight w:val="559" w:hRule="atLeast"/>
        </w:trPr>
        <w:tc>
          <w:tcPr>
            <w:tcW w:w="6901" w:type="dxa"/>
            <w:gridSpan w:val="6"/>
            <w:tcBorders>
              <w:top w:val="single" w:color="000000" w:sz="8"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预算数</w:t>
            </w:r>
          </w:p>
        </w:tc>
        <w:tc>
          <w:tcPr>
            <w:tcW w:w="6906" w:type="dxa"/>
            <w:gridSpan w:val="6"/>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决算数</w:t>
            </w:r>
          </w:p>
        </w:tc>
      </w:tr>
      <w:tr>
        <w:tblPrEx>
          <w:tblCellMar>
            <w:top w:w="0" w:type="dxa"/>
            <w:left w:w="0" w:type="dxa"/>
            <w:bottom w:w="0" w:type="dxa"/>
            <w:right w:w="0" w:type="dxa"/>
          </w:tblCellMar>
        </w:tblPrEx>
        <w:trPr>
          <w:trHeight w:val="600" w:hRule="atLeast"/>
        </w:trPr>
        <w:tc>
          <w:tcPr>
            <w:tcW w:w="1151" w:type="dxa"/>
            <w:vMerge w:val="restart"/>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合计</w:t>
            </w:r>
          </w:p>
        </w:tc>
        <w:tc>
          <w:tcPr>
            <w:tcW w:w="1149"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因公出国（境）费</w:t>
            </w:r>
          </w:p>
        </w:tc>
        <w:tc>
          <w:tcPr>
            <w:tcW w:w="3451"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公务用车购置及运行费</w:t>
            </w:r>
          </w:p>
        </w:tc>
        <w:tc>
          <w:tcPr>
            <w:tcW w:w="115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公务接待费</w:t>
            </w:r>
          </w:p>
        </w:tc>
        <w:tc>
          <w:tcPr>
            <w:tcW w:w="1151" w:type="dxa"/>
            <w:vMerge w:val="restart"/>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合计</w:t>
            </w:r>
          </w:p>
        </w:tc>
        <w:tc>
          <w:tcPr>
            <w:tcW w:w="1151"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因公出国（境）费</w:t>
            </w:r>
          </w:p>
        </w:tc>
        <w:tc>
          <w:tcPr>
            <w:tcW w:w="3453"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公务用车购置及运行费</w:t>
            </w:r>
          </w:p>
        </w:tc>
        <w:tc>
          <w:tcPr>
            <w:tcW w:w="1151" w:type="dxa"/>
            <w:vMerge w:val="restart"/>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公务接待费</w:t>
            </w:r>
          </w:p>
        </w:tc>
      </w:tr>
      <w:tr>
        <w:tblPrEx>
          <w:tblCellMar>
            <w:top w:w="0" w:type="dxa"/>
            <w:left w:w="0" w:type="dxa"/>
            <w:bottom w:w="0" w:type="dxa"/>
            <w:right w:w="0" w:type="dxa"/>
          </w:tblCellMar>
        </w:tblPrEx>
        <w:trPr>
          <w:trHeight w:val="600" w:hRule="atLeast"/>
        </w:trPr>
        <w:tc>
          <w:tcPr>
            <w:tcW w:w="1151" w:type="dxa"/>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14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150"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小计</w:t>
            </w:r>
          </w:p>
        </w:tc>
        <w:tc>
          <w:tcPr>
            <w:tcW w:w="1150"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highlight w:val="none"/>
                <w:lang w:eastAsia="zh-CN" w:bidi="ar"/>
              </w:rPr>
            </w:pPr>
            <w:r>
              <w:rPr>
                <w:rFonts w:hint="eastAsia" w:ascii="宋体" w:hAnsi="宋体" w:cs="宋体"/>
                <w:color w:val="000000"/>
                <w:kern w:val="0"/>
                <w:sz w:val="20"/>
                <w:szCs w:val="20"/>
                <w:highlight w:val="none"/>
                <w:lang w:bidi="ar"/>
              </w:rPr>
              <w:t>公务用车</w:t>
            </w:r>
          </w:p>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购置费</w:t>
            </w:r>
          </w:p>
        </w:tc>
        <w:tc>
          <w:tcPr>
            <w:tcW w:w="1151"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highlight w:val="none"/>
                <w:lang w:eastAsia="zh-CN" w:bidi="ar"/>
              </w:rPr>
            </w:pPr>
            <w:r>
              <w:rPr>
                <w:rFonts w:hint="eastAsia" w:ascii="宋体" w:hAnsi="宋体" w:cs="宋体"/>
                <w:color w:val="000000"/>
                <w:kern w:val="0"/>
                <w:sz w:val="20"/>
                <w:szCs w:val="20"/>
                <w:highlight w:val="none"/>
                <w:lang w:bidi="ar"/>
              </w:rPr>
              <w:t>公务用车</w:t>
            </w:r>
          </w:p>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运行费</w:t>
            </w:r>
          </w:p>
        </w:tc>
        <w:tc>
          <w:tcPr>
            <w:tcW w:w="11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151"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15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151"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小计</w:t>
            </w:r>
          </w:p>
        </w:tc>
        <w:tc>
          <w:tcPr>
            <w:tcW w:w="1151"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highlight w:val="none"/>
                <w:lang w:eastAsia="zh-CN" w:bidi="ar"/>
              </w:rPr>
            </w:pPr>
            <w:r>
              <w:rPr>
                <w:rFonts w:hint="eastAsia" w:ascii="宋体" w:hAnsi="宋体" w:cs="宋体"/>
                <w:color w:val="000000"/>
                <w:kern w:val="0"/>
                <w:sz w:val="20"/>
                <w:szCs w:val="20"/>
                <w:highlight w:val="none"/>
                <w:lang w:bidi="ar"/>
              </w:rPr>
              <w:t>公务用车</w:t>
            </w:r>
          </w:p>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购置费</w:t>
            </w:r>
          </w:p>
        </w:tc>
        <w:tc>
          <w:tcPr>
            <w:tcW w:w="1151"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highlight w:val="none"/>
                <w:lang w:eastAsia="zh-CN" w:bidi="ar"/>
              </w:rPr>
            </w:pPr>
            <w:r>
              <w:rPr>
                <w:rFonts w:hint="eastAsia" w:ascii="宋体" w:hAnsi="宋体" w:cs="宋体"/>
                <w:color w:val="000000"/>
                <w:kern w:val="0"/>
                <w:sz w:val="20"/>
                <w:szCs w:val="20"/>
                <w:highlight w:val="none"/>
                <w:lang w:bidi="ar"/>
              </w:rPr>
              <w:t>公务用车</w:t>
            </w:r>
          </w:p>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运行费</w:t>
            </w:r>
          </w:p>
        </w:tc>
        <w:tc>
          <w:tcPr>
            <w:tcW w:w="1151" w:type="dxa"/>
            <w:vMerge w:val="continue"/>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559" w:hRule="atLeast"/>
        </w:trPr>
        <w:tc>
          <w:tcPr>
            <w:tcW w:w="1151"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1</w:t>
            </w:r>
          </w:p>
        </w:tc>
        <w:tc>
          <w:tcPr>
            <w:tcW w:w="11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2</w:t>
            </w:r>
          </w:p>
        </w:tc>
        <w:tc>
          <w:tcPr>
            <w:tcW w:w="1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w:t>
            </w:r>
          </w:p>
        </w:tc>
        <w:tc>
          <w:tcPr>
            <w:tcW w:w="1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4</w:t>
            </w:r>
          </w:p>
        </w:tc>
        <w:tc>
          <w:tcPr>
            <w:tcW w:w="11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5</w:t>
            </w:r>
          </w:p>
        </w:tc>
        <w:tc>
          <w:tcPr>
            <w:tcW w:w="1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6</w:t>
            </w:r>
          </w:p>
        </w:tc>
        <w:tc>
          <w:tcPr>
            <w:tcW w:w="11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7</w:t>
            </w:r>
          </w:p>
        </w:tc>
        <w:tc>
          <w:tcPr>
            <w:tcW w:w="11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8</w:t>
            </w:r>
          </w:p>
        </w:tc>
        <w:tc>
          <w:tcPr>
            <w:tcW w:w="11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9</w:t>
            </w:r>
          </w:p>
        </w:tc>
        <w:tc>
          <w:tcPr>
            <w:tcW w:w="11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10</w:t>
            </w:r>
          </w:p>
        </w:tc>
        <w:tc>
          <w:tcPr>
            <w:tcW w:w="11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11</w:t>
            </w:r>
          </w:p>
        </w:tc>
        <w:tc>
          <w:tcPr>
            <w:tcW w:w="1151"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12</w:t>
            </w:r>
          </w:p>
        </w:tc>
      </w:tr>
      <w:tr>
        <w:tblPrEx>
          <w:tblCellMar>
            <w:top w:w="0" w:type="dxa"/>
            <w:left w:w="0" w:type="dxa"/>
            <w:bottom w:w="0" w:type="dxa"/>
            <w:right w:w="0" w:type="dxa"/>
          </w:tblCellMar>
        </w:tblPrEx>
        <w:trPr>
          <w:trHeight w:val="855" w:hRule="atLeast"/>
        </w:trPr>
        <w:tc>
          <w:tcPr>
            <w:tcW w:w="1151" w:type="dxa"/>
            <w:tcBorders>
              <w:top w:val="single" w:color="000000" w:sz="4" w:space="0"/>
              <w:left w:val="single" w:color="000000" w:sz="8"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2.00</w:t>
            </w:r>
          </w:p>
        </w:tc>
        <w:tc>
          <w:tcPr>
            <w:tcW w:w="1149"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150"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2.00</w:t>
            </w:r>
          </w:p>
        </w:tc>
        <w:tc>
          <w:tcPr>
            <w:tcW w:w="1150"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151"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2.00</w:t>
            </w:r>
          </w:p>
        </w:tc>
        <w:tc>
          <w:tcPr>
            <w:tcW w:w="1150"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151"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1.47</w:t>
            </w:r>
          </w:p>
        </w:tc>
        <w:tc>
          <w:tcPr>
            <w:tcW w:w="1151"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151"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1.47</w:t>
            </w:r>
          </w:p>
        </w:tc>
        <w:tc>
          <w:tcPr>
            <w:tcW w:w="1151"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151" w:type="dxa"/>
            <w:tcBorders>
              <w:top w:val="single" w:color="000000" w:sz="4" w:space="0"/>
              <w:left w:val="single" w:color="000000" w:sz="4" w:space="0"/>
              <w:bottom w:val="single" w:color="000000" w:sz="8" w:space="0"/>
              <w:right w:val="nil"/>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1.47</w:t>
            </w:r>
          </w:p>
        </w:tc>
        <w:tc>
          <w:tcPr>
            <w:tcW w:w="1151"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900" w:hRule="atLeast"/>
        </w:trPr>
        <w:tc>
          <w:tcPr>
            <w:tcW w:w="13807" w:type="dxa"/>
            <w:gridSpan w:val="12"/>
            <w:tcBorders>
              <w:top w:val="single" w:color="000000" w:sz="8" w:space="0"/>
              <w:left w:val="nil"/>
              <w:bottom w:val="nil"/>
              <w:right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注：本表反映</w:t>
            </w:r>
            <w:r>
              <w:rPr>
                <w:rFonts w:hint="eastAsia" w:ascii="宋体" w:hAnsi="宋体" w:cs="宋体"/>
                <w:color w:val="000000"/>
                <w:kern w:val="0"/>
                <w:sz w:val="20"/>
                <w:szCs w:val="20"/>
                <w:highlight w:val="none"/>
                <w:lang w:val="en-US" w:eastAsia="zh-CN" w:bidi="ar"/>
              </w:rPr>
              <w:t>单位</w:t>
            </w:r>
            <w:r>
              <w:rPr>
                <w:rFonts w:hint="eastAsia" w:ascii="宋体" w:hAnsi="宋体" w:cs="宋体"/>
                <w:color w:val="000000"/>
                <w:kern w:val="0"/>
                <w:sz w:val="20"/>
                <w:szCs w:val="20"/>
                <w:highlight w:val="none"/>
                <w:lang w:bidi="ar"/>
              </w:rPr>
              <w:t>本年度“三公”经费支出预决算情况。其中：预算数为“三公”经费全年预算数，反映按规定程序调整后的预算数；决算数是包括当年一般公共预算财政拨款和以前年度结转资金安排的实际支出。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2098" w:right="1474" w:bottom="1984" w:left="1587" w:header="720" w:footer="720" w:gutter="0"/>
          <w:pgNumType w:fmt="numberInDash"/>
          <w:cols w:space="720" w:num="1"/>
          <w:docGrid w:type="lines" w:linePitch="312" w:charSpace="0"/>
        </w:sectPr>
      </w:pPr>
    </w:p>
    <w:tbl>
      <w:tblPr>
        <w:tblStyle w:val="6"/>
        <w:tblW w:w="14018" w:type="dxa"/>
        <w:tblInd w:w="0" w:type="dxa"/>
        <w:tblLayout w:type="fixed"/>
        <w:tblCellMar>
          <w:top w:w="0" w:type="dxa"/>
          <w:left w:w="0" w:type="dxa"/>
          <w:bottom w:w="0" w:type="dxa"/>
          <w:right w:w="0" w:type="dxa"/>
        </w:tblCellMar>
      </w:tblPr>
      <w:tblGrid>
        <w:gridCol w:w="612"/>
        <w:gridCol w:w="536"/>
        <w:gridCol w:w="1276"/>
        <w:gridCol w:w="1926"/>
        <w:gridCol w:w="30"/>
        <w:gridCol w:w="1896"/>
        <w:gridCol w:w="30"/>
        <w:gridCol w:w="1896"/>
        <w:gridCol w:w="30"/>
        <w:gridCol w:w="1897"/>
        <w:gridCol w:w="30"/>
        <w:gridCol w:w="1896"/>
        <w:gridCol w:w="30"/>
        <w:gridCol w:w="1903"/>
        <w:gridCol w:w="30"/>
      </w:tblGrid>
      <w:tr>
        <w:tblPrEx>
          <w:tblCellMar>
            <w:top w:w="0" w:type="dxa"/>
            <w:left w:w="0" w:type="dxa"/>
            <w:bottom w:w="0" w:type="dxa"/>
            <w:right w:w="0" w:type="dxa"/>
          </w:tblCellMar>
        </w:tblPrEx>
        <w:trPr>
          <w:gridAfter w:val="1"/>
          <w:wAfter w:w="30" w:type="dxa"/>
          <w:trHeight w:val="600" w:hRule="atLeast"/>
        </w:trPr>
        <w:tc>
          <w:tcPr>
            <w:tcW w:w="13988" w:type="dxa"/>
            <w:gridSpan w:val="14"/>
            <w:tcBorders>
              <w:top w:val="nil"/>
              <w:left w:val="nil"/>
              <w:bottom w:val="nil"/>
              <w:right w:val="nil"/>
            </w:tcBorders>
            <w:shd w:val="clear" w:color="auto" w:fill="FFFFFF"/>
            <w:noWrap w:val="0"/>
            <w:tcMar>
              <w:top w:w="15" w:type="dxa"/>
              <w:left w:w="15" w:type="dxa"/>
              <w:right w:w="15" w:type="dxa"/>
            </w:tcMar>
            <w:vAlign w:val="center"/>
          </w:tcPr>
          <w:p>
            <w:pPr>
              <w:widowControl/>
              <w:jc w:val="center"/>
              <w:textAlignment w:val="center"/>
              <w:rPr>
                <w:rFonts w:ascii="华文中宋" w:hAnsi="华文中宋" w:eastAsia="华文中宋" w:cs="华文中宋"/>
                <w:color w:val="000000"/>
                <w:sz w:val="32"/>
                <w:szCs w:val="32"/>
                <w:highlight w:val="none"/>
              </w:rPr>
            </w:pPr>
            <w:r>
              <w:rPr>
                <w:rFonts w:hint="eastAsia" w:ascii="华文中宋" w:hAnsi="华文中宋" w:eastAsia="华文中宋" w:cs="华文中宋"/>
                <w:color w:val="000000"/>
                <w:kern w:val="0"/>
                <w:sz w:val="32"/>
                <w:szCs w:val="32"/>
                <w:highlight w:val="none"/>
                <w:lang w:bidi="ar"/>
              </w:rPr>
              <w:t>政府性基金预算财政拨款收入支出决算表</w:t>
            </w:r>
          </w:p>
        </w:tc>
      </w:tr>
      <w:tr>
        <w:tblPrEx>
          <w:tblCellMar>
            <w:top w:w="0" w:type="dxa"/>
            <w:left w:w="0" w:type="dxa"/>
            <w:bottom w:w="0" w:type="dxa"/>
            <w:right w:w="0" w:type="dxa"/>
          </w:tblCellMar>
        </w:tblPrEx>
        <w:trPr>
          <w:gridAfter w:val="1"/>
          <w:wAfter w:w="30" w:type="dxa"/>
          <w:trHeight w:val="222" w:hRule="atLeast"/>
        </w:trPr>
        <w:tc>
          <w:tcPr>
            <w:tcW w:w="612" w:type="dxa"/>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536" w:type="dxa"/>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276" w:type="dxa"/>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26"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gridSpan w:val="2"/>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gridSpan w:val="2"/>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7" w:type="dxa"/>
            <w:gridSpan w:val="2"/>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gridSpan w:val="2"/>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33" w:type="dxa"/>
            <w:gridSpan w:val="2"/>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公开08表</w:t>
            </w:r>
          </w:p>
        </w:tc>
      </w:tr>
      <w:tr>
        <w:tblPrEx>
          <w:tblCellMar>
            <w:top w:w="0" w:type="dxa"/>
            <w:left w:w="0" w:type="dxa"/>
            <w:bottom w:w="0" w:type="dxa"/>
            <w:right w:w="0" w:type="dxa"/>
          </w:tblCellMar>
        </w:tblPrEx>
        <w:trPr>
          <w:trHeight w:val="300" w:hRule="atLeast"/>
        </w:trPr>
        <w:tc>
          <w:tcPr>
            <w:tcW w:w="4380" w:type="dxa"/>
            <w:gridSpan w:val="5"/>
            <w:tcBorders>
              <w:top w:val="nil"/>
              <w:left w:val="nil"/>
              <w:bottom w:val="nil"/>
              <w:right w:val="nil"/>
            </w:tcBorders>
            <w:shd w:val="clear" w:color="auto" w:fill="FFFFFF"/>
            <w:noWrap/>
            <w:tcMar>
              <w:top w:w="15" w:type="dxa"/>
              <w:left w:w="15" w:type="dxa"/>
              <w:right w:w="15" w:type="dxa"/>
            </w:tcMar>
            <w:vAlign w:val="center"/>
          </w:tcPr>
          <w:p>
            <w:pP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val="en-US" w:eastAsia="zh-CN" w:bidi="ar"/>
              </w:rPr>
              <w:t>单位</w:t>
            </w:r>
            <w:r>
              <w:rPr>
                <w:rFonts w:hint="eastAsia" w:ascii="宋体" w:hAnsi="宋体" w:cs="宋体"/>
                <w:color w:val="000000"/>
                <w:kern w:val="0"/>
                <w:sz w:val="20"/>
                <w:szCs w:val="20"/>
                <w:highlight w:val="none"/>
                <w:lang w:bidi="ar"/>
              </w:rPr>
              <w:t>：</w:t>
            </w:r>
            <w:r>
              <w:rPr>
                <w:rFonts w:hint="eastAsia" w:ascii="宋体" w:hAnsi="宋体" w:eastAsia="宋体" w:cs="宋体"/>
                <w:i w:val="0"/>
                <w:iCs w:val="0"/>
                <w:color w:val="000000"/>
                <w:kern w:val="0"/>
                <w:sz w:val="20"/>
                <w:szCs w:val="20"/>
                <w:u w:val="none"/>
                <w:lang w:val="en-US" w:eastAsia="zh-CN" w:bidi="ar"/>
              </w:rPr>
              <w:t>许昌市国有土地管理一所</w:t>
            </w:r>
          </w:p>
        </w:tc>
        <w:tc>
          <w:tcPr>
            <w:tcW w:w="1926" w:type="dxa"/>
            <w:gridSpan w:val="2"/>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gridSpan w:val="2"/>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7" w:type="dxa"/>
            <w:gridSpan w:val="2"/>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gridSpan w:val="2"/>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33" w:type="dxa"/>
            <w:gridSpan w:val="2"/>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eastAsia="zh-CN" w:bidi="ar"/>
              </w:rPr>
              <w:t>金额</w:t>
            </w:r>
            <w:r>
              <w:rPr>
                <w:rFonts w:hint="eastAsia" w:ascii="宋体" w:hAnsi="宋体" w:cs="宋体"/>
                <w:color w:val="000000"/>
                <w:kern w:val="0"/>
                <w:sz w:val="20"/>
                <w:szCs w:val="20"/>
                <w:highlight w:val="none"/>
                <w:lang w:bidi="ar"/>
              </w:rPr>
              <w:t>单位：万元</w:t>
            </w:r>
          </w:p>
        </w:tc>
      </w:tr>
      <w:tr>
        <w:tblPrEx>
          <w:tblCellMar>
            <w:top w:w="0" w:type="dxa"/>
            <w:left w:w="0" w:type="dxa"/>
            <w:bottom w:w="0" w:type="dxa"/>
            <w:right w:w="0" w:type="dxa"/>
          </w:tblCellMar>
        </w:tblPrEx>
        <w:trPr>
          <w:gridAfter w:val="1"/>
          <w:wAfter w:w="30" w:type="dxa"/>
          <w:trHeight w:val="405" w:hRule="atLeast"/>
        </w:trPr>
        <w:tc>
          <w:tcPr>
            <w:tcW w:w="2424" w:type="dxa"/>
            <w:gridSpan w:val="3"/>
            <w:tcBorders>
              <w:top w:val="single" w:color="000000" w:sz="8"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项    目</w:t>
            </w:r>
          </w:p>
        </w:tc>
        <w:tc>
          <w:tcPr>
            <w:tcW w:w="1926" w:type="dxa"/>
            <w:vMerge w:val="restart"/>
            <w:tcBorders>
              <w:top w:val="single" w:color="000000" w:sz="8" w:space="0"/>
              <w:left w:val="single" w:color="000000" w:sz="4" w:space="0"/>
              <w:bottom w:val="single" w:color="000000" w:sz="4" w:space="0"/>
              <w:right w:val="nil"/>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eastAsia="zh-CN" w:bidi="ar"/>
              </w:rPr>
              <w:t>年初</w:t>
            </w:r>
            <w:r>
              <w:rPr>
                <w:rFonts w:hint="eastAsia" w:ascii="宋体" w:hAnsi="宋体" w:cs="宋体"/>
                <w:color w:val="000000"/>
                <w:kern w:val="0"/>
                <w:sz w:val="20"/>
                <w:szCs w:val="20"/>
                <w:highlight w:val="none"/>
                <w:lang w:bidi="ar"/>
              </w:rPr>
              <w:t>结转和结余</w:t>
            </w:r>
          </w:p>
        </w:tc>
        <w:tc>
          <w:tcPr>
            <w:tcW w:w="1926" w:type="dxa"/>
            <w:gridSpan w:val="2"/>
            <w:vMerge w:val="restart"/>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本年收入</w:t>
            </w:r>
          </w:p>
        </w:tc>
        <w:tc>
          <w:tcPr>
            <w:tcW w:w="5779" w:type="dxa"/>
            <w:gridSpan w:val="6"/>
            <w:tcBorders>
              <w:top w:val="single" w:color="000000" w:sz="8" w:space="0"/>
              <w:left w:val="single" w:color="000000" w:sz="4" w:space="0"/>
              <w:bottom w:val="single" w:color="000000" w:sz="4" w:space="0"/>
              <w:right w:val="nil"/>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本年支出</w:t>
            </w:r>
          </w:p>
        </w:tc>
        <w:tc>
          <w:tcPr>
            <w:tcW w:w="1933" w:type="dxa"/>
            <w:gridSpan w:val="2"/>
            <w:vMerge w:val="restart"/>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年末结转和结余</w:t>
            </w:r>
          </w:p>
        </w:tc>
      </w:tr>
      <w:tr>
        <w:tblPrEx>
          <w:tblCellMar>
            <w:top w:w="0" w:type="dxa"/>
            <w:left w:w="0" w:type="dxa"/>
            <w:bottom w:w="0" w:type="dxa"/>
            <w:right w:w="0" w:type="dxa"/>
          </w:tblCellMar>
        </w:tblPrEx>
        <w:trPr>
          <w:gridAfter w:val="1"/>
          <w:wAfter w:w="30" w:type="dxa"/>
          <w:trHeight w:val="540" w:hRule="atLeast"/>
        </w:trPr>
        <w:tc>
          <w:tcPr>
            <w:tcW w:w="1148" w:type="dxa"/>
            <w:gridSpan w:val="2"/>
            <w:vMerge w:val="restart"/>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highlight w:val="none"/>
                <w:lang w:bidi="ar"/>
              </w:rPr>
            </w:pPr>
            <w:r>
              <w:rPr>
                <w:rFonts w:hint="eastAsia" w:ascii="宋体" w:hAnsi="宋体" w:cs="宋体"/>
                <w:color w:val="000000"/>
                <w:kern w:val="0"/>
                <w:sz w:val="20"/>
                <w:szCs w:val="20"/>
                <w:highlight w:val="none"/>
                <w:lang w:bidi="ar"/>
              </w:rPr>
              <w:t>功能分类</w:t>
            </w:r>
          </w:p>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科目编码</w:t>
            </w:r>
          </w:p>
        </w:tc>
        <w:tc>
          <w:tcPr>
            <w:tcW w:w="127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科目名称</w:t>
            </w:r>
          </w:p>
        </w:tc>
        <w:tc>
          <w:tcPr>
            <w:tcW w:w="1926" w:type="dxa"/>
            <w:vMerge w:val="continue"/>
            <w:tcBorders>
              <w:top w:val="single" w:color="000000" w:sz="8" w:space="0"/>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26" w:type="dxa"/>
            <w:gridSpan w:val="2"/>
            <w:vMerge w:val="continue"/>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26" w:type="dxa"/>
            <w:gridSpan w:val="2"/>
            <w:vMerge w:val="restart"/>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小计</w:t>
            </w:r>
          </w:p>
        </w:tc>
        <w:tc>
          <w:tcPr>
            <w:tcW w:w="1927" w:type="dxa"/>
            <w:gridSpan w:val="2"/>
            <w:vMerge w:val="restart"/>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基本支出</w:t>
            </w:r>
          </w:p>
        </w:tc>
        <w:tc>
          <w:tcPr>
            <w:tcW w:w="1926" w:type="dxa"/>
            <w:gridSpan w:val="2"/>
            <w:vMerge w:val="restart"/>
            <w:tcBorders>
              <w:top w:val="nil"/>
              <w:left w:val="single" w:color="000000" w:sz="4" w:space="0"/>
              <w:bottom w:val="single" w:color="000000" w:sz="4" w:space="0"/>
              <w:right w:val="nil"/>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项目支出</w:t>
            </w:r>
          </w:p>
        </w:tc>
        <w:tc>
          <w:tcPr>
            <w:tcW w:w="1933" w:type="dxa"/>
            <w:gridSpan w:val="2"/>
            <w:vMerge w:val="continue"/>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r>
      <w:tr>
        <w:tblPrEx>
          <w:tblCellMar>
            <w:top w:w="0" w:type="dxa"/>
            <w:left w:w="0" w:type="dxa"/>
            <w:bottom w:w="0" w:type="dxa"/>
            <w:right w:w="0" w:type="dxa"/>
          </w:tblCellMar>
        </w:tblPrEx>
        <w:trPr>
          <w:gridAfter w:val="1"/>
          <w:wAfter w:w="30" w:type="dxa"/>
          <w:trHeight w:val="360" w:hRule="atLeast"/>
        </w:trPr>
        <w:tc>
          <w:tcPr>
            <w:tcW w:w="1148" w:type="dxa"/>
            <w:gridSpan w:val="2"/>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27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26" w:type="dxa"/>
            <w:vMerge w:val="continue"/>
            <w:tcBorders>
              <w:top w:val="single" w:color="000000" w:sz="8" w:space="0"/>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26" w:type="dxa"/>
            <w:gridSpan w:val="2"/>
            <w:vMerge w:val="continue"/>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26" w:type="dxa"/>
            <w:gridSpan w:val="2"/>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27" w:type="dxa"/>
            <w:gridSpan w:val="2"/>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26" w:type="dxa"/>
            <w:gridSpan w:val="2"/>
            <w:vMerge w:val="continue"/>
            <w:tcBorders>
              <w:top w:val="nil"/>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33" w:type="dxa"/>
            <w:gridSpan w:val="2"/>
            <w:vMerge w:val="continue"/>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r>
      <w:tr>
        <w:tblPrEx>
          <w:tblCellMar>
            <w:top w:w="0" w:type="dxa"/>
            <w:left w:w="0" w:type="dxa"/>
            <w:bottom w:w="0" w:type="dxa"/>
            <w:right w:w="0" w:type="dxa"/>
          </w:tblCellMar>
        </w:tblPrEx>
        <w:trPr>
          <w:gridAfter w:val="1"/>
          <w:wAfter w:w="30" w:type="dxa"/>
          <w:trHeight w:val="450" w:hRule="atLeast"/>
        </w:trPr>
        <w:tc>
          <w:tcPr>
            <w:tcW w:w="1148" w:type="dxa"/>
            <w:gridSpan w:val="2"/>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27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26" w:type="dxa"/>
            <w:vMerge w:val="continue"/>
            <w:tcBorders>
              <w:top w:val="single" w:color="000000" w:sz="8" w:space="0"/>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26" w:type="dxa"/>
            <w:gridSpan w:val="2"/>
            <w:vMerge w:val="continue"/>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26" w:type="dxa"/>
            <w:gridSpan w:val="2"/>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27" w:type="dxa"/>
            <w:gridSpan w:val="2"/>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26" w:type="dxa"/>
            <w:gridSpan w:val="2"/>
            <w:vMerge w:val="continue"/>
            <w:tcBorders>
              <w:top w:val="nil"/>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33" w:type="dxa"/>
            <w:gridSpan w:val="2"/>
            <w:vMerge w:val="continue"/>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r>
      <w:tr>
        <w:tblPrEx>
          <w:tblCellMar>
            <w:top w:w="0" w:type="dxa"/>
            <w:left w:w="0" w:type="dxa"/>
            <w:bottom w:w="0" w:type="dxa"/>
            <w:right w:w="0" w:type="dxa"/>
          </w:tblCellMar>
        </w:tblPrEx>
        <w:trPr>
          <w:gridAfter w:val="1"/>
          <w:wAfter w:w="30" w:type="dxa"/>
          <w:trHeight w:val="450" w:hRule="atLeast"/>
        </w:trPr>
        <w:tc>
          <w:tcPr>
            <w:tcW w:w="2424" w:type="dxa"/>
            <w:gridSpan w:val="3"/>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栏次</w:t>
            </w: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1</w:t>
            </w: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2</w:t>
            </w: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w:t>
            </w:r>
          </w:p>
        </w:tc>
        <w:tc>
          <w:tcPr>
            <w:tcW w:w="192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4</w:t>
            </w:r>
          </w:p>
        </w:tc>
        <w:tc>
          <w:tcPr>
            <w:tcW w:w="1926" w:type="dxa"/>
            <w:gridSpan w:val="2"/>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5</w:t>
            </w:r>
          </w:p>
        </w:tc>
        <w:tc>
          <w:tcPr>
            <w:tcW w:w="1933" w:type="dxa"/>
            <w:gridSpan w:val="2"/>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6</w:t>
            </w:r>
          </w:p>
        </w:tc>
      </w:tr>
      <w:tr>
        <w:tblPrEx>
          <w:tblCellMar>
            <w:top w:w="0" w:type="dxa"/>
            <w:left w:w="0" w:type="dxa"/>
            <w:bottom w:w="0" w:type="dxa"/>
            <w:right w:w="0" w:type="dxa"/>
          </w:tblCellMar>
        </w:tblPrEx>
        <w:trPr>
          <w:gridAfter w:val="1"/>
          <w:wAfter w:w="30" w:type="dxa"/>
          <w:trHeight w:val="450" w:hRule="atLeast"/>
        </w:trPr>
        <w:tc>
          <w:tcPr>
            <w:tcW w:w="2424" w:type="dxa"/>
            <w:gridSpan w:val="3"/>
            <w:tcBorders>
              <w:top w:val="nil"/>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合计</w:t>
            </w: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2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26" w:type="dxa"/>
            <w:gridSpan w:val="2"/>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33" w:type="dxa"/>
            <w:gridSpan w:val="2"/>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r>
      <w:tr>
        <w:tblPrEx>
          <w:tblCellMar>
            <w:top w:w="0" w:type="dxa"/>
            <w:left w:w="0" w:type="dxa"/>
            <w:bottom w:w="0" w:type="dxa"/>
            <w:right w:w="0" w:type="dxa"/>
          </w:tblCellMar>
        </w:tblPrEx>
        <w:trPr>
          <w:gridAfter w:val="1"/>
          <w:wAfter w:w="30" w:type="dxa"/>
          <w:trHeight w:val="450" w:hRule="atLeast"/>
        </w:trPr>
        <w:tc>
          <w:tcPr>
            <w:tcW w:w="1148"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2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gridSpan w:val="2"/>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33" w:type="dxa"/>
            <w:gridSpan w:val="2"/>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r>
      <w:tr>
        <w:tblPrEx>
          <w:tblCellMar>
            <w:top w:w="0" w:type="dxa"/>
            <w:left w:w="0" w:type="dxa"/>
            <w:bottom w:w="0" w:type="dxa"/>
            <w:right w:w="0" w:type="dxa"/>
          </w:tblCellMar>
        </w:tblPrEx>
        <w:trPr>
          <w:gridAfter w:val="1"/>
          <w:wAfter w:w="30" w:type="dxa"/>
          <w:trHeight w:val="450" w:hRule="atLeast"/>
        </w:trPr>
        <w:tc>
          <w:tcPr>
            <w:tcW w:w="1148"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2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gridSpan w:val="2"/>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33" w:type="dxa"/>
            <w:gridSpan w:val="2"/>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r>
      <w:tr>
        <w:tblPrEx>
          <w:tblCellMar>
            <w:top w:w="0" w:type="dxa"/>
            <w:left w:w="0" w:type="dxa"/>
            <w:bottom w:w="0" w:type="dxa"/>
            <w:right w:w="0" w:type="dxa"/>
          </w:tblCellMar>
        </w:tblPrEx>
        <w:trPr>
          <w:gridAfter w:val="1"/>
          <w:wAfter w:w="30" w:type="dxa"/>
          <w:trHeight w:val="645" w:hRule="atLeast"/>
        </w:trPr>
        <w:tc>
          <w:tcPr>
            <w:tcW w:w="13988" w:type="dxa"/>
            <w:gridSpan w:val="14"/>
            <w:tcBorders>
              <w:top w:val="single" w:color="000000" w:sz="8" w:space="0"/>
              <w:left w:val="nil"/>
              <w:bottom w:val="nil"/>
              <w:right w:val="nil"/>
            </w:tcBorders>
            <w:noWrap w:val="0"/>
            <w:tcMar>
              <w:top w:w="15" w:type="dxa"/>
              <w:left w:w="15" w:type="dxa"/>
              <w:right w:w="15" w:type="dxa"/>
            </w:tcMar>
            <w:vAlign w:val="center"/>
          </w:tcPr>
          <w:p>
            <w:pPr>
              <w:widowControl/>
              <w:jc w:val="left"/>
              <w:textAlignment w:val="center"/>
              <w:rPr>
                <w:rFonts w:ascii="宋体" w:hAnsi="宋体" w:cs="宋体"/>
                <w:color w:val="000000"/>
                <w:kern w:val="0"/>
                <w:sz w:val="20"/>
                <w:szCs w:val="20"/>
                <w:highlight w:val="none"/>
                <w:lang w:bidi="ar"/>
              </w:rPr>
            </w:pPr>
            <w:r>
              <w:rPr>
                <w:rFonts w:hint="eastAsia" w:ascii="宋体" w:hAnsi="宋体" w:cs="宋体"/>
                <w:color w:val="000000"/>
                <w:kern w:val="0"/>
                <w:sz w:val="20"/>
                <w:szCs w:val="20"/>
                <w:highlight w:val="none"/>
                <w:lang w:bidi="ar"/>
              </w:rPr>
              <w:t>注：本表反映</w:t>
            </w:r>
            <w:r>
              <w:rPr>
                <w:rFonts w:hint="eastAsia" w:ascii="宋体" w:hAnsi="宋体" w:cs="宋体"/>
                <w:color w:val="000000"/>
                <w:kern w:val="0"/>
                <w:sz w:val="20"/>
                <w:szCs w:val="20"/>
                <w:highlight w:val="none"/>
                <w:lang w:val="en-US" w:eastAsia="zh-CN" w:bidi="ar"/>
              </w:rPr>
              <w:t>单位</w:t>
            </w:r>
            <w:r>
              <w:rPr>
                <w:rFonts w:hint="eastAsia" w:ascii="宋体" w:hAnsi="宋体" w:cs="宋体"/>
                <w:color w:val="000000"/>
                <w:kern w:val="0"/>
                <w:sz w:val="20"/>
                <w:szCs w:val="20"/>
                <w:highlight w:val="none"/>
                <w:lang w:bidi="ar"/>
              </w:rPr>
              <w:t>本年度政府性基金预算财政拨款收入、支出及结转和结余情况。</w:t>
            </w:r>
          </w:p>
          <w:p>
            <w:pPr>
              <w:widowControl/>
              <w:jc w:val="left"/>
              <w:textAlignment w:val="center"/>
              <w:rPr>
                <w:rFonts w:hint="eastAsia" w:ascii="宋体" w:hAnsi="宋体" w:cs="宋体"/>
                <w:color w:val="000000"/>
                <w:sz w:val="32"/>
                <w:szCs w:val="32"/>
                <w:highlight w:val="none"/>
              </w:rPr>
            </w:pPr>
          </w:p>
          <w:p>
            <w:pPr>
              <w:widowControl/>
              <w:jc w:val="left"/>
              <w:textAlignment w:val="center"/>
              <w:rPr>
                <w:rFonts w:ascii="宋体" w:hAnsi="宋体" w:cs="宋体"/>
                <w:color w:val="000000"/>
                <w:sz w:val="32"/>
                <w:szCs w:val="32"/>
                <w:highlight w:val="none"/>
              </w:rPr>
            </w:pPr>
            <w:r>
              <w:rPr>
                <w:rFonts w:hint="eastAsia" w:ascii="宋体" w:hAnsi="宋体" w:cs="宋体"/>
                <w:color w:val="000000"/>
                <w:sz w:val="32"/>
                <w:szCs w:val="32"/>
                <w:highlight w:val="none"/>
              </w:rPr>
              <w:t>说明：我</w:t>
            </w:r>
            <w:r>
              <w:rPr>
                <w:rFonts w:hint="eastAsia" w:ascii="宋体" w:hAnsi="宋体" w:cs="宋体"/>
                <w:color w:val="000000"/>
                <w:sz w:val="32"/>
                <w:szCs w:val="32"/>
                <w:highlight w:val="none"/>
                <w:lang w:val="en-US" w:eastAsia="zh-CN"/>
              </w:rPr>
              <w:t>单位</w:t>
            </w:r>
            <w:r>
              <w:rPr>
                <w:rFonts w:hint="eastAsia" w:ascii="宋体" w:hAnsi="宋体" w:cs="宋体"/>
                <w:color w:val="000000"/>
                <w:sz w:val="32"/>
                <w:szCs w:val="32"/>
                <w:highlight w:val="none"/>
              </w:rPr>
              <w:t>没有政府性基金收入，也没有使用政府性基金安排的支出，故本表无数据。</w:t>
            </w:r>
          </w:p>
          <w:p>
            <w:pPr>
              <w:widowControl/>
              <w:jc w:val="both"/>
              <w:textAlignment w:val="center"/>
              <w:rPr>
                <w:rFonts w:hint="eastAsia" w:ascii="宋体" w:hAnsi="宋体" w:cs="宋体"/>
                <w:color w:val="000000"/>
                <w:sz w:val="20"/>
                <w:szCs w:val="20"/>
                <w:highlight w:val="none"/>
              </w:rPr>
            </w:pPr>
          </w:p>
        </w:tc>
      </w:tr>
    </w:tbl>
    <w:p>
      <w:pPr>
        <w:widowControl/>
        <w:spacing w:line="590" w:lineRule="exact"/>
        <w:jc w:val="left"/>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center"/>
        <w:outlineLvl w:val="0"/>
        <w:rPr>
          <w:rFonts w:hint="eastAsia" w:ascii="黑体" w:hAnsi="黑体" w:eastAsia="黑体" w:cs="黑体"/>
          <w:sz w:val="48"/>
          <w:szCs w:val="48"/>
          <w:highlight w:val="none"/>
        </w:rPr>
      </w:pPr>
      <w:r>
        <w:rPr>
          <w:rFonts w:hint="eastAsia" w:ascii="黑体" w:hAnsi="黑体" w:eastAsia="黑体" w:cs="黑体"/>
          <w:sz w:val="48"/>
          <w:szCs w:val="48"/>
          <w:highlight w:val="none"/>
        </w:rPr>
        <w:t>第三部分 2021年度</w:t>
      </w:r>
      <w:r>
        <w:rPr>
          <w:rFonts w:hint="eastAsia" w:ascii="黑体" w:hAnsi="黑体" w:eastAsia="黑体" w:cs="黑体"/>
          <w:sz w:val="48"/>
          <w:szCs w:val="48"/>
          <w:highlight w:val="none"/>
          <w:lang w:val="en-US" w:eastAsia="zh-CN"/>
        </w:rPr>
        <w:t>单位</w:t>
      </w:r>
      <w:bookmarkStart w:id="0" w:name="_GoBack"/>
      <w:bookmarkEnd w:id="0"/>
      <w:r>
        <w:rPr>
          <w:rFonts w:hint="eastAsia" w:ascii="黑体" w:hAnsi="黑体" w:eastAsia="黑体" w:cs="黑体"/>
          <w:sz w:val="48"/>
          <w:szCs w:val="48"/>
          <w:highlight w:val="none"/>
        </w:rPr>
        <w:t>决算情况说明</w:t>
      </w:r>
    </w:p>
    <w:p>
      <w:pPr>
        <w:widowControl/>
        <w:jc w:val="left"/>
        <w:rPr>
          <w:rFonts w:hint="eastAsia" w:ascii="黑体" w:hAnsi="黑体" w:eastAsia="黑体" w:cs="黑体"/>
          <w:sz w:val="48"/>
          <w:szCs w:val="48"/>
          <w:highlight w:val="none"/>
        </w:rPr>
        <w:sectPr>
          <w:pgSz w:w="11906" w:h="16838"/>
          <w:pgMar w:top="1440" w:right="1800" w:bottom="1440" w:left="1800" w:header="720" w:footer="720" w:gutter="0"/>
          <w:pgNumType w:fmt="numberInDash"/>
          <w:cols w:space="720"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一、收入支出决算总体情况说明</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黑体" w:hAnsi="黑体" w:eastAsia="黑体" w:cs="黑体"/>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年度收、支总计均为</w:t>
      </w:r>
      <w:r>
        <w:rPr>
          <w:rFonts w:hint="eastAsia" w:ascii="仿宋_GB2312" w:hAnsi="仿宋_GB2312" w:eastAsia="仿宋_GB2312" w:cs="仿宋_GB2312"/>
          <w:color w:val="auto"/>
          <w:sz w:val="32"/>
          <w:szCs w:val="32"/>
          <w:highlight w:val="none"/>
          <w:lang w:val="en-US" w:eastAsia="zh-CN"/>
        </w:rPr>
        <w:t>136.79</w:t>
      </w:r>
      <w:r>
        <w:rPr>
          <w:rFonts w:hint="eastAsia" w:ascii="仿宋_GB2312" w:hAnsi="仿宋_GB2312" w:eastAsia="仿宋_GB2312" w:cs="仿宋_GB2312"/>
          <w:sz w:val="32"/>
          <w:szCs w:val="32"/>
          <w:highlight w:val="none"/>
        </w:rPr>
        <w:t>万元。与上年度相比，收、支总计各减少</w:t>
      </w:r>
      <w:r>
        <w:rPr>
          <w:rFonts w:hint="eastAsia" w:ascii="仿宋_GB2312" w:hAnsi="仿宋_GB2312" w:eastAsia="仿宋_GB2312" w:cs="仿宋_GB2312"/>
          <w:color w:val="auto"/>
          <w:sz w:val="32"/>
          <w:szCs w:val="32"/>
          <w:highlight w:val="none"/>
          <w:lang w:val="en-US" w:eastAsia="zh-CN"/>
        </w:rPr>
        <w:t>57.13</w:t>
      </w:r>
      <w:r>
        <w:rPr>
          <w:rFonts w:hint="eastAsia" w:ascii="仿宋_GB2312" w:hAnsi="仿宋_GB2312" w:eastAsia="仿宋_GB2312" w:cs="仿宋_GB2312"/>
          <w:sz w:val="32"/>
          <w:szCs w:val="32"/>
          <w:highlight w:val="none"/>
        </w:rPr>
        <w:t>万元，下降</w:t>
      </w:r>
      <w:r>
        <w:rPr>
          <w:rFonts w:hint="eastAsia" w:ascii="仿宋_GB2312" w:hAnsi="仿宋_GB2312" w:eastAsia="仿宋_GB2312" w:cs="仿宋_GB2312"/>
          <w:color w:val="auto"/>
          <w:sz w:val="32"/>
          <w:szCs w:val="32"/>
          <w:highlight w:val="none"/>
          <w:lang w:val="en-US" w:eastAsia="zh-CN"/>
        </w:rPr>
        <w:t>29.46</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color w:val="auto"/>
          <w:sz w:val="32"/>
          <w:szCs w:val="32"/>
          <w:highlight w:val="none"/>
          <w:lang w:val="en-US" w:eastAsia="zh-CN"/>
        </w:rPr>
        <w:t>主要原因是人员调动，人员经费预算减少</w:t>
      </w:r>
      <w:r>
        <w:rPr>
          <w:rFonts w:hint="eastAsia" w:ascii="仿宋_GB2312" w:hAnsi="仿宋_GB2312" w:eastAsia="仿宋_GB2312" w:cs="仿宋_GB2312"/>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二、收入决算情况说明</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黑体" w:hAnsi="黑体" w:eastAsia="黑体" w:cs="黑体"/>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年度收入合计</w:t>
      </w:r>
      <w:r>
        <w:rPr>
          <w:rFonts w:hint="eastAsia" w:ascii="仿宋_GB2312" w:hAnsi="仿宋_GB2312" w:eastAsia="仿宋_GB2312" w:cs="仿宋_GB2312"/>
          <w:sz w:val="32"/>
          <w:szCs w:val="32"/>
          <w:highlight w:val="none"/>
          <w:lang w:val="en-US" w:eastAsia="zh-CN"/>
        </w:rPr>
        <w:t>112.76</w:t>
      </w:r>
      <w:r>
        <w:rPr>
          <w:rFonts w:hint="eastAsia" w:ascii="仿宋_GB2312" w:hAnsi="仿宋_GB2312" w:eastAsia="仿宋_GB2312" w:cs="仿宋_GB2312"/>
          <w:sz w:val="32"/>
          <w:szCs w:val="32"/>
          <w:highlight w:val="none"/>
        </w:rPr>
        <w:t>万元，其中：财政拨款收入</w:t>
      </w:r>
      <w:r>
        <w:rPr>
          <w:rFonts w:hint="eastAsia" w:ascii="仿宋_GB2312" w:hAnsi="仿宋_GB2312" w:eastAsia="仿宋_GB2312" w:cs="仿宋_GB2312"/>
          <w:sz w:val="32"/>
          <w:szCs w:val="32"/>
          <w:highlight w:val="none"/>
          <w:lang w:val="en-US" w:eastAsia="zh-CN"/>
        </w:rPr>
        <w:t>112.76</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100</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color w:val="auto"/>
          <w:sz w:val="32"/>
          <w:szCs w:val="32"/>
          <w:highlight w:val="none"/>
          <w:lang w:val="en-US" w:eastAsia="zh-CN"/>
        </w:rPr>
        <w:t>上级补助收入0万元，占0%；事业收入0万元，占0%；经营收入0万元，占0%；附属单位上缴收入0万元，占0%；其他收入0万元，占0%。</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三、支出决算情况说明</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年度支出合计</w:t>
      </w:r>
      <w:r>
        <w:rPr>
          <w:rFonts w:hint="eastAsia" w:ascii="仿宋_GB2312" w:hAnsi="仿宋_GB2312" w:eastAsia="仿宋_GB2312" w:cs="仿宋_GB2312"/>
          <w:color w:val="auto"/>
          <w:sz w:val="32"/>
          <w:szCs w:val="32"/>
          <w:highlight w:val="none"/>
          <w:lang w:val="en-US" w:eastAsia="zh-CN"/>
        </w:rPr>
        <w:t>136.79</w:t>
      </w:r>
      <w:r>
        <w:rPr>
          <w:rFonts w:hint="eastAsia" w:ascii="仿宋_GB2312" w:hAnsi="仿宋_GB2312" w:eastAsia="仿宋_GB2312" w:cs="仿宋_GB2312"/>
          <w:sz w:val="32"/>
          <w:szCs w:val="32"/>
          <w:highlight w:val="none"/>
        </w:rPr>
        <w:t>万元，其中：基本支出</w:t>
      </w:r>
      <w:r>
        <w:rPr>
          <w:rFonts w:hint="eastAsia" w:ascii="仿宋_GB2312" w:hAnsi="仿宋_GB2312" w:eastAsia="仿宋_GB2312" w:cs="仿宋_GB2312"/>
          <w:sz w:val="32"/>
          <w:szCs w:val="32"/>
          <w:highlight w:val="none"/>
          <w:lang w:val="en-US" w:eastAsia="zh-CN"/>
        </w:rPr>
        <w:t>126.24</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92.29</w:t>
      </w:r>
      <w:r>
        <w:rPr>
          <w:rFonts w:hint="eastAsia" w:ascii="仿宋_GB2312" w:hAnsi="仿宋_GB2312" w:eastAsia="仿宋_GB2312" w:cs="仿宋_GB2312"/>
          <w:sz w:val="32"/>
          <w:szCs w:val="32"/>
          <w:highlight w:val="none"/>
        </w:rPr>
        <w:t>%；项目支出</w:t>
      </w:r>
      <w:r>
        <w:rPr>
          <w:rFonts w:hint="eastAsia" w:ascii="仿宋_GB2312" w:hAnsi="仿宋_GB2312" w:eastAsia="仿宋_GB2312" w:cs="仿宋_GB2312"/>
          <w:sz w:val="32"/>
          <w:szCs w:val="32"/>
          <w:highlight w:val="none"/>
          <w:lang w:val="en-US" w:eastAsia="zh-CN"/>
        </w:rPr>
        <w:t>10.55</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7.71</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color w:val="auto"/>
          <w:sz w:val="32"/>
          <w:szCs w:val="32"/>
          <w:highlight w:val="none"/>
          <w:lang w:val="en-US" w:eastAsia="zh-CN"/>
        </w:rPr>
        <w:t>上缴上级支出0万元，占0%；经营支出0万元，占0%；对附属单位补助支出0万元，占0%。</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四、财政拨款收入支出决算总体情况说明</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年度财政拨款收、支总计均为</w:t>
      </w:r>
      <w:r>
        <w:rPr>
          <w:rFonts w:hint="eastAsia" w:ascii="仿宋_GB2312" w:hAnsi="仿宋_GB2312" w:eastAsia="仿宋_GB2312" w:cs="仿宋_GB2312"/>
          <w:color w:val="auto"/>
          <w:sz w:val="32"/>
          <w:szCs w:val="32"/>
          <w:highlight w:val="none"/>
          <w:lang w:val="en-US" w:eastAsia="zh-CN"/>
        </w:rPr>
        <w:t>136.79</w:t>
      </w:r>
      <w:r>
        <w:rPr>
          <w:rFonts w:hint="eastAsia" w:ascii="仿宋_GB2312" w:hAnsi="仿宋_GB2312" w:eastAsia="仿宋_GB2312" w:cs="仿宋_GB2312"/>
          <w:sz w:val="32"/>
          <w:szCs w:val="32"/>
          <w:highlight w:val="none"/>
        </w:rPr>
        <w:t>万元。与上年度相比，财政拨款收、支总计各减</w:t>
      </w:r>
      <w:r>
        <w:rPr>
          <w:rFonts w:hint="eastAsia" w:ascii="仿宋_GB2312" w:hAnsi="仿宋_GB2312" w:eastAsia="仿宋_GB2312" w:cs="仿宋_GB2312"/>
          <w:sz w:val="32"/>
          <w:szCs w:val="32"/>
          <w:highlight w:val="none"/>
          <w:lang w:val="en-US" w:eastAsia="zh-CN"/>
        </w:rPr>
        <w:t>少</w:t>
      </w:r>
      <w:r>
        <w:rPr>
          <w:rFonts w:hint="eastAsia" w:ascii="仿宋_GB2312" w:hAnsi="仿宋_GB2312" w:eastAsia="仿宋_GB2312" w:cs="仿宋_GB2312"/>
          <w:color w:val="auto"/>
          <w:sz w:val="32"/>
          <w:szCs w:val="32"/>
          <w:highlight w:val="none"/>
          <w:lang w:val="en-US" w:eastAsia="zh-CN"/>
        </w:rPr>
        <w:t>57.13</w:t>
      </w:r>
      <w:r>
        <w:rPr>
          <w:rFonts w:hint="eastAsia" w:ascii="仿宋_GB2312" w:hAnsi="仿宋_GB2312" w:eastAsia="仿宋_GB2312" w:cs="仿宋_GB2312"/>
          <w:sz w:val="32"/>
          <w:szCs w:val="32"/>
          <w:highlight w:val="none"/>
        </w:rPr>
        <w:t>万元，下降</w:t>
      </w:r>
      <w:r>
        <w:rPr>
          <w:rFonts w:hint="eastAsia" w:ascii="仿宋_GB2312" w:hAnsi="仿宋_GB2312" w:eastAsia="仿宋_GB2312" w:cs="仿宋_GB2312"/>
          <w:color w:val="auto"/>
          <w:sz w:val="32"/>
          <w:szCs w:val="32"/>
          <w:highlight w:val="none"/>
          <w:lang w:val="en-US" w:eastAsia="zh-CN"/>
        </w:rPr>
        <w:t>29.46</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color w:val="auto"/>
          <w:sz w:val="32"/>
          <w:szCs w:val="32"/>
          <w:highlight w:val="none"/>
          <w:lang w:val="en-US" w:eastAsia="zh-CN"/>
        </w:rPr>
        <w:t>主要原因是人员调动，人员经费预算减少</w:t>
      </w:r>
      <w:r>
        <w:rPr>
          <w:rFonts w:hint="eastAsia" w:ascii="仿宋_GB2312" w:hAnsi="仿宋_GB2312" w:eastAsia="仿宋_GB2312" w:cs="仿宋_GB2312"/>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五、一般公共预算财政拨款支出决算情况说明</w:t>
      </w: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textAlignment w:val="auto"/>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（一）总体情况。</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年度一般公共预算财政拨款支出</w:t>
      </w:r>
      <w:r>
        <w:rPr>
          <w:rFonts w:hint="eastAsia" w:ascii="仿宋_GB2312" w:hAnsi="仿宋_GB2312" w:eastAsia="仿宋_GB2312" w:cs="仿宋_GB2312"/>
          <w:color w:val="auto"/>
          <w:sz w:val="32"/>
          <w:szCs w:val="32"/>
          <w:highlight w:val="none"/>
          <w:lang w:val="en-US" w:eastAsia="zh-CN"/>
        </w:rPr>
        <w:t>136.79</w:t>
      </w:r>
      <w:r>
        <w:rPr>
          <w:rFonts w:hint="eastAsia" w:ascii="仿宋_GB2312" w:hAnsi="仿宋_GB2312" w:eastAsia="仿宋_GB2312" w:cs="仿宋_GB2312"/>
          <w:sz w:val="32"/>
          <w:szCs w:val="32"/>
          <w:highlight w:val="none"/>
        </w:rPr>
        <w:t>万元，占支出合计的</w:t>
      </w:r>
      <w:r>
        <w:rPr>
          <w:rFonts w:hint="eastAsia" w:ascii="仿宋_GB2312" w:hAnsi="仿宋_GB2312" w:eastAsia="仿宋_GB2312" w:cs="仿宋_GB2312"/>
          <w:sz w:val="32"/>
          <w:szCs w:val="32"/>
          <w:highlight w:val="none"/>
          <w:lang w:val="en-US" w:eastAsia="zh-CN"/>
        </w:rPr>
        <w:t>100</w:t>
      </w:r>
      <w:r>
        <w:rPr>
          <w:rFonts w:hint="eastAsia" w:ascii="仿宋_GB2312" w:hAnsi="仿宋_GB2312" w:eastAsia="仿宋_GB2312" w:cs="仿宋_GB2312"/>
          <w:sz w:val="32"/>
          <w:szCs w:val="32"/>
          <w:highlight w:val="none"/>
        </w:rPr>
        <w:t>%。与上年度相比，一般公共预算财政拨款支出减少</w:t>
      </w:r>
      <w:r>
        <w:rPr>
          <w:rFonts w:hint="eastAsia" w:ascii="仿宋_GB2312" w:hAnsi="仿宋_GB2312" w:eastAsia="仿宋_GB2312" w:cs="仿宋_GB2312"/>
          <w:sz w:val="32"/>
          <w:szCs w:val="32"/>
          <w:highlight w:val="none"/>
          <w:lang w:val="en-US" w:eastAsia="zh-CN"/>
        </w:rPr>
        <w:t>0.56</w:t>
      </w:r>
      <w:r>
        <w:rPr>
          <w:rFonts w:hint="eastAsia" w:ascii="仿宋_GB2312" w:hAnsi="仿宋_GB2312" w:eastAsia="仿宋_GB2312" w:cs="仿宋_GB2312"/>
          <w:sz w:val="32"/>
          <w:szCs w:val="32"/>
          <w:highlight w:val="none"/>
        </w:rPr>
        <w:t>万元，下降</w:t>
      </w:r>
      <w:r>
        <w:rPr>
          <w:rFonts w:hint="eastAsia" w:ascii="仿宋_GB2312" w:hAnsi="仿宋_GB2312" w:eastAsia="仿宋_GB2312" w:cs="仿宋_GB2312"/>
          <w:sz w:val="32"/>
          <w:szCs w:val="32"/>
          <w:highlight w:val="none"/>
          <w:lang w:val="en-US" w:eastAsia="zh-CN"/>
        </w:rPr>
        <w:t>0.41</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color w:val="auto"/>
          <w:sz w:val="32"/>
          <w:szCs w:val="32"/>
          <w:highlight w:val="none"/>
          <w:lang w:val="en-US" w:eastAsia="zh-CN"/>
        </w:rPr>
        <w:t>主要原因是人员调动，经费减少</w:t>
      </w:r>
      <w:r>
        <w:rPr>
          <w:rFonts w:hint="eastAsia" w:ascii="仿宋_GB2312" w:hAnsi="仿宋_GB2312" w:eastAsia="仿宋_GB2312" w:cs="仿宋_GB2312"/>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textAlignment w:val="auto"/>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（二）结构情况。</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年度一般公共预算财政拨款支出</w:t>
      </w:r>
      <w:r>
        <w:rPr>
          <w:rFonts w:hint="eastAsia" w:ascii="仿宋_GB2312" w:hAnsi="仿宋_GB2312" w:eastAsia="仿宋_GB2312" w:cs="仿宋_GB2312"/>
          <w:color w:val="auto"/>
          <w:sz w:val="32"/>
          <w:szCs w:val="32"/>
          <w:highlight w:val="none"/>
          <w:lang w:val="en-US" w:eastAsia="zh-CN"/>
        </w:rPr>
        <w:t>136.79</w:t>
      </w:r>
      <w:r>
        <w:rPr>
          <w:rFonts w:hint="eastAsia" w:ascii="仿宋_GB2312" w:hAnsi="仿宋_GB2312" w:eastAsia="仿宋_GB2312" w:cs="仿宋_GB2312"/>
          <w:sz w:val="32"/>
          <w:szCs w:val="32"/>
          <w:highlight w:val="none"/>
        </w:rPr>
        <w:t>万元，主要用于以下方面：</w:t>
      </w:r>
      <w:r>
        <w:rPr>
          <w:rFonts w:hint="eastAsia" w:ascii="仿宋_GB2312" w:hAnsi="仿宋_GB2312" w:eastAsia="仿宋_GB2312" w:cs="仿宋_GB2312"/>
          <w:color w:val="auto"/>
          <w:sz w:val="32"/>
          <w:szCs w:val="32"/>
          <w:highlight w:val="none"/>
          <w:lang w:val="en-US" w:eastAsia="zh-CN"/>
        </w:rPr>
        <w:t>一般公共服务（类）支出0.48万元，占0.35%；社会保障和就业（类）支出9.7</w:t>
      </w:r>
      <w:r>
        <w:rPr>
          <w:rFonts w:hint="default" w:ascii="仿宋_GB2312" w:hAnsi="仿宋_GB2312" w:eastAsia="仿宋_GB2312" w:cs="仿宋_GB2312"/>
          <w:color w:val="auto"/>
          <w:sz w:val="32"/>
          <w:szCs w:val="32"/>
          <w:highlight w:val="none"/>
          <w:lang w:val="en" w:eastAsia="zh-CN"/>
        </w:rPr>
        <w:t>7</w:t>
      </w:r>
      <w:r>
        <w:rPr>
          <w:rFonts w:hint="eastAsia" w:ascii="仿宋_GB2312" w:hAnsi="仿宋_GB2312" w:eastAsia="仿宋_GB2312" w:cs="仿宋_GB2312"/>
          <w:color w:val="auto"/>
          <w:sz w:val="32"/>
          <w:szCs w:val="32"/>
          <w:highlight w:val="none"/>
          <w:lang w:val="en-US" w:eastAsia="zh-CN"/>
        </w:rPr>
        <w:t>万元，占7.14%；卫生健康（类）支出3.91万元，占2.86%；城乡社区（类）支出122.6</w:t>
      </w:r>
      <w:r>
        <w:rPr>
          <w:rFonts w:hint="default" w:ascii="仿宋_GB2312" w:hAnsi="仿宋_GB2312" w:eastAsia="仿宋_GB2312" w:cs="仿宋_GB2312"/>
          <w:color w:val="auto"/>
          <w:sz w:val="32"/>
          <w:szCs w:val="32"/>
          <w:highlight w:val="none"/>
          <w:lang w:val="en" w:eastAsia="zh-CN"/>
        </w:rPr>
        <w:t>3</w:t>
      </w:r>
      <w:r>
        <w:rPr>
          <w:rFonts w:hint="eastAsia" w:ascii="仿宋_GB2312" w:hAnsi="仿宋_GB2312" w:eastAsia="仿宋_GB2312" w:cs="仿宋_GB2312"/>
          <w:color w:val="auto"/>
          <w:sz w:val="32"/>
          <w:szCs w:val="32"/>
          <w:highlight w:val="none"/>
          <w:lang w:val="en-US" w:eastAsia="zh-CN"/>
        </w:rPr>
        <w:t>万元，占89.65%。</w:t>
      </w: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textAlignment w:val="auto"/>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（三）具体情况。</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年度一般公共预算财政拨款支出</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color w:val="auto"/>
          <w:sz w:val="32"/>
          <w:szCs w:val="32"/>
          <w:highlight w:val="none"/>
          <w:lang w:val="en-US" w:eastAsia="zh-CN"/>
        </w:rPr>
        <w:t>109.06</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136.79</w:t>
      </w:r>
      <w:r>
        <w:rPr>
          <w:rFonts w:hint="eastAsia" w:ascii="仿宋_GB2312" w:hAnsi="仿宋_GB2312" w:eastAsia="仿宋_GB2312" w:cs="仿宋_GB2312"/>
          <w:sz w:val="32"/>
          <w:szCs w:val="32"/>
          <w:highlight w:val="none"/>
        </w:rPr>
        <w:t>万元，完成</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预算的</w:t>
      </w:r>
      <w:r>
        <w:rPr>
          <w:rFonts w:hint="eastAsia" w:ascii="仿宋_GB2312" w:hAnsi="仿宋_GB2312" w:eastAsia="仿宋_GB2312" w:cs="仿宋_GB2312"/>
          <w:sz w:val="32"/>
          <w:szCs w:val="32"/>
          <w:highlight w:val="none"/>
          <w:lang w:val="en-US" w:eastAsia="zh-CN"/>
        </w:rPr>
        <w:t>125.43</w:t>
      </w:r>
      <w:r>
        <w:rPr>
          <w:rFonts w:hint="eastAsia" w:ascii="仿宋_GB2312" w:hAnsi="仿宋_GB2312" w:eastAsia="仿宋_GB2312" w:cs="仿宋_GB2312"/>
          <w:sz w:val="32"/>
          <w:szCs w:val="32"/>
          <w:highlight w:val="none"/>
        </w:rPr>
        <w:t>%。其中：</w:t>
      </w: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1．</w:t>
      </w:r>
      <w:r>
        <w:rPr>
          <w:rFonts w:hint="eastAsia" w:ascii="仿宋_GB2312" w:hAnsi="仿宋_GB2312" w:eastAsia="仿宋_GB2312" w:cs="仿宋_GB2312"/>
          <w:b/>
          <w:bCs/>
          <w:i w:val="0"/>
          <w:color w:val="000000"/>
          <w:sz w:val="32"/>
          <w:szCs w:val="32"/>
          <w:u w:val="none"/>
          <w:lang w:val="en-US" w:eastAsia="zh-CN"/>
        </w:rPr>
        <w:t>一般公共服务支出</w:t>
      </w:r>
      <w:r>
        <w:rPr>
          <w:rFonts w:hint="eastAsia" w:ascii="仿宋_GB2312" w:hAnsi="仿宋_GB2312" w:eastAsia="仿宋_GB2312" w:cs="仿宋_GB2312"/>
          <w:b/>
          <w:bCs/>
          <w:sz w:val="32"/>
          <w:szCs w:val="32"/>
          <w:highlight w:val="none"/>
        </w:rPr>
        <w:t>（类）</w:t>
      </w:r>
      <w:r>
        <w:rPr>
          <w:rFonts w:hint="eastAsia" w:ascii="仿宋_GB2312" w:hAnsi="仿宋_GB2312" w:eastAsia="仿宋_GB2312" w:cs="仿宋_GB2312"/>
          <w:b/>
          <w:bCs/>
          <w:color w:val="auto"/>
          <w:sz w:val="32"/>
          <w:szCs w:val="32"/>
          <w:highlight w:val="none"/>
          <w:lang w:val="en-US" w:eastAsia="zh-CN"/>
        </w:rPr>
        <w:t>群众团体事务</w:t>
      </w:r>
      <w:r>
        <w:rPr>
          <w:rFonts w:hint="eastAsia" w:ascii="仿宋_GB2312" w:hAnsi="仿宋_GB2312" w:eastAsia="仿宋_GB2312" w:cs="仿宋_GB2312"/>
          <w:b/>
          <w:bCs/>
          <w:sz w:val="32"/>
          <w:szCs w:val="32"/>
          <w:highlight w:val="none"/>
        </w:rPr>
        <w:t>（款）</w:t>
      </w:r>
      <w:r>
        <w:rPr>
          <w:rFonts w:hint="eastAsia" w:ascii="仿宋_GB2312" w:hAnsi="仿宋_GB2312" w:eastAsia="仿宋_GB2312" w:cs="仿宋_GB2312"/>
          <w:b/>
          <w:bCs/>
          <w:color w:val="auto"/>
          <w:sz w:val="32"/>
          <w:szCs w:val="32"/>
          <w:highlight w:val="none"/>
          <w:lang w:val="en-US" w:eastAsia="zh-CN"/>
        </w:rPr>
        <w:t>工会事务</w:t>
      </w:r>
      <w:r>
        <w:rPr>
          <w:rFonts w:hint="eastAsia" w:ascii="仿宋_GB2312" w:hAnsi="仿宋_GB2312" w:eastAsia="仿宋_GB2312" w:cs="仿宋_GB2312"/>
          <w:b/>
          <w:bCs/>
          <w:sz w:val="32"/>
          <w:szCs w:val="32"/>
          <w:highlight w:val="none"/>
        </w:rPr>
        <w:t>（项）。</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color w:val="auto"/>
          <w:sz w:val="32"/>
          <w:szCs w:val="32"/>
          <w:highlight w:val="none"/>
          <w:lang w:val="en-US" w:eastAsia="zh-CN"/>
        </w:rPr>
        <w:t>0.48</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0.48</w:t>
      </w:r>
      <w:r>
        <w:rPr>
          <w:rFonts w:hint="eastAsia" w:ascii="仿宋_GB2312" w:hAnsi="仿宋_GB2312" w:eastAsia="仿宋_GB2312" w:cs="仿宋_GB2312"/>
          <w:sz w:val="32"/>
          <w:szCs w:val="32"/>
          <w:highlight w:val="none"/>
        </w:rPr>
        <w:t>万元，完成</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预算的</w:t>
      </w:r>
      <w:r>
        <w:rPr>
          <w:rFonts w:hint="eastAsia" w:ascii="仿宋_GB2312" w:hAnsi="仿宋_GB2312" w:eastAsia="仿宋_GB2312" w:cs="仿宋_GB2312"/>
          <w:sz w:val="32"/>
          <w:szCs w:val="32"/>
          <w:highlight w:val="none"/>
          <w:lang w:val="en-US" w:eastAsia="zh-CN"/>
        </w:rPr>
        <w:t>100</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color w:val="auto"/>
          <w:sz w:val="32"/>
          <w:szCs w:val="32"/>
          <w:highlight w:val="none"/>
          <w:lang w:val="en-US" w:eastAsia="zh-CN"/>
        </w:rPr>
        <w:t>决算数与年初预算数不存在差异</w:t>
      </w:r>
      <w:r>
        <w:rPr>
          <w:rFonts w:hint="eastAsia" w:ascii="仿宋_GB2312" w:hAnsi="仿宋_GB2312" w:eastAsia="仿宋_GB2312" w:cs="仿宋_GB2312"/>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2．</w:t>
      </w:r>
      <w:r>
        <w:rPr>
          <w:rFonts w:hint="eastAsia" w:ascii="仿宋_GB2312" w:hAnsi="仿宋_GB2312" w:eastAsia="仿宋_GB2312" w:cs="仿宋_GB2312"/>
          <w:b/>
          <w:bCs/>
          <w:color w:val="auto"/>
          <w:sz w:val="32"/>
          <w:szCs w:val="32"/>
          <w:highlight w:val="none"/>
          <w:lang w:val="en-US" w:eastAsia="zh-CN"/>
        </w:rPr>
        <w:t>社会保障和就业支出</w:t>
      </w:r>
      <w:r>
        <w:rPr>
          <w:rFonts w:hint="eastAsia" w:ascii="仿宋_GB2312" w:hAnsi="仿宋_GB2312" w:eastAsia="仿宋_GB2312" w:cs="仿宋_GB2312"/>
          <w:b/>
          <w:bCs/>
          <w:sz w:val="32"/>
          <w:szCs w:val="32"/>
          <w:highlight w:val="none"/>
        </w:rPr>
        <w:t>（类）</w:t>
      </w:r>
      <w:r>
        <w:rPr>
          <w:rFonts w:hint="eastAsia" w:ascii="仿宋_GB2312" w:hAnsi="仿宋_GB2312" w:eastAsia="仿宋_GB2312" w:cs="仿宋_GB2312"/>
          <w:b/>
          <w:bCs/>
          <w:color w:val="auto"/>
          <w:sz w:val="32"/>
          <w:szCs w:val="32"/>
          <w:highlight w:val="none"/>
          <w:lang w:val="en-US" w:eastAsia="zh-CN"/>
        </w:rPr>
        <w:t>行政事业单位养老支出</w:t>
      </w:r>
      <w:r>
        <w:rPr>
          <w:rFonts w:hint="eastAsia" w:ascii="仿宋_GB2312" w:hAnsi="仿宋_GB2312" w:eastAsia="仿宋_GB2312" w:cs="仿宋_GB2312"/>
          <w:b/>
          <w:bCs/>
          <w:sz w:val="32"/>
          <w:szCs w:val="32"/>
          <w:highlight w:val="none"/>
        </w:rPr>
        <w:t>（款）</w:t>
      </w:r>
      <w:r>
        <w:rPr>
          <w:rFonts w:hint="eastAsia" w:ascii="仿宋_GB2312" w:hAnsi="仿宋_GB2312" w:eastAsia="仿宋_GB2312" w:cs="仿宋_GB2312"/>
          <w:b/>
          <w:bCs/>
          <w:color w:val="auto"/>
          <w:sz w:val="32"/>
          <w:szCs w:val="32"/>
          <w:highlight w:val="none"/>
          <w:lang w:val="en-US" w:eastAsia="zh-CN"/>
        </w:rPr>
        <w:t>事业单位离退休</w:t>
      </w:r>
      <w:r>
        <w:rPr>
          <w:rFonts w:hint="eastAsia" w:ascii="仿宋_GB2312" w:hAnsi="仿宋_GB2312" w:eastAsia="仿宋_GB2312" w:cs="仿宋_GB2312"/>
          <w:b/>
          <w:bCs/>
          <w:sz w:val="32"/>
          <w:szCs w:val="32"/>
          <w:highlight w:val="none"/>
        </w:rPr>
        <w:t>（项）。</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7.15</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5.59</w:t>
      </w:r>
      <w:r>
        <w:rPr>
          <w:rFonts w:hint="eastAsia" w:ascii="仿宋_GB2312" w:hAnsi="仿宋_GB2312" w:eastAsia="仿宋_GB2312" w:cs="仿宋_GB2312"/>
          <w:sz w:val="32"/>
          <w:szCs w:val="32"/>
          <w:highlight w:val="none"/>
        </w:rPr>
        <w:t>万元，完成</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预算的</w:t>
      </w:r>
      <w:r>
        <w:rPr>
          <w:rFonts w:hint="eastAsia" w:ascii="仿宋_GB2312" w:hAnsi="仿宋_GB2312" w:eastAsia="仿宋_GB2312" w:cs="仿宋_GB2312"/>
          <w:sz w:val="32"/>
          <w:szCs w:val="32"/>
          <w:highlight w:val="none"/>
          <w:lang w:val="en-US" w:eastAsia="zh-CN"/>
        </w:rPr>
        <w:t>78.18</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color w:val="auto"/>
          <w:sz w:val="32"/>
          <w:szCs w:val="32"/>
          <w:highlight w:val="none"/>
          <w:lang w:val="en-US" w:eastAsia="zh-CN"/>
        </w:rPr>
        <w:t>决算数与年初预算数存在差异的主要原因是人员调动，经费调整</w:t>
      </w:r>
      <w:r>
        <w:rPr>
          <w:rFonts w:hint="eastAsia" w:ascii="仿宋_GB2312" w:hAnsi="仿宋_GB2312" w:eastAsia="仿宋_GB2312" w:cs="仿宋_GB2312"/>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lang w:val="en-US" w:eastAsia="zh-CN"/>
        </w:rPr>
        <w:t>3</w:t>
      </w:r>
      <w:r>
        <w:rPr>
          <w:rFonts w:hint="eastAsia" w:ascii="仿宋_GB2312" w:hAnsi="仿宋_GB2312" w:eastAsia="仿宋_GB2312" w:cs="仿宋_GB2312"/>
          <w:b/>
          <w:bCs/>
          <w:sz w:val="32"/>
          <w:szCs w:val="32"/>
          <w:highlight w:val="none"/>
        </w:rPr>
        <w:t>．</w:t>
      </w:r>
      <w:r>
        <w:rPr>
          <w:rFonts w:hint="eastAsia" w:ascii="仿宋_GB2312" w:hAnsi="仿宋_GB2312" w:eastAsia="仿宋_GB2312" w:cs="仿宋_GB2312"/>
          <w:b/>
          <w:bCs/>
          <w:color w:val="auto"/>
          <w:sz w:val="32"/>
          <w:szCs w:val="32"/>
          <w:highlight w:val="none"/>
          <w:lang w:val="en-US" w:eastAsia="zh-CN"/>
        </w:rPr>
        <w:t>社会保障和就业支出</w:t>
      </w:r>
      <w:r>
        <w:rPr>
          <w:rFonts w:hint="eastAsia" w:ascii="仿宋_GB2312" w:hAnsi="仿宋_GB2312" w:eastAsia="仿宋_GB2312" w:cs="仿宋_GB2312"/>
          <w:b/>
          <w:bCs/>
          <w:sz w:val="32"/>
          <w:szCs w:val="32"/>
          <w:highlight w:val="none"/>
        </w:rPr>
        <w:t>（类）</w:t>
      </w:r>
      <w:r>
        <w:rPr>
          <w:rFonts w:hint="eastAsia" w:ascii="仿宋_GB2312" w:hAnsi="仿宋_GB2312" w:eastAsia="仿宋_GB2312" w:cs="仿宋_GB2312"/>
          <w:b/>
          <w:bCs/>
          <w:color w:val="auto"/>
          <w:sz w:val="32"/>
          <w:szCs w:val="32"/>
          <w:highlight w:val="none"/>
          <w:lang w:val="en-US" w:eastAsia="zh-CN"/>
        </w:rPr>
        <w:t>行政事业单位养老支出</w:t>
      </w:r>
      <w:r>
        <w:rPr>
          <w:rFonts w:hint="eastAsia" w:ascii="仿宋_GB2312" w:hAnsi="仿宋_GB2312" w:eastAsia="仿宋_GB2312" w:cs="仿宋_GB2312"/>
          <w:b/>
          <w:bCs/>
          <w:sz w:val="32"/>
          <w:szCs w:val="32"/>
          <w:highlight w:val="none"/>
        </w:rPr>
        <w:t>（款）</w:t>
      </w:r>
      <w:r>
        <w:rPr>
          <w:rFonts w:hint="eastAsia" w:ascii="仿宋_GB2312" w:hAnsi="仿宋_GB2312" w:eastAsia="仿宋_GB2312" w:cs="仿宋_GB2312"/>
          <w:b/>
          <w:bCs/>
          <w:color w:val="auto"/>
          <w:sz w:val="32"/>
          <w:szCs w:val="32"/>
          <w:highlight w:val="none"/>
          <w:lang w:val="en-US" w:eastAsia="zh-CN"/>
        </w:rPr>
        <w:t>机关事业单位基本养老保险缴费支出</w:t>
      </w:r>
      <w:r>
        <w:rPr>
          <w:rFonts w:hint="eastAsia" w:ascii="仿宋_GB2312" w:hAnsi="仿宋_GB2312" w:eastAsia="仿宋_GB2312" w:cs="仿宋_GB2312"/>
          <w:b/>
          <w:bCs/>
          <w:sz w:val="32"/>
          <w:szCs w:val="32"/>
          <w:highlight w:val="none"/>
        </w:rPr>
        <w:t>（项）。</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5.35</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4.18</w:t>
      </w:r>
      <w:r>
        <w:rPr>
          <w:rFonts w:hint="eastAsia" w:ascii="仿宋_GB2312" w:hAnsi="仿宋_GB2312" w:eastAsia="仿宋_GB2312" w:cs="仿宋_GB2312"/>
          <w:sz w:val="32"/>
          <w:szCs w:val="32"/>
          <w:highlight w:val="none"/>
        </w:rPr>
        <w:t>万元，完成</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预算的</w:t>
      </w:r>
      <w:r>
        <w:rPr>
          <w:rFonts w:hint="eastAsia" w:ascii="仿宋_GB2312" w:hAnsi="仿宋_GB2312" w:eastAsia="仿宋_GB2312" w:cs="仿宋_GB2312"/>
          <w:sz w:val="32"/>
          <w:szCs w:val="32"/>
          <w:highlight w:val="none"/>
          <w:lang w:val="en-US" w:eastAsia="zh-CN"/>
        </w:rPr>
        <w:t>78.13</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color w:val="auto"/>
          <w:sz w:val="32"/>
          <w:szCs w:val="32"/>
          <w:highlight w:val="none"/>
          <w:lang w:val="en-US" w:eastAsia="zh-CN"/>
        </w:rPr>
        <w:t>决算数与年初预算数存在差异的主要原因是人员调动，经费调整。</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4</w:t>
      </w:r>
      <w:r>
        <w:rPr>
          <w:rFonts w:hint="eastAsia" w:ascii="仿宋_GB2312" w:hAnsi="仿宋_GB2312" w:eastAsia="仿宋_GB2312" w:cs="仿宋_GB2312"/>
          <w:b/>
          <w:bCs/>
          <w:sz w:val="32"/>
          <w:szCs w:val="32"/>
          <w:highlight w:val="none"/>
        </w:rPr>
        <w:t>．</w:t>
      </w:r>
      <w:r>
        <w:rPr>
          <w:rFonts w:hint="eastAsia" w:ascii="仿宋_GB2312" w:hAnsi="仿宋_GB2312" w:eastAsia="仿宋_GB2312" w:cs="仿宋_GB2312"/>
          <w:b/>
          <w:bCs/>
          <w:color w:val="auto"/>
          <w:sz w:val="32"/>
          <w:szCs w:val="32"/>
          <w:highlight w:val="none"/>
          <w:lang w:val="en-US" w:eastAsia="zh-CN"/>
        </w:rPr>
        <w:t>卫生健康支出</w:t>
      </w:r>
      <w:r>
        <w:rPr>
          <w:rFonts w:hint="eastAsia" w:ascii="仿宋_GB2312" w:hAnsi="仿宋_GB2312" w:eastAsia="仿宋_GB2312" w:cs="仿宋_GB2312"/>
          <w:b/>
          <w:bCs/>
          <w:sz w:val="32"/>
          <w:szCs w:val="32"/>
          <w:highlight w:val="none"/>
        </w:rPr>
        <w:t>（类）</w:t>
      </w:r>
      <w:r>
        <w:rPr>
          <w:rFonts w:hint="eastAsia" w:ascii="仿宋_GB2312" w:hAnsi="仿宋_GB2312" w:eastAsia="仿宋_GB2312" w:cs="仿宋_GB2312"/>
          <w:b/>
          <w:bCs/>
          <w:color w:val="auto"/>
          <w:sz w:val="32"/>
          <w:szCs w:val="32"/>
          <w:highlight w:val="none"/>
          <w:lang w:val="en-US" w:eastAsia="zh-CN"/>
        </w:rPr>
        <w:t>行政事业单位医疗</w:t>
      </w:r>
      <w:r>
        <w:rPr>
          <w:rFonts w:hint="eastAsia" w:ascii="仿宋_GB2312" w:hAnsi="仿宋_GB2312" w:eastAsia="仿宋_GB2312" w:cs="仿宋_GB2312"/>
          <w:b/>
          <w:bCs/>
          <w:sz w:val="32"/>
          <w:szCs w:val="32"/>
          <w:highlight w:val="none"/>
        </w:rPr>
        <w:t>（款）</w:t>
      </w:r>
      <w:r>
        <w:rPr>
          <w:rFonts w:hint="eastAsia" w:ascii="仿宋_GB2312" w:hAnsi="仿宋_GB2312" w:eastAsia="仿宋_GB2312" w:cs="仿宋_GB2312"/>
          <w:b/>
          <w:bCs/>
          <w:color w:val="auto"/>
          <w:sz w:val="32"/>
          <w:szCs w:val="32"/>
          <w:highlight w:val="none"/>
          <w:lang w:val="en-US" w:eastAsia="zh-CN"/>
        </w:rPr>
        <w:t>事业单位医疗</w:t>
      </w:r>
      <w:r>
        <w:rPr>
          <w:rFonts w:hint="eastAsia" w:ascii="仿宋_GB2312" w:hAnsi="仿宋_GB2312" w:eastAsia="仿宋_GB2312" w:cs="仿宋_GB2312"/>
          <w:b/>
          <w:bCs/>
          <w:sz w:val="32"/>
          <w:szCs w:val="32"/>
          <w:highlight w:val="none"/>
        </w:rPr>
        <w:t>（项）。</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3.13</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2.03</w:t>
      </w:r>
      <w:r>
        <w:rPr>
          <w:rFonts w:hint="eastAsia" w:ascii="仿宋_GB2312" w:hAnsi="仿宋_GB2312" w:eastAsia="仿宋_GB2312" w:cs="仿宋_GB2312"/>
          <w:sz w:val="32"/>
          <w:szCs w:val="32"/>
          <w:highlight w:val="none"/>
        </w:rPr>
        <w:t>万元，完成</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预算的</w:t>
      </w:r>
      <w:r>
        <w:rPr>
          <w:rFonts w:hint="eastAsia" w:ascii="仿宋_GB2312" w:hAnsi="仿宋_GB2312" w:eastAsia="仿宋_GB2312" w:cs="仿宋_GB2312"/>
          <w:sz w:val="32"/>
          <w:szCs w:val="32"/>
          <w:highlight w:val="none"/>
          <w:lang w:val="en-US" w:eastAsia="zh-CN"/>
        </w:rPr>
        <w:t>64.86</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color w:val="auto"/>
          <w:sz w:val="32"/>
          <w:szCs w:val="32"/>
          <w:highlight w:val="none"/>
          <w:lang w:val="en-US" w:eastAsia="zh-CN"/>
        </w:rPr>
        <w:t>决算数与年初预算数存在差异的主要原因是人员调动，经费调整。</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lang w:val="en-US" w:eastAsia="zh-CN"/>
        </w:rPr>
        <w:t>5</w:t>
      </w:r>
      <w:r>
        <w:rPr>
          <w:rFonts w:hint="eastAsia" w:ascii="仿宋_GB2312" w:hAnsi="仿宋_GB2312" w:eastAsia="仿宋_GB2312" w:cs="仿宋_GB2312"/>
          <w:b/>
          <w:bCs/>
          <w:sz w:val="32"/>
          <w:szCs w:val="32"/>
          <w:highlight w:val="none"/>
        </w:rPr>
        <w:t>．</w:t>
      </w:r>
      <w:r>
        <w:rPr>
          <w:rFonts w:hint="eastAsia" w:ascii="仿宋_GB2312" w:hAnsi="仿宋_GB2312" w:eastAsia="仿宋_GB2312" w:cs="仿宋_GB2312"/>
          <w:b/>
          <w:bCs/>
          <w:color w:val="auto"/>
          <w:sz w:val="32"/>
          <w:szCs w:val="32"/>
          <w:highlight w:val="none"/>
          <w:lang w:val="en-US" w:eastAsia="zh-CN"/>
        </w:rPr>
        <w:t>卫生健康支出</w:t>
      </w:r>
      <w:r>
        <w:rPr>
          <w:rFonts w:hint="eastAsia" w:ascii="仿宋_GB2312" w:hAnsi="仿宋_GB2312" w:eastAsia="仿宋_GB2312" w:cs="仿宋_GB2312"/>
          <w:b/>
          <w:bCs/>
          <w:sz w:val="32"/>
          <w:szCs w:val="32"/>
          <w:highlight w:val="none"/>
        </w:rPr>
        <w:t>（类）</w:t>
      </w:r>
      <w:r>
        <w:rPr>
          <w:rFonts w:hint="eastAsia" w:ascii="仿宋_GB2312" w:hAnsi="仿宋_GB2312" w:eastAsia="仿宋_GB2312" w:cs="仿宋_GB2312"/>
          <w:b/>
          <w:bCs/>
          <w:color w:val="auto"/>
          <w:sz w:val="32"/>
          <w:szCs w:val="32"/>
          <w:highlight w:val="none"/>
          <w:lang w:val="en-US" w:eastAsia="zh-CN"/>
        </w:rPr>
        <w:t>行政事业单位医疗</w:t>
      </w:r>
      <w:r>
        <w:rPr>
          <w:rFonts w:hint="eastAsia" w:ascii="仿宋_GB2312" w:hAnsi="仿宋_GB2312" w:eastAsia="仿宋_GB2312" w:cs="仿宋_GB2312"/>
          <w:b/>
          <w:bCs/>
          <w:sz w:val="32"/>
          <w:szCs w:val="32"/>
          <w:highlight w:val="none"/>
        </w:rPr>
        <w:t>（款）</w:t>
      </w:r>
      <w:r>
        <w:rPr>
          <w:rFonts w:hint="eastAsia" w:ascii="仿宋_GB2312" w:hAnsi="仿宋_GB2312" w:eastAsia="仿宋_GB2312" w:cs="仿宋_GB2312"/>
          <w:b/>
          <w:bCs/>
          <w:color w:val="auto"/>
          <w:sz w:val="32"/>
          <w:szCs w:val="32"/>
          <w:highlight w:val="none"/>
          <w:lang w:val="en-US" w:eastAsia="zh-CN"/>
        </w:rPr>
        <w:t>公务员医疗补助</w:t>
      </w:r>
      <w:r>
        <w:rPr>
          <w:rFonts w:hint="eastAsia" w:ascii="仿宋_GB2312" w:hAnsi="仿宋_GB2312" w:eastAsia="仿宋_GB2312" w:cs="仿宋_GB2312"/>
          <w:b/>
          <w:bCs/>
          <w:sz w:val="32"/>
          <w:szCs w:val="32"/>
          <w:highlight w:val="none"/>
        </w:rPr>
        <w:t>（项）。</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2.89</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1.88</w:t>
      </w:r>
      <w:r>
        <w:rPr>
          <w:rFonts w:hint="eastAsia" w:ascii="仿宋_GB2312" w:hAnsi="仿宋_GB2312" w:eastAsia="仿宋_GB2312" w:cs="仿宋_GB2312"/>
          <w:sz w:val="32"/>
          <w:szCs w:val="32"/>
          <w:highlight w:val="none"/>
        </w:rPr>
        <w:t>万元，完成</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预算的</w:t>
      </w:r>
      <w:r>
        <w:rPr>
          <w:rFonts w:hint="eastAsia" w:ascii="仿宋_GB2312" w:hAnsi="仿宋_GB2312" w:eastAsia="仿宋_GB2312" w:cs="仿宋_GB2312"/>
          <w:sz w:val="32"/>
          <w:szCs w:val="32"/>
          <w:highlight w:val="none"/>
          <w:lang w:val="en-US" w:eastAsia="zh-CN"/>
        </w:rPr>
        <w:t>65.05</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color w:val="auto"/>
          <w:sz w:val="32"/>
          <w:szCs w:val="32"/>
          <w:highlight w:val="none"/>
          <w:lang w:val="en-US" w:eastAsia="zh-CN"/>
        </w:rPr>
        <w:t>决算数与年初预算数存在差异的主要原因是人员调动，经费调整。</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lang w:val="en-US" w:eastAsia="zh-CN"/>
        </w:rPr>
        <w:t>6</w:t>
      </w:r>
      <w:r>
        <w:rPr>
          <w:rFonts w:hint="eastAsia" w:ascii="仿宋_GB2312" w:hAnsi="仿宋_GB2312" w:eastAsia="仿宋_GB2312" w:cs="仿宋_GB2312"/>
          <w:b/>
          <w:bCs/>
          <w:sz w:val="32"/>
          <w:szCs w:val="32"/>
          <w:highlight w:val="none"/>
        </w:rPr>
        <w:t>．</w:t>
      </w:r>
      <w:r>
        <w:rPr>
          <w:rFonts w:hint="eastAsia" w:ascii="仿宋_GB2312" w:hAnsi="仿宋_GB2312" w:eastAsia="仿宋_GB2312" w:cs="仿宋_GB2312"/>
          <w:b/>
          <w:bCs/>
          <w:color w:val="auto"/>
          <w:sz w:val="32"/>
          <w:szCs w:val="32"/>
          <w:highlight w:val="none"/>
          <w:lang w:val="en-US" w:eastAsia="zh-CN"/>
        </w:rPr>
        <w:t>城乡社区支出</w:t>
      </w:r>
      <w:r>
        <w:rPr>
          <w:rFonts w:hint="eastAsia" w:ascii="仿宋_GB2312" w:hAnsi="仿宋_GB2312" w:eastAsia="仿宋_GB2312" w:cs="仿宋_GB2312"/>
          <w:b/>
          <w:bCs/>
          <w:sz w:val="32"/>
          <w:szCs w:val="32"/>
          <w:highlight w:val="none"/>
        </w:rPr>
        <w:t>（类）</w:t>
      </w:r>
      <w:r>
        <w:rPr>
          <w:rFonts w:hint="eastAsia" w:ascii="仿宋_GB2312" w:hAnsi="仿宋_GB2312" w:eastAsia="仿宋_GB2312" w:cs="仿宋_GB2312"/>
          <w:b/>
          <w:bCs/>
          <w:color w:val="auto"/>
          <w:sz w:val="32"/>
          <w:szCs w:val="32"/>
          <w:highlight w:val="none"/>
          <w:lang w:val="en-US" w:eastAsia="zh-CN"/>
        </w:rPr>
        <w:t>城乡社区管理事务</w:t>
      </w:r>
      <w:r>
        <w:rPr>
          <w:rFonts w:hint="eastAsia" w:ascii="仿宋_GB2312" w:hAnsi="仿宋_GB2312" w:eastAsia="仿宋_GB2312" w:cs="仿宋_GB2312"/>
          <w:b/>
          <w:bCs/>
          <w:sz w:val="32"/>
          <w:szCs w:val="32"/>
          <w:highlight w:val="none"/>
        </w:rPr>
        <w:t>（款）</w:t>
      </w:r>
      <w:r>
        <w:rPr>
          <w:rFonts w:hint="eastAsia" w:ascii="仿宋_GB2312" w:hAnsi="仿宋_GB2312" w:eastAsia="仿宋_GB2312" w:cs="仿宋_GB2312"/>
          <w:b/>
          <w:bCs/>
          <w:color w:val="auto"/>
          <w:sz w:val="32"/>
          <w:szCs w:val="32"/>
          <w:highlight w:val="none"/>
          <w:lang w:val="en-US" w:eastAsia="zh-CN"/>
        </w:rPr>
        <w:t>其他城乡社区管理事务支出</w:t>
      </w:r>
      <w:r>
        <w:rPr>
          <w:rFonts w:hint="eastAsia" w:ascii="仿宋_GB2312" w:hAnsi="仿宋_GB2312" w:eastAsia="仿宋_GB2312" w:cs="仿宋_GB2312"/>
          <w:b/>
          <w:bCs/>
          <w:sz w:val="32"/>
          <w:szCs w:val="32"/>
          <w:highlight w:val="none"/>
        </w:rPr>
        <w:t>（项）。</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90.06</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122.63</w:t>
      </w:r>
      <w:r>
        <w:rPr>
          <w:rFonts w:hint="eastAsia" w:ascii="仿宋_GB2312" w:hAnsi="仿宋_GB2312" w:eastAsia="仿宋_GB2312" w:cs="仿宋_GB2312"/>
          <w:sz w:val="32"/>
          <w:szCs w:val="32"/>
          <w:highlight w:val="none"/>
        </w:rPr>
        <w:t>万元，完成</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预算的</w:t>
      </w:r>
      <w:r>
        <w:rPr>
          <w:rFonts w:hint="eastAsia" w:ascii="仿宋_GB2312" w:hAnsi="仿宋_GB2312" w:eastAsia="仿宋_GB2312" w:cs="仿宋_GB2312"/>
          <w:sz w:val="32"/>
          <w:szCs w:val="32"/>
          <w:highlight w:val="none"/>
          <w:lang w:val="en-US" w:eastAsia="zh-CN"/>
        </w:rPr>
        <w:t>136.16</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color w:val="auto"/>
          <w:sz w:val="32"/>
          <w:szCs w:val="32"/>
          <w:highlight w:val="none"/>
          <w:lang w:val="en-US" w:eastAsia="zh-CN"/>
        </w:rPr>
        <w:t>决算数与年初预算数存在差异的主要原因是人员调动，经费调整。</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六、一般公共预算财政拨款基本支出决算情况说明</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年度一般公共预算财政拨款基本支出</w:t>
      </w:r>
      <w:r>
        <w:rPr>
          <w:rFonts w:hint="eastAsia" w:ascii="仿宋_GB2312" w:hAnsi="仿宋_GB2312" w:eastAsia="仿宋_GB2312" w:cs="仿宋_GB2312"/>
          <w:sz w:val="32"/>
          <w:szCs w:val="32"/>
          <w:highlight w:val="none"/>
          <w:lang w:val="en-US" w:eastAsia="zh-CN"/>
        </w:rPr>
        <w:t>126.24</w:t>
      </w:r>
      <w:r>
        <w:rPr>
          <w:rFonts w:hint="eastAsia" w:ascii="仿宋_GB2312" w:hAnsi="仿宋_GB2312" w:eastAsia="仿宋_GB2312" w:cs="仿宋_GB2312"/>
          <w:sz w:val="32"/>
          <w:szCs w:val="32"/>
          <w:highlight w:val="none"/>
        </w:rPr>
        <w:t>万元。其中：人员经费</w:t>
      </w:r>
      <w:r>
        <w:rPr>
          <w:rFonts w:hint="eastAsia" w:ascii="仿宋_GB2312" w:hAnsi="仿宋_GB2312" w:eastAsia="仿宋_GB2312" w:cs="仿宋_GB2312"/>
          <w:sz w:val="32"/>
          <w:szCs w:val="32"/>
          <w:highlight w:val="none"/>
          <w:lang w:val="en-US" w:eastAsia="zh-CN"/>
        </w:rPr>
        <w:t>117.80</w:t>
      </w:r>
      <w:r>
        <w:rPr>
          <w:rFonts w:hint="eastAsia" w:ascii="仿宋_GB2312" w:hAnsi="仿宋_GB2312" w:eastAsia="仿宋_GB2312" w:cs="仿宋_GB2312"/>
          <w:sz w:val="32"/>
          <w:szCs w:val="32"/>
          <w:highlight w:val="none"/>
        </w:rPr>
        <w:t>万元，主要包括：基本工资、津贴补贴、</w:t>
      </w:r>
      <w:r>
        <w:rPr>
          <w:rFonts w:hint="eastAsia" w:ascii="仿宋_GB2312" w:hAnsi="仿宋_GB2312" w:eastAsia="仿宋_GB2312" w:cs="仿宋_GB2312"/>
          <w:sz w:val="32"/>
          <w:szCs w:val="32"/>
          <w:highlight w:val="none"/>
          <w:lang w:val="en-US" w:eastAsia="zh-CN"/>
        </w:rPr>
        <w:t>奖金、</w:t>
      </w:r>
      <w:r>
        <w:rPr>
          <w:rFonts w:hint="eastAsia" w:ascii="仿宋_GB2312" w:hAnsi="仿宋_GB2312" w:eastAsia="仿宋_GB2312" w:cs="仿宋_GB2312"/>
          <w:sz w:val="32"/>
          <w:szCs w:val="32"/>
          <w:highlight w:val="none"/>
        </w:rPr>
        <w:t>绩效工资、机关事业单位基本养老保险缴费、</w:t>
      </w:r>
      <w:r>
        <w:rPr>
          <w:rFonts w:hint="eastAsia" w:ascii="仿宋_GB2312" w:hAnsi="仿宋_GB2312" w:eastAsia="仿宋_GB2312" w:cs="仿宋_GB2312"/>
          <w:sz w:val="32"/>
          <w:szCs w:val="32"/>
          <w:highlight w:val="none"/>
          <w:lang w:val="en-US" w:eastAsia="zh-CN"/>
        </w:rPr>
        <w:t>职工基本医疗保险缴费、公务员医疗补助缴费、</w:t>
      </w:r>
      <w:r>
        <w:rPr>
          <w:rFonts w:hint="eastAsia" w:ascii="仿宋_GB2312" w:hAnsi="仿宋_GB2312" w:eastAsia="仿宋_GB2312" w:cs="仿宋_GB2312"/>
          <w:sz w:val="32"/>
          <w:szCs w:val="32"/>
          <w:highlight w:val="none"/>
        </w:rPr>
        <w:t>其他社会保障缴费、其他工资福利支出、退休费</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住房公积金；公用经费</w:t>
      </w:r>
      <w:r>
        <w:rPr>
          <w:rFonts w:hint="eastAsia" w:ascii="仿宋_GB2312" w:hAnsi="仿宋_GB2312" w:eastAsia="仿宋_GB2312" w:cs="仿宋_GB2312"/>
          <w:sz w:val="32"/>
          <w:szCs w:val="32"/>
          <w:highlight w:val="none"/>
          <w:lang w:val="en-US" w:eastAsia="zh-CN"/>
        </w:rPr>
        <w:t>8.44</w:t>
      </w:r>
      <w:r>
        <w:rPr>
          <w:rFonts w:hint="eastAsia" w:ascii="仿宋_GB2312" w:hAnsi="仿宋_GB2312" w:eastAsia="仿宋_GB2312" w:cs="仿宋_GB2312"/>
          <w:sz w:val="32"/>
          <w:szCs w:val="32"/>
          <w:highlight w:val="none"/>
        </w:rPr>
        <w:t>万元，主要包括：办公费、印刷费、工会经费、福利费、公务用车运行维护费、其他商品和服务支出。</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七、一般公共预算财政拨款“三公”经费支出决算情况说明</w:t>
      </w: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textAlignment w:val="auto"/>
        <w:outlineLvl w:val="2"/>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（一）“三公”经费财政拨款支出决算总体情况说明。</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年度“三公”经费财政拨款支出预算为</w:t>
      </w: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1.47</w:t>
      </w:r>
      <w:r>
        <w:rPr>
          <w:rFonts w:hint="eastAsia" w:ascii="仿宋_GB2312" w:hAnsi="仿宋_GB2312" w:eastAsia="仿宋_GB2312" w:cs="仿宋_GB2312"/>
          <w:sz w:val="32"/>
          <w:szCs w:val="32"/>
          <w:highlight w:val="none"/>
        </w:rPr>
        <w:t>万元，完成预算的</w:t>
      </w:r>
      <w:r>
        <w:rPr>
          <w:rFonts w:hint="eastAsia" w:ascii="仿宋_GB2312" w:hAnsi="仿宋_GB2312" w:eastAsia="仿宋_GB2312" w:cs="仿宋_GB2312"/>
          <w:sz w:val="32"/>
          <w:szCs w:val="32"/>
          <w:highlight w:val="none"/>
          <w:lang w:val="en-US" w:eastAsia="zh-CN"/>
        </w:rPr>
        <w:t>73.50</w:t>
      </w:r>
      <w:r>
        <w:rPr>
          <w:rFonts w:hint="eastAsia" w:ascii="仿宋_GB2312" w:hAnsi="仿宋_GB2312" w:eastAsia="仿宋_GB2312" w:cs="仿宋_GB2312"/>
          <w:sz w:val="32"/>
          <w:szCs w:val="32"/>
          <w:highlight w:val="none"/>
        </w:rPr>
        <w:t>%。</w:t>
      </w: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年度“三公”经费支出决算数与预算数存在差异的主要原因是</w:t>
      </w:r>
      <w:r>
        <w:rPr>
          <w:rFonts w:hint="eastAsia" w:ascii="仿宋_GB2312" w:hAnsi="仿宋_GB2312" w:eastAsia="仿宋_GB2312" w:cs="仿宋_GB2312"/>
          <w:color w:val="auto"/>
          <w:sz w:val="32"/>
          <w:szCs w:val="32"/>
          <w:highlight w:val="none"/>
          <w:lang w:val="en-US" w:eastAsia="zh-CN"/>
        </w:rPr>
        <w:t>加强公务用车管理，降低车辆的运行及维修费</w:t>
      </w:r>
      <w:r>
        <w:rPr>
          <w:rFonts w:hint="eastAsia" w:ascii="仿宋_GB2312" w:hAnsi="仿宋_GB2312" w:eastAsia="仿宋_GB2312" w:cs="仿宋_GB2312"/>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textAlignment w:val="auto"/>
        <w:outlineLvl w:val="2"/>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（二）“三公”经费财政拨款支出决算具体情况说明。</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年度“三公”经费财政拨款支出决算中，因公出国（境）费支出决算</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万元；公务用车购置及运行费支出决算</w:t>
      </w:r>
      <w:r>
        <w:rPr>
          <w:rFonts w:hint="eastAsia" w:ascii="仿宋_GB2312" w:hAnsi="仿宋_GB2312" w:eastAsia="仿宋_GB2312" w:cs="仿宋_GB2312"/>
          <w:sz w:val="32"/>
          <w:szCs w:val="32"/>
          <w:highlight w:val="none"/>
          <w:lang w:val="en-US" w:eastAsia="zh-CN"/>
        </w:rPr>
        <w:t>1.47</w:t>
      </w:r>
      <w:r>
        <w:rPr>
          <w:rFonts w:hint="eastAsia" w:ascii="仿宋_GB2312" w:hAnsi="仿宋_GB2312" w:eastAsia="仿宋_GB2312" w:cs="仿宋_GB2312"/>
          <w:sz w:val="32"/>
          <w:szCs w:val="32"/>
          <w:highlight w:val="none"/>
        </w:rPr>
        <w:t>万元，完成预算的</w:t>
      </w:r>
      <w:r>
        <w:rPr>
          <w:rFonts w:hint="eastAsia" w:ascii="仿宋_GB2312" w:hAnsi="仿宋_GB2312" w:eastAsia="仿宋_GB2312" w:cs="仿宋_GB2312"/>
          <w:sz w:val="32"/>
          <w:szCs w:val="32"/>
          <w:highlight w:val="none"/>
          <w:lang w:val="en-US" w:eastAsia="zh-CN"/>
        </w:rPr>
        <w:t>73.50</w:t>
      </w:r>
      <w:r>
        <w:rPr>
          <w:rFonts w:hint="eastAsia" w:ascii="仿宋_GB2312" w:hAnsi="仿宋_GB2312" w:eastAsia="仿宋_GB2312" w:cs="仿宋_GB2312"/>
          <w:sz w:val="32"/>
          <w:szCs w:val="32"/>
          <w:highlight w:val="none"/>
        </w:rPr>
        <w:t>%，占</w:t>
      </w:r>
      <w:r>
        <w:rPr>
          <w:rFonts w:hint="eastAsia" w:ascii="仿宋_GB2312" w:hAnsi="仿宋_GB2312" w:eastAsia="仿宋_GB2312" w:cs="仿宋_GB2312"/>
          <w:sz w:val="32"/>
          <w:szCs w:val="32"/>
          <w:highlight w:val="none"/>
          <w:lang w:val="en-US" w:eastAsia="zh-CN"/>
        </w:rPr>
        <w:t>100</w:t>
      </w:r>
      <w:r>
        <w:rPr>
          <w:rFonts w:hint="eastAsia" w:ascii="仿宋_GB2312" w:hAnsi="仿宋_GB2312" w:eastAsia="仿宋_GB2312" w:cs="仿宋_GB2312"/>
          <w:sz w:val="32"/>
          <w:szCs w:val="32"/>
          <w:highlight w:val="none"/>
        </w:rPr>
        <w:t>%；公务接待费支出决算</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万元。具体情况如下：</w:t>
      </w: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1．因公出国（境）费</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w:t>
      </w: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年度“三公”经费支出决算数与预算数</w:t>
      </w:r>
      <w:r>
        <w:rPr>
          <w:rFonts w:hint="eastAsia" w:ascii="仿宋_GB2312" w:hAnsi="仿宋_GB2312" w:eastAsia="仿宋_GB2312" w:cs="仿宋_GB2312"/>
          <w:sz w:val="32"/>
          <w:szCs w:val="32"/>
          <w:highlight w:val="none"/>
          <w:lang w:val="en-US" w:eastAsia="zh-CN"/>
        </w:rPr>
        <w:t>不</w:t>
      </w:r>
      <w:r>
        <w:rPr>
          <w:rFonts w:hint="eastAsia" w:ascii="仿宋_GB2312" w:hAnsi="仿宋_GB2312" w:eastAsia="仿宋_GB2312" w:cs="仿宋_GB2312"/>
          <w:sz w:val="32"/>
          <w:szCs w:val="32"/>
          <w:highlight w:val="none"/>
        </w:rPr>
        <w:t>存在差异。因公出国（境）团组数0个，</w:t>
      </w:r>
      <w:r>
        <w:rPr>
          <w:rFonts w:hint="eastAsia" w:ascii="仿宋_GB2312" w:hAnsi="仿宋_GB2312" w:eastAsia="仿宋_GB2312" w:cs="仿宋_GB2312"/>
          <w:sz w:val="32"/>
          <w:szCs w:val="32"/>
          <w:highlight w:val="none"/>
          <w:lang w:eastAsia="zh-CN"/>
        </w:rPr>
        <w:t>累计</w:t>
      </w:r>
      <w:r>
        <w:rPr>
          <w:rFonts w:hint="eastAsia" w:ascii="仿宋_GB2312" w:hAnsi="仿宋_GB2312" w:eastAsia="仿宋_GB2312" w:cs="仿宋_GB2312"/>
          <w:sz w:val="32"/>
          <w:szCs w:val="32"/>
          <w:highlight w:val="none"/>
          <w:lang w:val="en-US" w:eastAsia="zh-CN"/>
        </w:rPr>
        <w:t>0人次</w:t>
      </w:r>
      <w:r>
        <w:rPr>
          <w:rFonts w:hint="eastAsia" w:ascii="仿宋_GB2312" w:hAnsi="仿宋_GB2312" w:eastAsia="仿宋_GB2312" w:cs="仿宋_GB2312"/>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2．公务用车购置及运行费</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1.47</w:t>
      </w:r>
      <w:r>
        <w:rPr>
          <w:rFonts w:hint="eastAsia" w:ascii="仿宋_GB2312" w:hAnsi="仿宋_GB2312" w:eastAsia="仿宋_GB2312" w:cs="仿宋_GB2312"/>
          <w:sz w:val="32"/>
          <w:szCs w:val="32"/>
          <w:highlight w:val="none"/>
        </w:rPr>
        <w:t>万元，完成预算的</w:t>
      </w:r>
      <w:r>
        <w:rPr>
          <w:rFonts w:hint="eastAsia" w:ascii="仿宋_GB2312" w:hAnsi="仿宋_GB2312" w:eastAsia="仿宋_GB2312" w:cs="仿宋_GB2312"/>
          <w:sz w:val="32"/>
          <w:szCs w:val="32"/>
          <w:highlight w:val="none"/>
          <w:lang w:val="en-US" w:eastAsia="zh-CN"/>
        </w:rPr>
        <w:t>73.50</w:t>
      </w:r>
      <w:r>
        <w:rPr>
          <w:rFonts w:hint="eastAsia" w:ascii="仿宋_GB2312" w:hAnsi="仿宋_GB2312" w:eastAsia="仿宋_GB2312" w:cs="仿宋_GB2312"/>
          <w:sz w:val="32"/>
          <w:szCs w:val="32"/>
          <w:highlight w:val="none"/>
        </w:rPr>
        <w:t>%。决算数与预算数存在差异的主要原因是</w:t>
      </w:r>
      <w:r>
        <w:rPr>
          <w:rFonts w:hint="eastAsia" w:ascii="仿宋_GB2312" w:hAnsi="仿宋_GB2312" w:eastAsia="仿宋_GB2312" w:cs="仿宋_GB2312"/>
          <w:color w:val="auto"/>
          <w:sz w:val="32"/>
          <w:szCs w:val="32"/>
          <w:highlight w:val="none"/>
          <w:lang w:val="en-US" w:eastAsia="zh-CN"/>
        </w:rPr>
        <w:t>加强公务用车管理，降低车辆的运行及维修费</w:t>
      </w:r>
      <w:r>
        <w:rPr>
          <w:rFonts w:hint="eastAsia" w:ascii="仿宋_GB2312" w:hAnsi="仿宋_GB2312" w:eastAsia="仿宋_GB2312" w:cs="仿宋_GB2312"/>
          <w:sz w:val="32"/>
          <w:szCs w:val="32"/>
          <w:highlight w:val="none"/>
        </w:rPr>
        <w:t>。其中：</w:t>
      </w: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b/>
          <w:bCs/>
          <w:sz w:val="32"/>
          <w:szCs w:val="32"/>
          <w:highlight w:val="none"/>
        </w:rPr>
        <w:t>公务用车购置支出</w:t>
      </w:r>
      <w:r>
        <w:rPr>
          <w:rFonts w:hint="eastAsia" w:ascii="仿宋_GB2312" w:hAnsi="仿宋_GB2312" w:eastAsia="仿宋_GB2312" w:cs="仿宋_GB2312"/>
          <w:sz w:val="32"/>
          <w:szCs w:val="32"/>
          <w:highlight w:val="none"/>
        </w:rPr>
        <w:t>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万元，购置车辆</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台</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公务用车运行支出</w:t>
      </w:r>
      <w:r>
        <w:rPr>
          <w:rFonts w:hint="eastAsia" w:ascii="仿宋_GB2312" w:hAnsi="仿宋_GB2312" w:eastAsia="仿宋_GB2312" w:cs="仿宋_GB2312"/>
          <w:sz w:val="32"/>
          <w:szCs w:val="32"/>
          <w:highlight w:val="none"/>
          <w:lang w:val="en-US" w:eastAsia="zh-CN"/>
        </w:rPr>
        <w:t>1.47</w:t>
      </w:r>
      <w:r>
        <w:rPr>
          <w:rFonts w:hint="eastAsia" w:ascii="仿宋_GB2312" w:hAnsi="仿宋_GB2312" w:eastAsia="仿宋_GB2312" w:cs="仿宋_GB2312"/>
          <w:sz w:val="32"/>
          <w:szCs w:val="32"/>
          <w:highlight w:val="none"/>
        </w:rPr>
        <w:t>万元。主要用于</w:t>
      </w:r>
      <w:r>
        <w:rPr>
          <w:rFonts w:hint="eastAsia" w:ascii="仿宋_GB2312" w:hAnsi="仿宋_GB2312" w:eastAsia="仿宋_GB2312" w:cs="仿宋_GB2312"/>
          <w:color w:val="auto"/>
          <w:sz w:val="32"/>
          <w:szCs w:val="32"/>
          <w:highlight w:val="none"/>
          <w:lang w:val="en-US" w:eastAsia="zh-CN"/>
        </w:rPr>
        <w:t>公务用车日常加油维修费</w:t>
      </w:r>
      <w:r>
        <w:rPr>
          <w:rFonts w:hint="eastAsia" w:ascii="仿宋_GB2312" w:hAnsi="仿宋_GB2312" w:eastAsia="仿宋_GB2312" w:cs="仿宋_GB2312"/>
          <w:sz w:val="32"/>
          <w:szCs w:val="32"/>
          <w:highlight w:val="none"/>
        </w:rPr>
        <w:t>。</w:t>
      </w: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年期末，单位开支财政拨款的公务用车保有量为</w:t>
      </w:r>
      <w:r>
        <w:rPr>
          <w:rFonts w:hint="eastAsia" w:ascii="仿宋_GB2312" w:hAnsi="仿宋_GB2312" w:eastAsia="仿宋_GB2312" w:cs="仿宋_GB2312"/>
          <w:sz w:val="32"/>
          <w:szCs w:val="32"/>
          <w:highlight w:val="none"/>
          <w:lang w:val="en-US" w:eastAsia="zh-CN"/>
        </w:rPr>
        <w:t>1辆</w:t>
      </w:r>
      <w:r>
        <w:rPr>
          <w:rFonts w:hint="eastAsia" w:ascii="仿宋_GB2312" w:hAnsi="仿宋_GB2312" w:eastAsia="仿宋_GB2312" w:cs="仿宋_GB2312"/>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3.公务接待费</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w:t>
      </w: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年度“三公”经费支出决算数与预算数</w:t>
      </w:r>
      <w:r>
        <w:rPr>
          <w:rFonts w:hint="eastAsia" w:ascii="仿宋_GB2312" w:hAnsi="仿宋_GB2312" w:eastAsia="仿宋_GB2312" w:cs="仿宋_GB2312"/>
          <w:sz w:val="32"/>
          <w:szCs w:val="32"/>
          <w:highlight w:val="none"/>
          <w:lang w:val="en-US" w:eastAsia="zh-CN"/>
        </w:rPr>
        <w:t>不</w:t>
      </w:r>
      <w:r>
        <w:rPr>
          <w:rFonts w:hint="eastAsia" w:ascii="仿宋_GB2312" w:hAnsi="仿宋_GB2312" w:eastAsia="仿宋_GB2312" w:cs="仿宋_GB2312"/>
          <w:sz w:val="32"/>
          <w:szCs w:val="32"/>
          <w:highlight w:val="none"/>
        </w:rPr>
        <w:t>存在差异</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其中：</w:t>
      </w: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外宾接待支出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w:t>
      </w: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年共接待国（境）外来访团组</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个、来访外宾</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人次（不包括陪同人员）。</w:t>
      </w: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其他国内公务接待支出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w:t>
      </w: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年共接待国内来访团组</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个、来宾</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人次（不包括陪同人员）。</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八、政府性基金预算财政拨款支出决算情况说明</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sz w:val="32"/>
          <w:szCs w:val="32"/>
          <w:highlight w:val="none"/>
          <w:lang w:eastAsia="zh-CN"/>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年度政府性基金预算财政拨款支出</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sz w:val="32"/>
          <w:szCs w:val="32"/>
          <w:highlight w:val="none"/>
          <w:lang w:val="en-US" w:eastAsia="zh-CN"/>
        </w:rPr>
        <w:t>。不存在</w:t>
      </w:r>
      <w:r>
        <w:rPr>
          <w:rFonts w:hint="eastAsia" w:ascii="仿宋_GB2312" w:hAnsi="仿宋_GB2312" w:eastAsia="仿宋_GB2312" w:cs="仿宋_GB2312"/>
          <w:sz w:val="32"/>
          <w:szCs w:val="32"/>
          <w:highlight w:val="none"/>
        </w:rPr>
        <w:t>项目年末结转和结余资金数额较大</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情况说明：我单位2021年度没有政府性基金收入，也没有使用政府性基金安排的支出</w:t>
      </w:r>
      <w:r>
        <w:rPr>
          <w:rFonts w:hint="eastAsia" w:ascii="仿宋_GB2312" w:hAnsi="仿宋_GB2312" w:eastAsia="仿宋_GB2312" w:cs="仿宋_GB2312"/>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九、机关运行经费支出情况说明</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我单位不是行政机关，也不是参照公务员管理事业单位，没有机关运行经费支出。</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十、政府采购支出情况说明</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年度政府采购支出总额</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万元，其中：政府采购货物支出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万元、政府采购工程支出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万元、政府采购服务支出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万元。授予中小企业合同金额</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万元，其中：授予小微企业合同金额</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十一、国有资产占用情况说明</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年期末，我单位共有车辆</w:t>
      </w: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rPr>
        <w:t>辆，其中：省级领导干部用车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辆、主要领导干部用车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辆、机要通信用车</w:t>
      </w: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rPr>
        <w:t>辆、应急保障车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辆、执法执勤用车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辆、特种专业技术用车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辆、离退休干部用车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辆、其他用车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辆；单位价值50万元以上通用设备</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台（套），单位价值100万元以上专用设备</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台（套）。</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十二、预算绩效情况说明</w:t>
      </w: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textAlignment w:val="auto"/>
        <w:outlineLvl w:val="1"/>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（一）绩效管理工作开展情况。</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许昌市国有土地管理一所按照《中共许昌市委 许昌市人民政府关于全面实施预算绩效管理的实施意见》（许发〔2021〕13号）文件要求，对许昌市国有土地管理一所整体支出和项目支出开展全过程预算绩效管理。2021年我单位纳入预算绩效管理的支出总额为136.79万元，其中：基本支出126.24万元；支出项目1个，支出金额10.55万元。开展项目绩效自评项目1个，自评金额10.55万元；纳入重点绩效评价0个，评价金额0万元。</w:t>
      </w:r>
    </w:p>
    <w:p>
      <w:pPr>
        <w:pStyle w:val="2"/>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sz w:val="32"/>
          <w:szCs w:val="32"/>
          <w:lang w:val="en-US" w:eastAsia="zh-CN"/>
        </w:rPr>
        <w:t>我单位积极组织开展绩效管理工作，</w:t>
      </w:r>
      <w:r>
        <w:rPr>
          <w:rFonts w:hint="eastAsia" w:ascii="仿宋_GB2312" w:hAnsi="仿宋_GB2312" w:eastAsia="仿宋_GB2312" w:cs="仿宋_GB2312"/>
          <w:color w:val="auto"/>
          <w:sz w:val="32"/>
          <w:szCs w:val="32"/>
          <w:highlight w:val="none"/>
          <w:lang w:val="en-US" w:eastAsia="zh-CN"/>
        </w:rPr>
        <w:t>完成</w:t>
      </w:r>
      <w:r>
        <w:rPr>
          <w:rFonts w:hint="eastAsia" w:ascii="仿宋_GB2312" w:hAnsi="仿宋_GB2312" w:eastAsia="仿宋_GB2312" w:cs="仿宋_GB2312"/>
          <w:sz w:val="32"/>
          <w:szCs w:val="32"/>
        </w:rPr>
        <w:t>辖区内国有土地使用权变更登记</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b w:val="0"/>
          <w:color w:val="000000"/>
          <w:w w:val="100"/>
          <w:sz w:val="32"/>
          <w:szCs w:val="32"/>
          <w:lang w:val="en-US" w:eastAsia="zh-CN"/>
        </w:rPr>
        <w:t>配合利用科对辖区非住宅低效、闲置用地进行梳理上报。</w:t>
      </w:r>
      <w:r>
        <w:rPr>
          <w:rFonts w:hint="eastAsia" w:ascii="仿宋_GB2312" w:hAnsi="仿宋_GB2312" w:eastAsia="仿宋_GB2312" w:cs="仿宋_GB2312"/>
          <w:sz w:val="32"/>
          <w:szCs w:val="32"/>
        </w:rPr>
        <w:t>落实好上级各项方针政策</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完成了年度总体目标。我单位科学设定管理指标，充分调动了大家的积极性和主动性；建立健全工作机制，将绩效工作目标进行分解和细化，明确具体工作内容、工作时限、预期目标等;建立健全运行监控机制，通过民意评价效能，促进单位进一步加强内部管理，优化政务服务，提高公众满意率。</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643" w:firstLineChars="2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（二）单位整体和项目绩效自评结果。</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按照《许昌市财政局关于开展2021年度市级预算绩效自评工作的通知》（许财效）〔2022〕1号）等文件精神，我单位对本单位整体绩效目标和项目支出绩效目标进行了自评。一是单位整体绩效自评情况完成辖区内的国有土地使用权的变更登记和土地市场的管理，土地纠纷协调处理，完成了年度总体目标。二是项目绩效自评情况。我单位共有1个项目批复了绩效目标，项目金额10.55万元。其中：</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许昌市国有土地管理一所1个，项目金额10.55万元。</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基于项目预期目标的实现程度，对2021年度项目支出绩效进行自评，绩效自评平均得分为100分。其中：1个项目评价等级为“优”、0个项目评价等级为“良”、0个项目评价等级为“中”、0个项目评价等级为“差”。</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643" w:firstLineChars="2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（三）重点绩效评价结果。</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kern w:val="0"/>
          <w:sz w:val="32"/>
          <w:szCs w:val="32"/>
          <w:highlight w:val="none"/>
          <w:lang w:val="en-US" w:eastAsia="zh-CN"/>
        </w:rPr>
      </w:pPr>
      <w:r>
        <w:rPr>
          <w:rFonts w:hint="eastAsia" w:ascii="仿宋_GB2312" w:hAnsi="仿宋_GB2312" w:eastAsia="仿宋_GB2312" w:cs="仿宋_GB2312"/>
          <w:kern w:val="0"/>
          <w:sz w:val="32"/>
          <w:szCs w:val="32"/>
          <w:highlight w:val="none"/>
          <w:lang w:val="en-US" w:eastAsia="zh-CN"/>
        </w:rPr>
        <w:t>2021年度我单位没有开展重点绩效评价的项目。</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both"/>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r>
        <w:rPr>
          <w:rFonts w:hint="eastAsia" w:ascii="黑体" w:hAnsi="黑体" w:eastAsia="黑体" w:cs="黑体"/>
          <w:sz w:val="48"/>
          <w:szCs w:val="48"/>
          <w:highlight w:val="none"/>
        </w:rPr>
        <w:t>第四部分  名词解释</w:t>
      </w:r>
    </w:p>
    <w:p>
      <w:pPr>
        <w:jc w:val="center"/>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sectPr>
          <w:pgSz w:w="11906" w:h="16838"/>
          <w:pgMar w:top="1440" w:right="1531" w:bottom="1440" w:left="1587" w:header="850" w:footer="992" w:gutter="0"/>
          <w:pgNumType w:fmt="numberInDash"/>
          <w:cols w:space="720" w:num="1"/>
          <w:docGrid w:type="lines" w:linePitch="317" w:charSpace="0"/>
        </w:sectPr>
      </w:pP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一、财政拨款收入：单位从同级政府财政部门取得的财政预算资金。</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二、事业收入：事业单位开展专业业务活动及其辅助活动取得的收入。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三、上级补助收入：事业单位从主管部门和上级单位取得的非财政补助收入。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四、附属单位上缴收入：事业单位取得附属独立核算单位根据有关规定上缴的收入。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五、经营收入：事业单位在专业业务活动及其辅助活动之外开展非独立核算经营活动取得的收入。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六、其他收入：单位取得的除“财政拨款收入”、“事业收入”、“上级补助收入”、“附属单位上缴收入”、“经营收入”以外的各项收入。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七、使用非财政拨款结余：指事业单位使用以前年度积累的非财政拨款结余弥补当年收支差额的金额。</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八、基本支出：为保障机构正常运转、完成日常工作任务而发生的人员支出和公用支出。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九、项目支出：基本支出之外为完成特定行政任务和事业发展目标所发生的支出。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三公”经费：纳入同级财政预决算管理“三公”经费，指单位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十二、工资福利支出：单位支付给在职职工和编制外长期聘用人员的各类劳动报酬，以及为上述人员缴纳的各项社会保险费等。</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十三、商品和服务支出：单位购买商品和服务的支出。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十四、对个人和家庭的补助支出：单位用于对个人和家庭的补助支出。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十五、年末结转：本年度或以前年度预算安排，已执行但尚未完成或因客观条件发生变化无法按原计划实施，需延迟到以后年度按有关规定继续使用的资金。</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十六、年末结余：本年度或以前年度预算安排，已执行完毕或因客观条件发生变化无法按原预算安排实施，不需要再使用或无法按原预算安排继续使用的资金。</w:t>
      </w:r>
    </w:p>
    <w:sectPr>
      <w:pgSz w:w="11906" w:h="16838"/>
      <w:pgMar w:top="1928" w:right="1474" w:bottom="1701" w:left="158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华文中宋">
    <w:altName w:val="宋体"/>
    <w:panose1 w:val="02010600040101010101"/>
    <w:charset w:val="00"/>
    <w:family w:val="auto"/>
    <w:pitch w:val="default"/>
    <w:sig w:usb0="00000000" w:usb1="0000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- 23 -</w:t>
                          </w:r>
                          <w:r>
                            <w:rPr>
                              <w:rFonts w:hint="eastAsia"/>
                              <w:sz w:val="18"/>
                            </w:rPr>
                            <w:fldChar w:fldCharType="end"/>
                          </w:r>
                        </w:p>
                      </w:txbxContent>
                    </wps:txbx>
                    <wps:bodyPr wrap="none" lIns="0" tIns="0" rIns="0" bIns="0" upright="0">
                      <a:spAutoFit/>
                    </wps:bodyPr>
                  </wps:wsp>
                </a:graphicData>
              </a:graphic>
            </wp:anchor>
          </w:drawing>
        </mc:Choice>
        <mc:Fallback>
          <w:pict>
            <v:shape id="文本框 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PAdavrIAQAAmQMAAA4AAAAAAAAAAQAgAAAAHgEAAGRycy9lMm9Eb2Mu&#10;eG1sUEsFBgAAAAAGAAYAWQEAAFgFA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- 23 -</w:t>
                    </w:r>
                    <w:r>
                      <w:rPr>
                        <w:rFonts w:hint="eastAsia"/>
                        <w:sz w:val="18"/>
                      </w:rPr>
                      <w:fldChar w:fldCharType="end"/>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rPr>
                              <w:rFonts w:hint="eastAsia"/>
                            </w:rPr>
                          </w:pPr>
                        </w:p>
                      </w:txbxContent>
                    </wps:txbx>
                    <wps:bodyPr wrap="none" lIns="0" tIns="0" rIns="0" bIns="0" upright="0">
                      <a:spAutoFit/>
                    </wps:bodyPr>
                  </wps:wsp>
                </a:graphicData>
              </a:graphic>
            </wp:anchor>
          </w:drawing>
        </mc:Choice>
        <mc:Fallback>
          <w:pict>
            <v:shape id="文本框 1027"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SB2ExcoBAACcAwAADgAAAAAAAAABACAAAAAeAQAAZHJzL2Uyb0Rv&#10;Yy54bWxQSwUGAAAAAAYABgBZAQAAWgUAAAAA&#10;">
              <v:fill on="f" focussize="0,0"/>
              <v:stroke on="f"/>
              <v:imagedata o:title=""/>
              <o:lock v:ext="edit" aspectratio="f"/>
              <v:textbox inset="0mm,0mm,0mm,0mm" style="mso-fit-shape-to-text:t;">
                <w:txbxContent>
                  <w:p>
                    <w:pPr>
                      <w:rPr>
                        <w:rFonts w:hint="eastAsia"/>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- 26 -</w:t>
                          </w:r>
                          <w:r>
                            <w:rPr>
                              <w:rFonts w:hint="eastAsia"/>
                              <w:sz w:val="18"/>
                            </w:rPr>
                            <w:fldChar w:fldCharType="end"/>
                          </w:r>
                        </w:p>
                      </w:txbxContent>
                    </wps:txbx>
                    <wps:bodyPr wrap="none" lIns="0" tIns="0" rIns="0" bIns="0" upright="0">
                      <a:spAutoFit/>
                    </wps:bodyPr>
                  </wps:wsp>
                </a:graphicData>
              </a:graphic>
            </wp:anchor>
          </w:drawing>
        </mc:Choice>
        <mc:Fallback>
          <w:pict>
            <v:shape id="文本框 7"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Ae93NyQEAAJkDAAAOAAAAAAAAAAEAIAAAAB4BAABkcnMvZTJvRG9j&#10;LnhtbFBLBQYAAAAABgAGAFkBAABZBQ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- 26 -</w:t>
                    </w:r>
                    <w:r>
                      <w:rPr>
                        <w:rFonts w:hint="eastAsia"/>
                        <w:sz w:val="1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B4CBBC9"/>
    <w:multiLevelType w:val="singleLevel"/>
    <w:tmpl w:val="4B4CBBC9"/>
    <w:lvl w:ilvl="0" w:tentative="0">
      <w:start w:val="1"/>
      <w:numFmt w:val="chineseCounting"/>
      <w:suff w:val="space"/>
      <w:lvlText w:val="第%1部分"/>
      <w:lvlJc w:val="left"/>
      <w:rPr>
        <w:rFonts w:hint="eastAsia"/>
      </w:rPr>
    </w:lvl>
  </w:abstractNum>
  <w:abstractNum w:abstractNumId="1">
    <w:nsid w:val="5971BE17"/>
    <w:multiLevelType w:val="singleLevel"/>
    <w:tmpl w:val="5971BE17"/>
    <w:lvl w:ilvl="0" w:tentative="0">
      <w:start w:val="1"/>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evenAndOddHeaders w:val="1"/>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k3YzQ1OTZkZWIxZGZmODZhOWRjOGZiYjE5NTcxOWIifQ=="/>
  </w:docVars>
  <w:rsids>
    <w:rsidRoot w:val="000270E8"/>
    <w:rsid w:val="000270E8"/>
    <w:rsid w:val="000335B5"/>
    <w:rsid w:val="00057AFD"/>
    <w:rsid w:val="00076410"/>
    <w:rsid w:val="00081835"/>
    <w:rsid w:val="000904B3"/>
    <w:rsid w:val="000C073B"/>
    <w:rsid w:val="000C1142"/>
    <w:rsid w:val="001003F8"/>
    <w:rsid w:val="00144159"/>
    <w:rsid w:val="001718A8"/>
    <w:rsid w:val="00182842"/>
    <w:rsid w:val="00184D53"/>
    <w:rsid w:val="001905F2"/>
    <w:rsid w:val="00197592"/>
    <w:rsid w:val="001C32F0"/>
    <w:rsid w:val="001D61B1"/>
    <w:rsid w:val="001F5040"/>
    <w:rsid w:val="002006EB"/>
    <w:rsid w:val="00214AE1"/>
    <w:rsid w:val="00260D70"/>
    <w:rsid w:val="00281114"/>
    <w:rsid w:val="00282C7F"/>
    <w:rsid w:val="00287811"/>
    <w:rsid w:val="00292B4B"/>
    <w:rsid w:val="002A6352"/>
    <w:rsid w:val="002B3F94"/>
    <w:rsid w:val="002C171D"/>
    <w:rsid w:val="002E6A86"/>
    <w:rsid w:val="00304D04"/>
    <w:rsid w:val="00305B88"/>
    <w:rsid w:val="00315FEB"/>
    <w:rsid w:val="0041489C"/>
    <w:rsid w:val="0042585F"/>
    <w:rsid w:val="00445CAC"/>
    <w:rsid w:val="00472E19"/>
    <w:rsid w:val="00487869"/>
    <w:rsid w:val="004D5275"/>
    <w:rsid w:val="004F63DB"/>
    <w:rsid w:val="00505190"/>
    <w:rsid w:val="00507364"/>
    <w:rsid w:val="00546F7C"/>
    <w:rsid w:val="005A0C2F"/>
    <w:rsid w:val="005B1AE2"/>
    <w:rsid w:val="005E3397"/>
    <w:rsid w:val="00607D67"/>
    <w:rsid w:val="006228C4"/>
    <w:rsid w:val="00636C37"/>
    <w:rsid w:val="006512DD"/>
    <w:rsid w:val="00656BEF"/>
    <w:rsid w:val="00656D75"/>
    <w:rsid w:val="00657E86"/>
    <w:rsid w:val="00673EF7"/>
    <w:rsid w:val="006841E9"/>
    <w:rsid w:val="0069449E"/>
    <w:rsid w:val="006C07F0"/>
    <w:rsid w:val="006C644A"/>
    <w:rsid w:val="006C7D84"/>
    <w:rsid w:val="007148E8"/>
    <w:rsid w:val="00733DAA"/>
    <w:rsid w:val="00742BA0"/>
    <w:rsid w:val="00753545"/>
    <w:rsid w:val="00764156"/>
    <w:rsid w:val="007706D7"/>
    <w:rsid w:val="007879ED"/>
    <w:rsid w:val="007A48A3"/>
    <w:rsid w:val="007C029F"/>
    <w:rsid w:val="007C7F49"/>
    <w:rsid w:val="007D2A21"/>
    <w:rsid w:val="00843461"/>
    <w:rsid w:val="008651E7"/>
    <w:rsid w:val="00872946"/>
    <w:rsid w:val="0088023A"/>
    <w:rsid w:val="008858FB"/>
    <w:rsid w:val="00894B41"/>
    <w:rsid w:val="008B5427"/>
    <w:rsid w:val="008C7CD0"/>
    <w:rsid w:val="00903F6B"/>
    <w:rsid w:val="009173F9"/>
    <w:rsid w:val="009308CB"/>
    <w:rsid w:val="00950270"/>
    <w:rsid w:val="00962F58"/>
    <w:rsid w:val="00975A04"/>
    <w:rsid w:val="00987E71"/>
    <w:rsid w:val="009F0FBB"/>
    <w:rsid w:val="009F546E"/>
    <w:rsid w:val="00A079F0"/>
    <w:rsid w:val="00A42F43"/>
    <w:rsid w:val="00A51982"/>
    <w:rsid w:val="00A57BF7"/>
    <w:rsid w:val="00A71DC1"/>
    <w:rsid w:val="00A83D8A"/>
    <w:rsid w:val="00A93E7D"/>
    <w:rsid w:val="00AA260E"/>
    <w:rsid w:val="00AA44CB"/>
    <w:rsid w:val="00AA67CD"/>
    <w:rsid w:val="00AD6761"/>
    <w:rsid w:val="00AE2FEA"/>
    <w:rsid w:val="00AE600E"/>
    <w:rsid w:val="00B0083B"/>
    <w:rsid w:val="00B040BC"/>
    <w:rsid w:val="00B209B8"/>
    <w:rsid w:val="00B20BBC"/>
    <w:rsid w:val="00B249F3"/>
    <w:rsid w:val="00B649BE"/>
    <w:rsid w:val="00B653A5"/>
    <w:rsid w:val="00B710DD"/>
    <w:rsid w:val="00BE5A85"/>
    <w:rsid w:val="00BF4E6A"/>
    <w:rsid w:val="00BF5718"/>
    <w:rsid w:val="00C13474"/>
    <w:rsid w:val="00C3106E"/>
    <w:rsid w:val="00C60609"/>
    <w:rsid w:val="00C95CC1"/>
    <w:rsid w:val="00CA3F44"/>
    <w:rsid w:val="00CB03ED"/>
    <w:rsid w:val="00CE212D"/>
    <w:rsid w:val="00CE4B38"/>
    <w:rsid w:val="00D1321A"/>
    <w:rsid w:val="00D30ADF"/>
    <w:rsid w:val="00D33CF8"/>
    <w:rsid w:val="00D6315E"/>
    <w:rsid w:val="00D652C2"/>
    <w:rsid w:val="00D74EE2"/>
    <w:rsid w:val="00D83E19"/>
    <w:rsid w:val="00D86CAD"/>
    <w:rsid w:val="00DA00C9"/>
    <w:rsid w:val="00DB200E"/>
    <w:rsid w:val="00DB65F5"/>
    <w:rsid w:val="00E01C3E"/>
    <w:rsid w:val="00E13099"/>
    <w:rsid w:val="00E4339F"/>
    <w:rsid w:val="00E60B05"/>
    <w:rsid w:val="00E629EA"/>
    <w:rsid w:val="00E6777C"/>
    <w:rsid w:val="00EB05A3"/>
    <w:rsid w:val="00ED38B7"/>
    <w:rsid w:val="00EE051D"/>
    <w:rsid w:val="00F0131A"/>
    <w:rsid w:val="00F14C17"/>
    <w:rsid w:val="00F17041"/>
    <w:rsid w:val="00F218CF"/>
    <w:rsid w:val="00F44937"/>
    <w:rsid w:val="00F61A47"/>
    <w:rsid w:val="00F84422"/>
    <w:rsid w:val="00F95455"/>
    <w:rsid w:val="00FA574D"/>
    <w:rsid w:val="00FC2588"/>
    <w:rsid w:val="00FE7AD9"/>
    <w:rsid w:val="01322275"/>
    <w:rsid w:val="01DC6F05"/>
    <w:rsid w:val="02A3489A"/>
    <w:rsid w:val="02C40A08"/>
    <w:rsid w:val="02CA138D"/>
    <w:rsid w:val="033646FC"/>
    <w:rsid w:val="03C75F80"/>
    <w:rsid w:val="0478364D"/>
    <w:rsid w:val="053D4C0D"/>
    <w:rsid w:val="0557532E"/>
    <w:rsid w:val="06C047C3"/>
    <w:rsid w:val="0799329C"/>
    <w:rsid w:val="08397436"/>
    <w:rsid w:val="086F16A7"/>
    <w:rsid w:val="0A0F7225"/>
    <w:rsid w:val="0A2B7D82"/>
    <w:rsid w:val="0ADC40E9"/>
    <w:rsid w:val="0AE607F4"/>
    <w:rsid w:val="0B386127"/>
    <w:rsid w:val="0B451598"/>
    <w:rsid w:val="0BEC73F4"/>
    <w:rsid w:val="0C392698"/>
    <w:rsid w:val="0E7345DB"/>
    <w:rsid w:val="10BD36F6"/>
    <w:rsid w:val="11BF0649"/>
    <w:rsid w:val="123E3E08"/>
    <w:rsid w:val="133212F4"/>
    <w:rsid w:val="13D22E22"/>
    <w:rsid w:val="161C2DFF"/>
    <w:rsid w:val="16373578"/>
    <w:rsid w:val="16D3336B"/>
    <w:rsid w:val="17200028"/>
    <w:rsid w:val="17806C36"/>
    <w:rsid w:val="17A74F62"/>
    <w:rsid w:val="18A47774"/>
    <w:rsid w:val="1A8D28EB"/>
    <w:rsid w:val="1A9F2D78"/>
    <w:rsid w:val="1B2E6FD8"/>
    <w:rsid w:val="1B877D21"/>
    <w:rsid w:val="1C4319A9"/>
    <w:rsid w:val="1D037201"/>
    <w:rsid w:val="1E443B4B"/>
    <w:rsid w:val="1E994F4A"/>
    <w:rsid w:val="1EAF0224"/>
    <w:rsid w:val="1F2230A4"/>
    <w:rsid w:val="20210932"/>
    <w:rsid w:val="202448E0"/>
    <w:rsid w:val="20F614FE"/>
    <w:rsid w:val="21302EEA"/>
    <w:rsid w:val="22376FB5"/>
    <w:rsid w:val="23E152D7"/>
    <w:rsid w:val="23EE2489"/>
    <w:rsid w:val="255D43C8"/>
    <w:rsid w:val="26714EF8"/>
    <w:rsid w:val="26876BDD"/>
    <w:rsid w:val="2714632A"/>
    <w:rsid w:val="27541E73"/>
    <w:rsid w:val="27B0539E"/>
    <w:rsid w:val="29365CF8"/>
    <w:rsid w:val="299469B3"/>
    <w:rsid w:val="2A805789"/>
    <w:rsid w:val="2AD51ECE"/>
    <w:rsid w:val="2ADC0D75"/>
    <w:rsid w:val="2B4A0E52"/>
    <w:rsid w:val="2B5F0153"/>
    <w:rsid w:val="2C975890"/>
    <w:rsid w:val="2DEF21BB"/>
    <w:rsid w:val="2E4A2F05"/>
    <w:rsid w:val="2ECC1061"/>
    <w:rsid w:val="2FA476AD"/>
    <w:rsid w:val="303F7540"/>
    <w:rsid w:val="306C4189"/>
    <w:rsid w:val="31762267"/>
    <w:rsid w:val="31DD00BF"/>
    <w:rsid w:val="3293174C"/>
    <w:rsid w:val="32BB38D4"/>
    <w:rsid w:val="32C9376D"/>
    <w:rsid w:val="33780472"/>
    <w:rsid w:val="33AF0905"/>
    <w:rsid w:val="355932F4"/>
    <w:rsid w:val="35611882"/>
    <w:rsid w:val="36746FC3"/>
    <w:rsid w:val="368763AE"/>
    <w:rsid w:val="37060D35"/>
    <w:rsid w:val="372413FB"/>
    <w:rsid w:val="395D59E7"/>
    <w:rsid w:val="39A93932"/>
    <w:rsid w:val="39ED46EA"/>
    <w:rsid w:val="3A915562"/>
    <w:rsid w:val="3B8D4765"/>
    <w:rsid w:val="3C000DBA"/>
    <w:rsid w:val="3DC045D3"/>
    <w:rsid w:val="3E504FFB"/>
    <w:rsid w:val="3E615CD0"/>
    <w:rsid w:val="3E9C47F6"/>
    <w:rsid w:val="3F8B0112"/>
    <w:rsid w:val="3FAB3095"/>
    <w:rsid w:val="3FE45947"/>
    <w:rsid w:val="41242965"/>
    <w:rsid w:val="435671EA"/>
    <w:rsid w:val="440809E9"/>
    <w:rsid w:val="442407A6"/>
    <w:rsid w:val="44805EA1"/>
    <w:rsid w:val="45710696"/>
    <w:rsid w:val="46142B1B"/>
    <w:rsid w:val="47E60DD0"/>
    <w:rsid w:val="48735039"/>
    <w:rsid w:val="492C684B"/>
    <w:rsid w:val="49500594"/>
    <w:rsid w:val="49E7604E"/>
    <w:rsid w:val="4BF67CDD"/>
    <w:rsid w:val="4D173441"/>
    <w:rsid w:val="4D603DD6"/>
    <w:rsid w:val="4D807BDC"/>
    <w:rsid w:val="4EBF010F"/>
    <w:rsid w:val="4F471EB0"/>
    <w:rsid w:val="51331326"/>
    <w:rsid w:val="51740A7F"/>
    <w:rsid w:val="51A5541E"/>
    <w:rsid w:val="51C96242"/>
    <w:rsid w:val="53906AE1"/>
    <w:rsid w:val="54F46F60"/>
    <w:rsid w:val="55421D79"/>
    <w:rsid w:val="55A37BEA"/>
    <w:rsid w:val="56362CD2"/>
    <w:rsid w:val="56FF88BD"/>
    <w:rsid w:val="5784687B"/>
    <w:rsid w:val="57846959"/>
    <w:rsid w:val="578E6A87"/>
    <w:rsid w:val="5A769CFA"/>
    <w:rsid w:val="5AC2203A"/>
    <w:rsid w:val="5B164CF7"/>
    <w:rsid w:val="5CBB3334"/>
    <w:rsid w:val="5D115FAF"/>
    <w:rsid w:val="60B903C7"/>
    <w:rsid w:val="62811722"/>
    <w:rsid w:val="62E75A72"/>
    <w:rsid w:val="64571880"/>
    <w:rsid w:val="649125B6"/>
    <w:rsid w:val="652F4C1A"/>
    <w:rsid w:val="666D37F1"/>
    <w:rsid w:val="66A7227B"/>
    <w:rsid w:val="67087D8F"/>
    <w:rsid w:val="671F687E"/>
    <w:rsid w:val="67F415F8"/>
    <w:rsid w:val="682640D1"/>
    <w:rsid w:val="684B73E5"/>
    <w:rsid w:val="693D4ED3"/>
    <w:rsid w:val="6A047A2A"/>
    <w:rsid w:val="6AFF0926"/>
    <w:rsid w:val="6DFA53A2"/>
    <w:rsid w:val="6EFB7548"/>
    <w:rsid w:val="6F3831C3"/>
    <w:rsid w:val="6F8B71C1"/>
    <w:rsid w:val="70753482"/>
    <w:rsid w:val="707B522A"/>
    <w:rsid w:val="713160CF"/>
    <w:rsid w:val="71705F65"/>
    <w:rsid w:val="73194D05"/>
    <w:rsid w:val="73A83B0E"/>
    <w:rsid w:val="741E2162"/>
    <w:rsid w:val="744D3EF9"/>
    <w:rsid w:val="74794411"/>
    <w:rsid w:val="75867C40"/>
    <w:rsid w:val="75B10B26"/>
    <w:rsid w:val="76432199"/>
    <w:rsid w:val="76F44829"/>
    <w:rsid w:val="779E50DA"/>
    <w:rsid w:val="77A267C0"/>
    <w:rsid w:val="78882278"/>
    <w:rsid w:val="78B118A6"/>
    <w:rsid w:val="79135044"/>
    <w:rsid w:val="7A7D0F99"/>
    <w:rsid w:val="7E4A0E7C"/>
    <w:rsid w:val="7EFD449D"/>
    <w:rsid w:val="8C9E094F"/>
    <w:rsid w:val="9378B829"/>
    <w:rsid w:val="BF77FF15"/>
    <w:rsid w:val="D3BF45BA"/>
    <w:rsid w:val="DFD5EDF6"/>
    <w:rsid w:val="E6F7CDE6"/>
    <w:rsid w:val="EBFFB068"/>
    <w:rsid w:val="F3FFD843"/>
    <w:rsid w:val="F9FFE38D"/>
    <w:rsid w:val="FA3657B6"/>
    <w:rsid w:val="FFEDD20A"/>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8">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Normal Indent"/>
    <w:basedOn w:val="1"/>
    <w:qFormat/>
    <w:uiPriority w:val="0"/>
    <w:pPr>
      <w:ind w:firstLine="420" w:firstLineChars="200"/>
    </w:pPr>
  </w:style>
  <w:style w:type="paragraph" w:styleId="3">
    <w:name w:val="Balloon Text"/>
    <w:basedOn w:val="1"/>
    <w:link w:val="11"/>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FollowedHyperlink"/>
    <w:unhideWhenUsed/>
    <w:qFormat/>
    <w:uiPriority w:val="99"/>
    <w:rPr>
      <w:color w:val="800080"/>
      <w:u w:val="single"/>
    </w:rPr>
  </w:style>
  <w:style w:type="character" w:styleId="10">
    <w:name w:val="Hyperlink"/>
    <w:unhideWhenUsed/>
    <w:qFormat/>
    <w:uiPriority w:val="99"/>
    <w:rPr>
      <w:color w:val="0000FF"/>
      <w:u w:val="single"/>
    </w:rPr>
  </w:style>
  <w:style w:type="character" w:customStyle="1" w:styleId="11">
    <w:name w:val="批注框文本 Char"/>
    <w:link w:val="3"/>
    <w:semiHidden/>
    <w:qFormat/>
    <w:uiPriority w:val="99"/>
    <w:rPr>
      <w:kern w:val="2"/>
      <w:sz w:val="18"/>
      <w:szCs w:val="18"/>
    </w:rPr>
  </w:style>
  <w:style w:type="character" w:customStyle="1" w:styleId="12">
    <w:name w:val="页脚 Char"/>
    <w:link w:val="4"/>
    <w:qFormat/>
    <w:uiPriority w:val="99"/>
    <w:rPr>
      <w:kern w:val="2"/>
      <w:sz w:val="18"/>
      <w:szCs w:val="18"/>
    </w:rPr>
  </w:style>
  <w:style w:type="character" w:customStyle="1" w:styleId="13">
    <w:name w:val="页眉 Char"/>
    <w:link w:val="5"/>
    <w:qFormat/>
    <w:uiPriority w:val="99"/>
    <w:rPr>
      <w:kern w:val="2"/>
      <w:sz w:val="18"/>
      <w:szCs w:val="18"/>
    </w:rPr>
  </w:style>
  <w:style w:type="character" w:customStyle="1" w:styleId="14">
    <w:name w:val="font01"/>
    <w:qFormat/>
    <w:uiPriority w:val="0"/>
    <w:rPr>
      <w:rFonts w:hint="eastAsia" w:ascii="宋体" w:hAnsi="宋体" w:eastAsia="宋体" w:cs="宋体"/>
      <w:color w:val="000000"/>
      <w:sz w:val="22"/>
      <w:szCs w:val="22"/>
      <w:u w:val="none"/>
    </w:rPr>
  </w:style>
  <w:style w:type="character" w:customStyle="1" w:styleId="15">
    <w:name w:val="font21"/>
    <w:qFormat/>
    <w:uiPriority w:val="0"/>
    <w:rPr>
      <w:rFonts w:hint="eastAsia" w:ascii="宋体" w:hAnsi="宋体" w:eastAsia="宋体" w:cs="宋体"/>
      <w:color w:val="000000"/>
      <w:sz w:val="22"/>
      <w:szCs w:val="22"/>
      <w:u w:val="none"/>
    </w:rPr>
  </w:style>
  <w:style w:type="character" w:customStyle="1" w:styleId="16">
    <w:name w:val="font51"/>
    <w:qFormat/>
    <w:uiPriority w:val="0"/>
    <w:rPr>
      <w:rFonts w:hint="eastAsia" w:ascii="宋体" w:hAnsi="宋体" w:eastAsia="宋体" w:cs="宋体"/>
      <w:color w:val="000000"/>
      <w:sz w:val="24"/>
      <w:szCs w:val="24"/>
      <w:u w:val="none"/>
    </w:rPr>
  </w:style>
  <w:style w:type="character" w:customStyle="1" w:styleId="17">
    <w:name w:val="font11"/>
    <w:qFormat/>
    <w:uiPriority w:val="0"/>
    <w:rPr>
      <w:rFonts w:hint="eastAsia" w:ascii="宋体" w:hAnsi="宋体" w:eastAsia="宋体" w:cs="宋体"/>
      <w:color w:val="000000"/>
      <w:sz w:val="20"/>
      <w:szCs w:val="20"/>
      <w:u w:val="none"/>
    </w:rPr>
  </w:style>
  <w:style w:type="character" w:customStyle="1" w:styleId="18">
    <w:name w:val="font41"/>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 User</Company>
  <Pages>29</Pages>
  <Words>7965</Words>
  <Characters>9537</Characters>
  <Lines>60</Lines>
  <Paragraphs>16</Paragraphs>
  <TotalTime>13</TotalTime>
  <ScaleCrop>false</ScaleCrop>
  <LinksUpToDate>false</LinksUpToDate>
  <CharactersWithSpaces>9771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2007-11-30T19:41:00Z</dcterms:created>
  <dc:creator>管理者</dc:creator>
  <cp:lastModifiedBy>小</cp:lastModifiedBy>
  <cp:lastPrinted>2023-02-22T22:58:00Z</cp:lastPrinted>
  <dcterms:modified xsi:type="dcterms:W3CDTF">2023-05-09T03:41:25Z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0185FE2E4A514C8293DA3B8C07E4A240</vt:lpwstr>
  </property>
</Properties>
</file>