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lang w:val="en-US" w:eastAsia="zh-CN"/>
        </w:rPr>
      </w:pPr>
      <w:bookmarkStart w:id="0" w:name="_GoBack"/>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20</w:t>
      </w:r>
      <w:r>
        <w:rPr>
          <w:rFonts w:hint="eastAsia" w:ascii="黑体" w:hAnsi="黑体" w:eastAsia="黑体" w:cs="黑体"/>
          <w:color w:val="auto"/>
          <w:sz w:val="52"/>
          <w:szCs w:val="52"/>
          <w:highlight w:val="none"/>
          <w:lang w:val="en-US" w:eastAsia="zh-CN"/>
        </w:rPr>
        <w:t>21</w:t>
      </w:r>
      <w:r>
        <w:rPr>
          <w:rFonts w:hint="eastAsia" w:ascii="黑体" w:hAnsi="黑体" w:eastAsia="黑体" w:cs="黑体"/>
          <w:color w:val="auto"/>
          <w:sz w:val="52"/>
          <w:szCs w:val="52"/>
          <w:highlight w:val="none"/>
          <w:lang w:eastAsia="zh-CN"/>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许昌市动物疫病预防控制中心</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单位</w:t>
      </w:r>
      <w:r>
        <w:rPr>
          <w:rFonts w:hint="eastAsia" w:ascii="黑体" w:hAnsi="黑体" w:eastAsia="黑体" w:cs="黑体"/>
          <w:color w:val="auto"/>
          <w:sz w:val="52"/>
          <w:szCs w:val="52"/>
          <w:highlight w:val="none"/>
        </w:rPr>
        <w:t>决算</w:t>
      </w: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ind w:firstLine="3200" w:firstLineChars="1000"/>
        <w:jc w:val="both"/>
        <w:rPr>
          <w:rFonts w:hint="eastAsia" w:ascii="黑体" w:hAnsi="黑体" w:eastAsia="黑体" w:cs="黑体"/>
          <w:color w:val="auto"/>
          <w:sz w:val="32"/>
          <w:szCs w:val="32"/>
          <w:highlight w:val="none"/>
          <w:lang w:eastAsia="zh-CN"/>
        </w:rPr>
        <w:sectPr>
          <w:pgSz w:w="11906" w:h="16838"/>
          <w:pgMar w:top="1440" w:right="1531" w:bottom="1440" w:left="1587" w:header="850" w:footer="992" w:gutter="0"/>
          <w:pgNumType w:fmt="numberInDash"/>
          <w:cols w:space="720" w:num="1"/>
          <w:rtlGutter w:val="0"/>
          <w:docGrid w:type="lines" w:linePitch="317" w:charSpace="0"/>
        </w:sectPr>
      </w:pPr>
      <w:r>
        <w:rPr>
          <w:rFonts w:hint="eastAsia" w:ascii="黑体" w:hAnsi="黑体" w:eastAsia="黑体" w:cs="黑体"/>
          <w:color w:val="auto"/>
          <w:sz w:val="32"/>
          <w:szCs w:val="32"/>
          <w:highlight w:val="none"/>
          <w:lang w:eastAsia="zh-CN"/>
        </w:rPr>
        <w:t>二〇</w:t>
      </w:r>
      <w:r>
        <w:rPr>
          <w:rFonts w:hint="eastAsia" w:ascii="黑体" w:hAnsi="黑体" w:eastAsia="黑体" w:cs="黑体"/>
          <w:color w:val="auto"/>
          <w:sz w:val="32"/>
          <w:szCs w:val="32"/>
          <w:highlight w:val="none"/>
          <w:lang w:val="en-US" w:eastAsia="zh-CN"/>
        </w:rPr>
        <w:t>二二</w:t>
      </w:r>
      <w:r>
        <w:rPr>
          <w:rFonts w:hint="eastAsia" w:ascii="黑体" w:hAnsi="黑体" w:eastAsia="黑体" w:cs="黑体"/>
          <w:color w:val="auto"/>
          <w:sz w:val="32"/>
          <w:szCs w:val="32"/>
          <w:highlight w:val="none"/>
          <w:lang w:eastAsia="zh-CN"/>
        </w:rPr>
        <w:t>年</w:t>
      </w: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lang w:eastAsia="zh-CN"/>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许昌市动物疫病预防控制中心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宋体" w:hAnsi="宋体" w:eastAsia="宋体" w:cs="宋体"/>
          <w:color w:val="auto"/>
          <w:sz w:val="32"/>
          <w:szCs w:val="32"/>
          <w:highlight w:val="none"/>
        </w:rPr>
      </w:pPr>
    </w:p>
    <w:p>
      <w:pPr>
        <w:jc w:val="left"/>
        <w:rPr>
          <w:rFonts w:hint="eastAsia" w:ascii="黑体" w:hAnsi="黑体" w:eastAsia="黑体" w:cs="黑体"/>
          <w:color w:val="auto"/>
          <w:sz w:val="32"/>
          <w:szCs w:val="32"/>
          <w:highlight w:val="none"/>
        </w:rPr>
        <w:sectPr>
          <w:footerReference r:id="rId3" w:type="default"/>
          <w:footerReference r:id="rId4" w:type="even"/>
          <w:pgSz w:w="11906" w:h="16838"/>
          <w:pgMar w:top="1440" w:right="1531" w:bottom="1440" w:left="1587" w:header="850" w:footer="992" w:gutter="0"/>
          <w:pgNumType w:fmt="numberInDash" w:start="1"/>
          <w:cols w:space="720" w:num="1"/>
          <w:rtlGutter w:val="0"/>
          <w:docGrid w:type="lines" w:linePitch="317"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numPr>
          <w:ilvl w:val="0"/>
          <w:numId w:val="2"/>
        </w:numPr>
        <w:ind w:left="4320" w:hanging="4320" w:hangingChars="900"/>
        <w:jc w:val="both"/>
        <w:outlineLvl w:val="0"/>
        <w:rPr>
          <w:rFonts w:hint="eastAsia" w:ascii="黑体" w:hAnsi="黑体" w:eastAsia="黑体" w:cs="黑体"/>
          <w:color w:val="auto"/>
          <w:sz w:val="48"/>
          <w:szCs w:val="48"/>
          <w:highlight w:val="none"/>
          <w:lang w:eastAsia="zh-CN"/>
        </w:rPr>
      </w:pPr>
      <w:r>
        <w:rPr>
          <w:rFonts w:hint="eastAsia" w:ascii="黑体" w:hAnsi="黑体" w:eastAsia="黑体" w:cs="黑体"/>
          <w:color w:val="auto"/>
          <w:sz w:val="48"/>
          <w:szCs w:val="48"/>
          <w:highlight w:val="none"/>
          <w:lang w:eastAsia="zh-CN"/>
        </w:rPr>
        <w:t>许昌市动物疫病预防控制</w:t>
      </w:r>
    </w:p>
    <w:p>
      <w:pPr>
        <w:widowControl/>
        <w:numPr>
          <w:ilvl w:val="0"/>
          <w:numId w:val="0"/>
        </w:numPr>
        <w:ind w:firstLine="3360" w:firstLineChars="700"/>
        <w:jc w:val="both"/>
        <w:outlineLvl w:val="0"/>
        <w:rPr>
          <w:rFonts w:hint="eastAsia" w:ascii="黑体" w:hAnsi="宋体" w:eastAsia="黑体" w:cs="宋体"/>
          <w:color w:val="auto"/>
          <w:kern w:val="0"/>
          <w:sz w:val="48"/>
          <w:szCs w:val="48"/>
          <w:highlight w:val="none"/>
          <w:lang w:val="en-US" w:eastAsia="zh-CN"/>
        </w:rPr>
      </w:pPr>
      <w:r>
        <w:rPr>
          <w:rFonts w:hint="eastAsia" w:ascii="黑体" w:hAnsi="黑体" w:eastAsia="黑体" w:cs="黑体"/>
          <w:color w:val="auto"/>
          <w:sz w:val="48"/>
          <w:szCs w:val="48"/>
          <w:highlight w:val="none"/>
          <w:lang w:eastAsia="zh-CN"/>
        </w:rPr>
        <w:t>中心</w:t>
      </w:r>
      <w:r>
        <w:rPr>
          <w:rFonts w:hint="eastAsia" w:ascii="黑体" w:hAnsi="黑体" w:eastAsia="黑体" w:cs="黑体"/>
          <w:color w:val="auto"/>
          <w:sz w:val="48"/>
          <w:szCs w:val="48"/>
          <w:highlight w:val="none"/>
        </w:rPr>
        <w:t>概况</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一、单位</w:t>
      </w:r>
      <w:r>
        <w:rPr>
          <w:rFonts w:hint="eastAsia" w:ascii="黑体" w:hAnsi="黑体" w:eastAsia="黑体" w:cs="黑体"/>
          <w:bCs/>
          <w:color w:val="auto"/>
          <w:sz w:val="32"/>
          <w:szCs w:val="32"/>
          <w:highlight w:val="none"/>
        </w:rPr>
        <w:t>职责</w:t>
      </w:r>
    </w:p>
    <w:p>
      <w:pPr>
        <w:spacing w:line="600" w:lineRule="exact"/>
        <w:ind w:firstLine="640" w:firstLineChars="200"/>
        <w:rPr>
          <w:rFonts w:hint="eastAsia" w:ascii="仿宋_GB2312" w:hAnsi="宋体" w:eastAsia="仿宋_GB2312" w:cs="宋体"/>
          <w:color w:val="auto"/>
          <w:kern w:val="0"/>
          <w:sz w:val="32"/>
          <w:szCs w:val="32"/>
          <w:highlight w:val="none"/>
          <w:lang w:eastAsia="zh-CN"/>
        </w:rPr>
      </w:pPr>
      <w:r>
        <w:rPr>
          <w:rFonts w:hint="eastAsia" w:ascii="仿宋_GB2312" w:eastAsia="仿宋_GB2312"/>
          <w:color w:val="auto"/>
          <w:sz w:val="32"/>
          <w:szCs w:val="32"/>
          <w:highlight w:val="none"/>
        </w:rPr>
        <w:t>根据《关于印发许昌市畜牧局职能配置内设机构和人员编制规定的通知》许编</w:t>
      </w:r>
      <w:r>
        <w:rPr>
          <w:rFonts w:hint="eastAsia" w:ascii="仿宋_GB2312" w:hAnsi="仿宋_GB2312" w:eastAsia="仿宋_GB2312" w:cs="仿宋_GB2312"/>
          <w:color w:val="auto"/>
          <w:sz w:val="32"/>
          <w:szCs w:val="32"/>
          <w:highlight w:val="none"/>
        </w:rPr>
        <w:t>[2007]6号</w:t>
      </w:r>
      <w:r>
        <w:rPr>
          <w:rFonts w:hint="eastAsia" w:ascii="仿宋_GB2312" w:eastAsia="仿宋_GB2312"/>
          <w:color w:val="auto"/>
          <w:sz w:val="32"/>
          <w:szCs w:val="32"/>
          <w:highlight w:val="none"/>
        </w:rPr>
        <w:t>，许昌市动物疫病预防控制中心主要职责是：开展畜禽疫病监测、流行病学调查、预警预报，为决策者提供科学依据</w:t>
      </w:r>
      <w:r>
        <w:rPr>
          <w:rFonts w:hint="eastAsia" w:ascii="仿宋_GB2312" w:hAnsi="宋体" w:eastAsia="仿宋_GB2312" w:cs="宋体"/>
          <w:color w:val="auto"/>
          <w:kern w:val="0"/>
          <w:sz w:val="32"/>
          <w:szCs w:val="32"/>
          <w:highlight w:val="none"/>
          <w:lang w:eastAsia="zh-CN"/>
        </w:rPr>
        <w:t>。</w:t>
      </w:r>
    </w:p>
    <w:p>
      <w:pPr>
        <w:widowControl/>
        <w:ind w:firstLine="640" w:firstLineChars="200"/>
        <w:jc w:val="left"/>
        <w:outlineLvl w:val="1"/>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二、机构设置</w:t>
      </w:r>
    </w:p>
    <w:p>
      <w:pPr>
        <w:adjustRightInd w:val="0"/>
        <w:snapToGrid w:val="0"/>
        <w:spacing w:line="6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许昌市动物疫病预防控制中心单位预算包括</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个科室，具体是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办公室、流调科、业务接待室、测报科。</w:t>
      </w:r>
    </w:p>
    <w:p>
      <w:pPr>
        <w:widowControl/>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从决算单位构成看，许昌市动物疫病预防控制中心决算包括：本级决算。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许昌市动物疫病预防控制中心。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ind w:firstLine="560" w:firstLineChars="200"/>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二</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sectPr>
          <w:pgSz w:w="11906" w:h="16838"/>
          <w:pgMar w:top="1440" w:right="1800" w:bottom="1440" w:left="1800" w:header="720" w:footer="720" w:gutter="0"/>
          <w:pgNumType w:fmt="numberInDash"/>
          <w:cols w:space="720" w:num="1"/>
          <w:docGrid w:type="lines" w:linePitch="312" w:charSpace="0"/>
        </w:sectPr>
      </w:pPr>
    </w:p>
    <w:tbl>
      <w:tblPr>
        <w:tblStyle w:val="8"/>
        <w:tblW w:w="13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54"/>
        <w:gridCol w:w="835"/>
        <w:gridCol w:w="1115"/>
        <w:gridCol w:w="4475"/>
        <w:gridCol w:w="835"/>
        <w:gridCol w:w="1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0"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28"/>
                <w:szCs w:val="28"/>
                <w:highlight w:val="none"/>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54"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83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1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447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3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91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54"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：许昌市动物疫病预防控制中心</w:t>
            </w:r>
          </w:p>
        </w:tc>
        <w:tc>
          <w:tcPr>
            <w:tcW w:w="83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11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447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83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916" w:type="dxa"/>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0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收入</w:t>
            </w:r>
          </w:p>
        </w:tc>
        <w:tc>
          <w:tcPr>
            <w:tcW w:w="7226"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项目</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行次</w:t>
            </w:r>
          </w:p>
        </w:tc>
        <w:tc>
          <w:tcPr>
            <w:tcW w:w="11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w:t>
            </w:r>
          </w:p>
        </w:tc>
        <w:tc>
          <w:tcPr>
            <w:tcW w:w="44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项目</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行次</w:t>
            </w:r>
          </w:p>
        </w:tc>
        <w:tc>
          <w:tcPr>
            <w:tcW w:w="19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栏次</w:t>
            </w:r>
          </w:p>
        </w:tc>
        <w:tc>
          <w:tcPr>
            <w:tcW w:w="835"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1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44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栏次</w:t>
            </w:r>
          </w:p>
        </w:tc>
        <w:tc>
          <w:tcPr>
            <w:tcW w:w="835"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9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一、一般公共预算财政拨款收入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1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455.94</w:t>
            </w: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一、一般公共服务支出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32</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二、政府性基金预算财政拨款收入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二、外交支出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33</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三、国有资本经营预算财政拨款收入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三、国防支出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34</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四、上级补助收入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四、公共安全支出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35</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五、事业收入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五、教育支出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36</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六、经营收入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六、科学技术支出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37</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七、附属单位上缴收入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七、文化旅游体育与传媒支出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38</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八、其他收入</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8</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八、社会保障和就业支出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39</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9</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九、卫生健康支出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40</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十、节能环保支出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41</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十一、城乡社区支出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42</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12</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十二、农林水支出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43</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489.62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13</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十三、交通运输支出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44</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14</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十四、资源勘探工业信息等支出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45</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15</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十五、商业服务业等支出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46</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16</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十六、金融支出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47</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17</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十七、援助其他地区支出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48</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18</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十八、自然资源海洋气象等支出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49</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19</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十九、住房保障支出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50</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二十、粮油物资储备支出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51</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二十一、国有资本经营预算支出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52</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22</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二十二、灾害防治及应急管理支出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53</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23</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二十三、其他支出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54</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24</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二十四、债务还本支出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55</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25</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二十五、债务付息支出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56</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26</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二十六、抗疫特别国债安排的支出</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57</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本年收入合计</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27</w:t>
            </w:r>
          </w:p>
        </w:tc>
        <w:tc>
          <w:tcPr>
            <w:tcW w:w="11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455.94</w:t>
            </w:r>
          </w:p>
        </w:tc>
        <w:tc>
          <w:tcPr>
            <w:tcW w:w="44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本年支出合计</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58</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使用非财政拨款结余</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28</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结余分配</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59</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年初结转和结余</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29</w:t>
            </w:r>
          </w:p>
        </w:tc>
        <w:tc>
          <w:tcPr>
            <w:tcW w:w="11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118.06</w:t>
            </w:r>
          </w:p>
        </w:tc>
        <w:tc>
          <w:tcPr>
            <w:tcW w:w="447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年末结转和结余</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60</w:t>
            </w:r>
          </w:p>
        </w:tc>
        <w:tc>
          <w:tcPr>
            <w:tcW w:w="19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w:t>
            </w:r>
          </w:p>
        </w:tc>
        <w:tc>
          <w:tcPr>
            <w:tcW w:w="11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447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61</w:t>
            </w:r>
          </w:p>
        </w:tc>
        <w:tc>
          <w:tcPr>
            <w:tcW w:w="19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5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总计</w:t>
            </w:r>
          </w:p>
        </w:tc>
        <w:tc>
          <w:tcPr>
            <w:tcW w:w="835"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w:t>
            </w:r>
          </w:p>
        </w:tc>
        <w:tc>
          <w:tcPr>
            <w:tcW w:w="11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574.00</w:t>
            </w:r>
          </w:p>
        </w:tc>
        <w:tc>
          <w:tcPr>
            <w:tcW w:w="44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总计</w:t>
            </w:r>
          </w:p>
        </w:tc>
        <w:tc>
          <w:tcPr>
            <w:tcW w:w="8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62</w:t>
            </w:r>
          </w:p>
        </w:tc>
        <w:tc>
          <w:tcPr>
            <w:tcW w:w="19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30"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注：本表反映</w:t>
            </w: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951"/>
        <w:gridCol w:w="1491"/>
        <w:gridCol w:w="1501"/>
        <w:gridCol w:w="959"/>
        <w:gridCol w:w="996"/>
        <w:gridCol w:w="911"/>
        <w:gridCol w:w="1080"/>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0"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28"/>
                <w:szCs w:val="28"/>
                <w:highlight w:val="none"/>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329"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29"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495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49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501"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959"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99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045"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29"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：许昌市动物疫病预防控制中心</w:t>
            </w:r>
          </w:p>
        </w:tc>
        <w:tc>
          <w:tcPr>
            <w:tcW w:w="1501"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959"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996"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3045"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3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项目</w:t>
            </w:r>
          </w:p>
        </w:tc>
        <w:tc>
          <w:tcPr>
            <w:tcW w:w="149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本年收入合计</w:t>
            </w:r>
          </w:p>
        </w:tc>
        <w:tc>
          <w:tcPr>
            <w:tcW w:w="150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财政拨款收入</w:t>
            </w:r>
          </w:p>
        </w:tc>
        <w:tc>
          <w:tcPr>
            <w:tcW w:w="95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上级补助收入</w:t>
            </w:r>
          </w:p>
        </w:tc>
        <w:tc>
          <w:tcPr>
            <w:tcW w:w="99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事业收入</w:t>
            </w:r>
          </w:p>
        </w:tc>
        <w:tc>
          <w:tcPr>
            <w:tcW w:w="91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经营收入</w:t>
            </w:r>
          </w:p>
        </w:tc>
        <w:tc>
          <w:tcPr>
            <w:tcW w:w="10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附属单位上缴收入</w:t>
            </w:r>
          </w:p>
        </w:tc>
        <w:tc>
          <w:tcPr>
            <w:tcW w:w="105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功能分类科目编码</w:t>
            </w:r>
          </w:p>
        </w:tc>
        <w:tc>
          <w:tcPr>
            <w:tcW w:w="495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科目名称</w:t>
            </w:r>
          </w:p>
        </w:tc>
        <w:tc>
          <w:tcPr>
            <w:tcW w:w="149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5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9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99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91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495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49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5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9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99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91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495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49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5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95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99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91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5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38"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栏次</w:t>
            </w:r>
          </w:p>
        </w:tc>
        <w:tc>
          <w:tcPr>
            <w:tcW w:w="14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50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95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99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91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c>
          <w:tcPr>
            <w:tcW w:w="10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105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38"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合计</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455.94</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455.94</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201</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一般公共服务支出</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20129</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群众团体事务</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2012906</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工会事务</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208</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社会保障和就业支出</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65.41</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65.41</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20805</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行政事业单位养老支出</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65.41</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65.41</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2080502</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事业单位离退休</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42.72</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42.72</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2080505</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机关事业单位基本养老保险缴费支出</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22.68</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22.68</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210</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卫生健康支出</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11.13</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11.13</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21011</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行政事业单位医疗</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11.13</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11.13</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2101102</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事业单位医疗</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11.13</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11.13</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农林水支出</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377.21</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377.21</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21301</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农业农村</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377.21</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377.21</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2130104</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事业运行</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335.21</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335.21</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2130108</w:t>
            </w:r>
          </w:p>
        </w:tc>
        <w:tc>
          <w:tcPr>
            <w:tcW w:w="495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病虫害控制</w:t>
            </w:r>
          </w:p>
        </w:tc>
        <w:tc>
          <w:tcPr>
            <w:tcW w:w="14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42.00</w:t>
            </w:r>
          </w:p>
        </w:tc>
        <w:tc>
          <w:tcPr>
            <w:tcW w:w="15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42.00</w:t>
            </w:r>
          </w:p>
        </w:tc>
        <w:tc>
          <w:tcPr>
            <w:tcW w:w="95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9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5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30"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注：本表反映</w:t>
            </w: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本年度取得的各项收入情况。本表金额转换为万元时，因四舍五入可能存在尾差。</w:t>
            </w:r>
          </w:p>
        </w:tc>
      </w:tr>
    </w:tbl>
    <w:p>
      <w:pPr>
        <w:rPr>
          <w:rFonts w:hint="eastAsia" w:ascii="宋体" w:hAnsi="宋体" w:eastAsia="宋体" w:cs="宋体"/>
          <w:color w:val="auto"/>
          <w:sz w:val="18"/>
          <w:szCs w:val="18"/>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853"/>
        <w:gridCol w:w="1461"/>
        <w:gridCol w:w="1443"/>
        <w:gridCol w:w="1416"/>
        <w:gridCol w:w="1032"/>
        <w:gridCol w:w="1069"/>
        <w:gridCol w:w="1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5"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28"/>
                <w:szCs w:val="28"/>
                <w:highlight w:val="none"/>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329"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329"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4853"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1461"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1443"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1416"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1032"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2743"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301"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：许昌市动物疫病预防控制中心</w:t>
            </w:r>
          </w:p>
        </w:tc>
        <w:tc>
          <w:tcPr>
            <w:tcW w:w="1443"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1416"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1032"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2743"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项目</w:t>
            </w:r>
          </w:p>
        </w:tc>
        <w:tc>
          <w:tcPr>
            <w:tcW w:w="146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本年支出合计</w:t>
            </w:r>
          </w:p>
        </w:tc>
        <w:tc>
          <w:tcPr>
            <w:tcW w:w="144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基本支出</w:t>
            </w:r>
          </w:p>
        </w:tc>
        <w:tc>
          <w:tcPr>
            <w:tcW w:w="14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项目支出</w:t>
            </w:r>
          </w:p>
        </w:tc>
        <w:tc>
          <w:tcPr>
            <w:tcW w:w="103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上缴上级支出</w:t>
            </w:r>
          </w:p>
        </w:tc>
        <w:tc>
          <w:tcPr>
            <w:tcW w:w="106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经营支出</w:t>
            </w:r>
          </w:p>
        </w:tc>
        <w:tc>
          <w:tcPr>
            <w:tcW w:w="167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功能分类科目编码</w:t>
            </w:r>
          </w:p>
        </w:tc>
        <w:tc>
          <w:tcPr>
            <w:tcW w:w="485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科目名称</w:t>
            </w:r>
          </w:p>
        </w:tc>
        <w:tc>
          <w:tcPr>
            <w:tcW w:w="14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4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4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67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485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4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4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4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67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485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46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44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4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3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6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67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0"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栏次</w:t>
            </w:r>
          </w:p>
        </w:tc>
        <w:tc>
          <w:tcPr>
            <w:tcW w:w="146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4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03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06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c>
          <w:tcPr>
            <w:tcW w:w="167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0"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合计</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rPr>
              <w:t>574.00</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rPr>
              <w:t>467.34</w:t>
            </w:r>
          </w:p>
        </w:tc>
        <w:tc>
          <w:tcPr>
            <w:tcW w:w="14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rPr>
              <w:t>106.67</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201</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一般公共服务支出</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20129</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群众团体事务</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2012906</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工会事务</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208</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社会保障和就业支出</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71.01</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71.01</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20805</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行政事业单位养老支出</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71.01</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71.01</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2080502</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事业单位离退休</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45.40</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45.40</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2080505</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机关事业单位基本养老保险缴费支出</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25.61</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25.61</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210</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卫生健康支出</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21011</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行政事业单位医疗</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2101102</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事业单位医疗</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农林水支出</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489.62</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382.95</w:t>
            </w:r>
          </w:p>
        </w:tc>
        <w:tc>
          <w:tcPr>
            <w:tcW w:w="14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106.67</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21301</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农业农村</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487.62</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382.95</w:t>
            </w:r>
          </w:p>
        </w:tc>
        <w:tc>
          <w:tcPr>
            <w:tcW w:w="14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104.67</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2130101</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行政运行</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0.08</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0.08</w:t>
            </w:r>
          </w:p>
        </w:tc>
        <w:tc>
          <w:tcPr>
            <w:tcW w:w="141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2130104</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事业运行</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383.80</w:t>
            </w:r>
          </w:p>
        </w:tc>
        <w:tc>
          <w:tcPr>
            <w:tcW w:w="14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382.87</w:t>
            </w:r>
          </w:p>
        </w:tc>
        <w:tc>
          <w:tcPr>
            <w:tcW w:w="14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0.93</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2130108</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病虫害控制</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103.74</w:t>
            </w:r>
          </w:p>
        </w:tc>
        <w:tc>
          <w:tcPr>
            <w:tcW w:w="14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4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103.74</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21305</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扶贫</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2.00</w:t>
            </w:r>
          </w:p>
        </w:tc>
        <w:tc>
          <w:tcPr>
            <w:tcW w:w="14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4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2.00</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2130505</w:t>
            </w:r>
          </w:p>
        </w:tc>
        <w:tc>
          <w:tcPr>
            <w:tcW w:w="485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生产发展</w:t>
            </w:r>
          </w:p>
        </w:tc>
        <w:tc>
          <w:tcPr>
            <w:tcW w:w="146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2.00</w:t>
            </w:r>
          </w:p>
        </w:tc>
        <w:tc>
          <w:tcPr>
            <w:tcW w:w="144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4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2.00</w:t>
            </w:r>
          </w:p>
        </w:tc>
        <w:tc>
          <w:tcPr>
            <w:tcW w:w="103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6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7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35"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注：本表反映</w:t>
            </w: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09"/>
        <w:gridCol w:w="588"/>
        <w:gridCol w:w="978"/>
        <w:gridCol w:w="3450"/>
        <w:gridCol w:w="850"/>
        <w:gridCol w:w="980"/>
        <w:gridCol w:w="1170"/>
        <w:gridCol w:w="130"/>
        <w:gridCol w:w="1090"/>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30"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28"/>
                <w:szCs w:val="28"/>
                <w:highlight w:val="none"/>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09"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58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97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45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5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98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7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205"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75"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：许昌市动物疫病预防控制中心</w:t>
            </w:r>
          </w:p>
        </w:tc>
        <w:tc>
          <w:tcPr>
            <w:tcW w:w="3450"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850"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980"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207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7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收     入</w:t>
            </w:r>
          </w:p>
        </w:tc>
        <w:tc>
          <w:tcPr>
            <w:tcW w:w="8655" w:type="dxa"/>
            <w:gridSpan w:val="7"/>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709"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项目</w:t>
            </w:r>
          </w:p>
        </w:tc>
        <w:tc>
          <w:tcPr>
            <w:tcW w:w="58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行次</w:t>
            </w:r>
          </w:p>
        </w:tc>
        <w:tc>
          <w:tcPr>
            <w:tcW w:w="97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金额</w:t>
            </w:r>
          </w:p>
        </w:tc>
        <w:tc>
          <w:tcPr>
            <w:tcW w:w="34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项目</w:t>
            </w:r>
          </w:p>
        </w:tc>
        <w:tc>
          <w:tcPr>
            <w:tcW w:w="8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行次</w:t>
            </w:r>
          </w:p>
        </w:tc>
        <w:tc>
          <w:tcPr>
            <w:tcW w:w="9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合计</w:t>
            </w:r>
          </w:p>
        </w:tc>
        <w:tc>
          <w:tcPr>
            <w:tcW w:w="1300" w:type="dxa"/>
            <w:gridSpan w:val="2"/>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一般公共预算财政拨款</w:t>
            </w:r>
          </w:p>
        </w:tc>
        <w:tc>
          <w:tcPr>
            <w:tcW w:w="109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政府性基金预算财政拨款</w:t>
            </w:r>
          </w:p>
        </w:tc>
        <w:tc>
          <w:tcPr>
            <w:tcW w:w="98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709"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58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9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34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8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9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300" w:type="dxa"/>
            <w:gridSpan w:val="2"/>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9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98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栏次</w:t>
            </w:r>
          </w:p>
        </w:tc>
        <w:tc>
          <w:tcPr>
            <w:tcW w:w="58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9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34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栏次</w:t>
            </w:r>
          </w:p>
        </w:tc>
        <w:tc>
          <w:tcPr>
            <w:tcW w:w="850"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9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300" w:type="dxa"/>
            <w:gridSpan w:val="2"/>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0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98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一、一般公共预算财政拨款</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455.94</w:t>
            </w: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一、一般公共服务支出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33</w:t>
            </w:r>
          </w:p>
        </w:tc>
        <w:tc>
          <w:tcPr>
            <w:tcW w:w="9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130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二、政府性基金预算财政拨款</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二、外交支出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34</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三、国有资本经营财政拨款</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三、国防支出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35</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四、公共安全支出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36</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五、教育支出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37</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六、科学技术支出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38</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七、文化旅游体育与传媒支出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39</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8</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八、社会保障和就业支出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40</w:t>
            </w:r>
          </w:p>
        </w:tc>
        <w:tc>
          <w:tcPr>
            <w:tcW w:w="9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71.01</w:t>
            </w:r>
          </w:p>
        </w:tc>
        <w:tc>
          <w:tcPr>
            <w:tcW w:w="130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71.01</w:t>
            </w: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9</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九、卫生健康支出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41</w:t>
            </w:r>
          </w:p>
        </w:tc>
        <w:tc>
          <w:tcPr>
            <w:tcW w:w="9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c>
          <w:tcPr>
            <w:tcW w:w="130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十、节能环保支出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42</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十一、城乡社区支出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43</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12</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十二、农林水支出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44</w:t>
            </w:r>
          </w:p>
        </w:tc>
        <w:tc>
          <w:tcPr>
            <w:tcW w:w="9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487.62</w:t>
            </w:r>
          </w:p>
        </w:tc>
        <w:tc>
          <w:tcPr>
            <w:tcW w:w="130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487.62</w:t>
            </w: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13</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十三、交通运输支出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45</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14</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十四、资源勘探工业信息等支出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46</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15</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十五、商业服务业等支出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47</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16</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十六、金融支出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48</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17</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十七、援助其他地区支出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49</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18</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十八、自然资源海洋气象等支出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50</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19</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十九、住房保障支出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51</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二十、粮油物资储备支出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52</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二十一、国有资本经营预算支出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53</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22</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二十二、灾害防治及应急管理支出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54</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23</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二十三、其他支出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55</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24</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二十四、债务还本支出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56</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25</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二十五、债务付息支出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57</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26</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二十六、抗疫特别国债安排的支出</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58</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本年收入合计</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27</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455.94</w:t>
            </w:r>
          </w:p>
        </w:tc>
        <w:tc>
          <w:tcPr>
            <w:tcW w:w="34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本年支出合计</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59</w:t>
            </w:r>
          </w:p>
        </w:tc>
        <w:tc>
          <w:tcPr>
            <w:tcW w:w="9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572.00</w:t>
            </w:r>
          </w:p>
        </w:tc>
        <w:tc>
          <w:tcPr>
            <w:tcW w:w="130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572.00</w:t>
            </w: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年初财政拨款结转和结余</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28</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116.06</w:t>
            </w: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年末财政拨款结转和结余</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60</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一般公共预算财政拨款</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29</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116.06</w:t>
            </w:r>
          </w:p>
        </w:tc>
        <w:tc>
          <w:tcPr>
            <w:tcW w:w="345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61</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政府性基金预算财政拨款</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62</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国有资本经营预算财政拨款</w:t>
            </w:r>
          </w:p>
        </w:tc>
        <w:tc>
          <w:tcPr>
            <w:tcW w:w="5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w:t>
            </w:r>
          </w:p>
        </w:tc>
        <w:tc>
          <w:tcPr>
            <w:tcW w:w="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3450"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63</w:t>
            </w:r>
          </w:p>
        </w:tc>
        <w:tc>
          <w:tcPr>
            <w:tcW w:w="9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300" w:type="dxa"/>
            <w:gridSpan w:val="2"/>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0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总计</w:t>
            </w:r>
          </w:p>
        </w:tc>
        <w:tc>
          <w:tcPr>
            <w:tcW w:w="588"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32</w:t>
            </w:r>
          </w:p>
        </w:tc>
        <w:tc>
          <w:tcPr>
            <w:tcW w:w="9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572.00</w:t>
            </w:r>
          </w:p>
        </w:tc>
        <w:tc>
          <w:tcPr>
            <w:tcW w:w="34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总计</w:t>
            </w:r>
          </w:p>
        </w:tc>
        <w:tc>
          <w:tcPr>
            <w:tcW w:w="8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64</w:t>
            </w:r>
          </w:p>
        </w:tc>
        <w:tc>
          <w:tcPr>
            <w:tcW w:w="9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572.00</w:t>
            </w:r>
          </w:p>
        </w:tc>
        <w:tc>
          <w:tcPr>
            <w:tcW w:w="1300" w:type="dxa"/>
            <w:gridSpan w:val="2"/>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572.00</w:t>
            </w:r>
          </w:p>
        </w:tc>
        <w:tc>
          <w:tcPr>
            <w:tcW w:w="10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9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30"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注：本表反映</w:t>
            </w: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7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3"/>
        <w:gridCol w:w="315"/>
        <w:gridCol w:w="240"/>
        <w:gridCol w:w="3938"/>
        <w:gridCol w:w="1892"/>
        <w:gridCol w:w="1630"/>
        <w:gridCol w:w="2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68"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28"/>
                <w:szCs w:val="28"/>
                <w:highlight w:val="none"/>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23"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31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4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93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89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406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23"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：许昌市动物疫病预防控制中心</w:t>
            </w:r>
          </w:p>
        </w:tc>
        <w:tc>
          <w:tcPr>
            <w:tcW w:w="315"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240"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3938"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1892" w:type="dxa"/>
            <w:tcBorders>
              <w:top w:val="nil"/>
              <w:left w:val="nil"/>
              <w:bottom w:val="nil"/>
              <w:right w:val="nil"/>
            </w:tcBorders>
            <w:vAlign w:val="bottom"/>
          </w:tcPr>
          <w:p>
            <w:pPr>
              <w:rPr>
                <w:rFonts w:hint="eastAsia" w:ascii="宋体" w:hAnsi="宋体" w:eastAsia="宋体" w:cs="宋体"/>
                <w:i w:val="0"/>
                <w:iCs w:val="0"/>
                <w:color w:val="auto"/>
                <w:sz w:val="18"/>
                <w:szCs w:val="18"/>
                <w:highlight w:val="none"/>
                <w:u w:val="none"/>
              </w:rPr>
            </w:pPr>
          </w:p>
        </w:tc>
        <w:tc>
          <w:tcPr>
            <w:tcW w:w="406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项目</w:t>
            </w:r>
          </w:p>
        </w:tc>
        <w:tc>
          <w:tcPr>
            <w:tcW w:w="5952"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功能分类科目编码</w:t>
            </w:r>
          </w:p>
        </w:tc>
        <w:tc>
          <w:tcPr>
            <w:tcW w:w="393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科目名称</w:t>
            </w:r>
          </w:p>
        </w:tc>
        <w:tc>
          <w:tcPr>
            <w:tcW w:w="189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小计</w:t>
            </w:r>
          </w:p>
        </w:tc>
        <w:tc>
          <w:tcPr>
            <w:tcW w:w="163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基本支出</w:t>
            </w:r>
          </w:p>
        </w:tc>
        <w:tc>
          <w:tcPr>
            <w:tcW w:w="243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87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393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89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6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24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393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89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6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24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栏次</w:t>
            </w:r>
          </w:p>
        </w:tc>
        <w:tc>
          <w:tcPr>
            <w:tcW w:w="189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6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24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1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合计</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572.00</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467.34</w:t>
            </w:r>
          </w:p>
        </w:tc>
        <w:tc>
          <w:tcPr>
            <w:tcW w:w="24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rPr>
              <w:t>104.67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201</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一般公共服务支出</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20129</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群众团体事务</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2012906</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工会事务</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208</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社会保障和就业支出</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71.01</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71.01</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20805</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行政事业单位养老支出</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71.01</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71.01</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2080502</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事业单位离退休</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45.40</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45.40</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2080505</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机关事业单位基本养老保险缴费支出</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25.61</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25.61</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210</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卫生健康支出</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21011</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行政事业单位医疗</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2101102</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事业单位医疗</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11.18</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农林水支出</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487.62</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382.95</w:t>
            </w:r>
          </w:p>
        </w:tc>
        <w:tc>
          <w:tcPr>
            <w:tcW w:w="24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21301</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农业农村</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487.62</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382.95</w:t>
            </w:r>
          </w:p>
        </w:tc>
        <w:tc>
          <w:tcPr>
            <w:tcW w:w="24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2130101</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行政运行</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0.08</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0.08</w:t>
            </w:r>
          </w:p>
        </w:tc>
        <w:tc>
          <w:tcPr>
            <w:tcW w:w="24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2130104</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事业运行</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383.80</w:t>
            </w:r>
          </w:p>
        </w:tc>
        <w:tc>
          <w:tcPr>
            <w:tcW w:w="16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382.87</w:t>
            </w:r>
          </w:p>
        </w:tc>
        <w:tc>
          <w:tcPr>
            <w:tcW w:w="24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7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2130108</w:t>
            </w:r>
          </w:p>
        </w:tc>
        <w:tc>
          <w:tcPr>
            <w:tcW w:w="39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病虫害控制</w:t>
            </w:r>
          </w:p>
        </w:tc>
        <w:tc>
          <w:tcPr>
            <w:tcW w:w="189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103.74</w:t>
            </w:r>
          </w:p>
        </w:tc>
        <w:tc>
          <w:tcPr>
            <w:tcW w:w="16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24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768"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注：本表反映</w:t>
            </w: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本年度一般公共预算财政拨款支出情况。本套报表金额单位转换时可能存在尾数误差。</w:t>
            </w:r>
          </w:p>
        </w:tc>
      </w:tr>
    </w:tbl>
    <w:p>
      <w:pPr>
        <w:rPr>
          <w:rFonts w:hint="eastAsia" w:ascii="宋体" w:hAnsi="宋体" w:eastAsia="宋体" w:cs="宋体"/>
          <w:color w:val="auto"/>
          <w:sz w:val="18"/>
          <w:szCs w:val="18"/>
          <w:highlight w:val="none"/>
        </w:rPr>
      </w:pPr>
    </w:p>
    <w:p>
      <w:pPr>
        <w:rPr>
          <w:rFonts w:hint="eastAsia" w:ascii="仿宋_GB2312" w:hAnsi="仿宋_GB2312" w:eastAsia="仿宋_GB2312" w:cs="仿宋_GB2312"/>
          <w:color w:val="auto"/>
          <w:sz w:val="32"/>
          <w:szCs w:val="32"/>
          <w:highlight w:val="none"/>
        </w:rPr>
      </w:pPr>
    </w:p>
    <w:p>
      <w:pPr>
        <w:ind w:firstLine="640"/>
        <w:rPr>
          <w:rFonts w:hint="eastAsia" w:ascii="仿宋_GB2312" w:hAnsi="仿宋_GB2312" w:eastAsia="仿宋_GB2312" w:cs="仿宋_GB2312"/>
          <w:color w:val="auto"/>
          <w:sz w:val="32"/>
          <w:szCs w:val="32"/>
          <w:highlight w:val="none"/>
          <w:shd w:val="clear" w:color="auto" w:fill="auto"/>
          <w:lang w:val="en-US" w:eastAsia="zh-CN"/>
        </w:rPr>
      </w:pPr>
    </w:p>
    <w:p>
      <w:pPr>
        <w:ind w:firstLine="640"/>
        <w:rPr>
          <w:rFonts w:hint="eastAsia" w:ascii="仿宋_GB2312" w:hAnsi="仿宋_GB2312" w:eastAsia="仿宋_GB2312" w:cs="仿宋_GB2312"/>
          <w:color w:val="auto"/>
          <w:sz w:val="32"/>
          <w:szCs w:val="32"/>
          <w:highlight w:val="none"/>
          <w:shd w:val="clear" w:color="auto" w:fill="auto"/>
          <w:lang w:val="en-US" w:eastAsia="zh-CN"/>
        </w:rPr>
      </w:pPr>
    </w:p>
    <w:p>
      <w:pPr>
        <w:ind w:firstLine="640"/>
        <w:rPr>
          <w:rFonts w:hint="eastAsia" w:ascii="仿宋_GB2312" w:hAnsi="仿宋_GB2312" w:eastAsia="仿宋_GB2312" w:cs="仿宋_GB2312"/>
          <w:color w:val="auto"/>
          <w:sz w:val="32"/>
          <w:szCs w:val="32"/>
          <w:highlight w:val="none"/>
          <w:shd w:val="clear" w:color="auto" w:fill="auto"/>
          <w:lang w:val="en-US" w:eastAsia="zh-CN"/>
        </w:rPr>
      </w:pPr>
    </w:p>
    <w:p>
      <w:pPr>
        <w:ind w:firstLine="640"/>
        <w:rPr>
          <w:rFonts w:hint="eastAsia" w:ascii="仿宋_GB2312" w:hAnsi="仿宋_GB2312" w:eastAsia="仿宋_GB2312" w:cs="仿宋_GB2312"/>
          <w:color w:val="auto"/>
          <w:sz w:val="32"/>
          <w:szCs w:val="32"/>
          <w:highlight w:val="none"/>
          <w:shd w:val="clear" w:color="auto" w:fill="auto"/>
          <w:lang w:val="en-US" w:eastAsia="zh-CN"/>
        </w:rPr>
      </w:pPr>
    </w:p>
    <w:p>
      <w:pPr>
        <w:ind w:firstLine="640"/>
        <w:rPr>
          <w:rFonts w:hint="eastAsia" w:ascii="仿宋_GB2312" w:hAnsi="仿宋_GB2312" w:eastAsia="仿宋_GB2312" w:cs="仿宋_GB2312"/>
          <w:color w:val="auto"/>
          <w:sz w:val="32"/>
          <w:szCs w:val="32"/>
          <w:highlight w:val="none"/>
          <w:shd w:val="clear" w:color="auto" w:fill="auto"/>
          <w:lang w:val="en-US" w:eastAsia="zh-CN"/>
        </w:rPr>
      </w:pPr>
    </w:p>
    <w:p>
      <w:pPr>
        <w:ind w:firstLine="640"/>
        <w:rPr>
          <w:rFonts w:hint="eastAsia" w:ascii="仿宋_GB2312" w:hAnsi="仿宋_GB2312" w:eastAsia="仿宋_GB2312" w:cs="仿宋_GB2312"/>
          <w:color w:val="auto"/>
          <w:sz w:val="32"/>
          <w:szCs w:val="32"/>
          <w:highlight w:val="none"/>
          <w:shd w:val="clear" w:color="auto" w:fill="auto"/>
          <w:lang w:val="en-US" w:eastAsia="zh-CN"/>
        </w:rPr>
        <w:sectPr>
          <w:pgSz w:w="16838" w:h="11906" w:orient="landscape"/>
          <w:pgMar w:top="2098" w:right="1474" w:bottom="1984" w:left="1587" w:header="720" w:footer="720" w:gutter="0"/>
          <w:pgNumType w:fmt="numberInDash"/>
          <w:cols w:space="720" w:num="1"/>
          <w:docGrid w:type="lines" w:linePitch="312" w:charSpace="0"/>
        </w:sectPr>
      </w:pPr>
    </w:p>
    <w:tbl>
      <w:tblPr>
        <w:tblStyle w:val="8"/>
        <w:tblpPr w:leftFromText="180" w:rightFromText="180" w:vertAnchor="text" w:horzAnchor="page" w:tblpX="1335" w:tblpY="545"/>
        <w:tblOverlap w:val="never"/>
        <w:tblW w:w="141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3"/>
        <w:gridCol w:w="2936"/>
        <w:gridCol w:w="1053"/>
        <w:gridCol w:w="813"/>
        <w:gridCol w:w="2186"/>
        <w:gridCol w:w="842"/>
        <w:gridCol w:w="769"/>
        <w:gridCol w:w="3327"/>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4149"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28"/>
                <w:szCs w:val="28"/>
                <w:highlight w:val="none"/>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73"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293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53"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13"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18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4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69"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467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4862"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：许昌市动物疫病预防控制中心</w:t>
            </w:r>
          </w:p>
        </w:tc>
        <w:tc>
          <w:tcPr>
            <w:tcW w:w="813"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2186"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842"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769"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4677"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86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人员经费</w:t>
            </w:r>
          </w:p>
        </w:tc>
        <w:tc>
          <w:tcPr>
            <w:tcW w:w="9287"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73"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科目编码</w:t>
            </w:r>
          </w:p>
        </w:tc>
        <w:tc>
          <w:tcPr>
            <w:tcW w:w="293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科目名称</w:t>
            </w:r>
          </w:p>
        </w:tc>
        <w:tc>
          <w:tcPr>
            <w:tcW w:w="105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决算数</w:t>
            </w:r>
          </w:p>
        </w:tc>
        <w:tc>
          <w:tcPr>
            <w:tcW w:w="81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科目编码</w:t>
            </w:r>
          </w:p>
        </w:tc>
        <w:tc>
          <w:tcPr>
            <w:tcW w:w="218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科目名称</w:t>
            </w:r>
          </w:p>
        </w:tc>
        <w:tc>
          <w:tcPr>
            <w:tcW w:w="84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决算数</w:t>
            </w:r>
          </w:p>
        </w:tc>
        <w:tc>
          <w:tcPr>
            <w:tcW w:w="76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科目编码</w:t>
            </w:r>
          </w:p>
        </w:tc>
        <w:tc>
          <w:tcPr>
            <w:tcW w:w="332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科目名称</w:t>
            </w:r>
          </w:p>
        </w:tc>
        <w:tc>
          <w:tcPr>
            <w:tcW w:w="13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73"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29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5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81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21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84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76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332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35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301</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工资福利支出</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385.38</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商品和服务支出</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33.99</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307</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债务利息及费用支出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30101</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基本工资</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108.83</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30201</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办公费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4.65</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30701</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国内债务付息</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30102</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津贴补贴</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23.03</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30202</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印刷费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2.97</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30702</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国外债务付息</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30103</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奖金</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118.46</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30203</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咨询费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资本性支出</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30106</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伙食补助费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30204</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手续费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31001</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房屋建筑物购建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30107</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绩效工资</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58.20</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30205</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水费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0.77</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31002</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办公设备购置</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30108</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机关事业单位基本养老保险缴费</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26.07</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30206</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电费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4.19</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31003</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专用设备购置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30109</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职业年金缴费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30207</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邮电费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0.37</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31005</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基础设施建设</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30110</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职工基本医疗保险缴费</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12.51</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30208</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取暖费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3.77</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31006</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大型修缮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30111</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公务员医疗补助缴费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30209</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物业管理费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31007</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信息网络及软件购置更新</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30112</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其他社会保障缴费</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1.32</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30211</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差旅费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2.37</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31008</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物资储备</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30113</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住房公积金</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23.39</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30212</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因公出国（境）费用</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31009</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土地补偿</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30114</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医疗费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30213</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维修（护）费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1.27</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31010</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安置补助</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30199</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其他工资福利支出</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13.57</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30214</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租赁费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31011</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地上附着物和青苗补偿</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303</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对个人和家庭的补助</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47.18</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30215</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会议费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31012</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拆迁补偿</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30301</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离休费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30216</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培训费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31013</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公务用车购置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30302</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退休费</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45.40</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30217</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公务接待费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31019</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其他交通工具购置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30303</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退职（役）费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30218</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专用材料费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3.69</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31021</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文物和陈列品购置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30304</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抚恤金</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30224</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被装购置费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31022</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无形资产购置</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30305</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生活补助</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1.78</w:t>
            </w: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30225</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专用燃料费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31099</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其他资本性支出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30306</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救济费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30226</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劳务费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5.01</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399</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其他支出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30307</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医疗费补助</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30227</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委托业务费</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39906</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赠与</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30308</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助学金</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30228</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工会经费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2.19</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39907</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国家赔偿费用支出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30309</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奖励金</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30229</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福利费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1.52</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39908</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对民间非营利组织和群众性自治组织补贴</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30310</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个人农业生产补贴</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30231</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公务用车运行维护费</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0.99</w:t>
            </w:r>
          </w:p>
        </w:tc>
        <w:tc>
          <w:tcPr>
            <w:tcW w:w="76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39999</w:t>
            </w:r>
          </w:p>
        </w:tc>
        <w:tc>
          <w:tcPr>
            <w:tcW w:w="332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其他支出</w:t>
            </w: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30311</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代缴社会保险费</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30239</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其他交通费用</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76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332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73"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30399</w:t>
            </w:r>
          </w:p>
        </w:tc>
        <w:tc>
          <w:tcPr>
            <w:tcW w:w="29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其他对个人和家庭的补助</w:t>
            </w: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30240</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税金及附加费用</w:t>
            </w:r>
          </w:p>
        </w:tc>
        <w:tc>
          <w:tcPr>
            <w:tcW w:w="84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76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332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73"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293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0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81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30299</w:t>
            </w:r>
          </w:p>
        </w:tc>
        <w:tc>
          <w:tcPr>
            <w:tcW w:w="218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 xml:space="preserve">  其他商品和服务支出</w:t>
            </w:r>
          </w:p>
        </w:tc>
        <w:tc>
          <w:tcPr>
            <w:tcW w:w="84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0.24</w:t>
            </w:r>
          </w:p>
        </w:tc>
        <w:tc>
          <w:tcPr>
            <w:tcW w:w="76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3327"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809"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人员经费合计</w:t>
            </w:r>
          </w:p>
        </w:tc>
        <w:tc>
          <w:tcPr>
            <w:tcW w:w="10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432.56</w:t>
            </w:r>
          </w:p>
        </w:tc>
        <w:tc>
          <w:tcPr>
            <w:tcW w:w="7937"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公用经费合计</w:t>
            </w:r>
          </w:p>
        </w:tc>
        <w:tc>
          <w:tcPr>
            <w:tcW w:w="13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4149"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注：本表反映</w:t>
            </w: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本年度一般公共预算财政拨款基本支出明细情况。本表金额转换为万元时，因四舍五入可能存在尾差。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73" w:type="dxa"/>
            <w:tcBorders>
              <w:top w:val="nil"/>
              <w:left w:val="nil"/>
              <w:bottom w:val="nil"/>
              <w:right w:val="nil"/>
            </w:tcBorders>
            <w:vAlign w:val="bottom"/>
          </w:tcPr>
          <w:p>
            <w:pPr>
              <w:rPr>
                <w:rFonts w:hint="eastAsia" w:ascii="Arial" w:hAnsi="Arial" w:eastAsia="宋体" w:cs="Arial"/>
                <w:i w:val="0"/>
                <w:iCs w:val="0"/>
                <w:color w:val="auto"/>
                <w:sz w:val="20"/>
                <w:szCs w:val="20"/>
                <w:highlight w:val="none"/>
                <w:u w:val="none"/>
                <w:lang w:eastAsia="zh-CN"/>
              </w:rPr>
            </w:pPr>
            <w:r>
              <w:rPr>
                <w:rFonts w:hint="eastAsia" w:ascii="Arial" w:hAnsi="Arial" w:cs="Arial"/>
                <w:i w:val="0"/>
                <w:iCs w:val="0"/>
                <w:color w:val="auto"/>
                <w:sz w:val="20"/>
                <w:szCs w:val="20"/>
                <w:highlight w:val="none"/>
                <w:u w:val="none"/>
                <w:lang w:eastAsia="zh-CN"/>
              </w:rPr>
              <w:t>.</w:t>
            </w:r>
          </w:p>
        </w:tc>
        <w:tc>
          <w:tcPr>
            <w:tcW w:w="293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53"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13"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18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4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69"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327"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35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73"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93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53"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13"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18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84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769"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327"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35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73" w:type="dxa"/>
            <w:tcBorders>
              <w:top w:val="nil"/>
              <w:left w:val="nil"/>
              <w:bottom w:val="nil"/>
              <w:right w:val="nil"/>
            </w:tcBorders>
            <w:vAlign w:val="bottom"/>
          </w:tcPr>
          <w:p>
            <w:pPr>
              <w:rPr>
                <w:rFonts w:hint="default" w:ascii="Arial" w:hAnsi="Arial" w:cs="Arial"/>
                <w:i w:val="0"/>
                <w:iCs w:val="0"/>
                <w:color w:val="auto"/>
                <w:sz w:val="20"/>
                <w:szCs w:val="20"/>
                <w:highlight w:val="none"/>
                <w:u w:val="none"/>
                <w:lang w:val="en-US"/>
              </w:rPr>
            </w:pPr>
          </w:p>
        </w:tc>
        <w:tc>
          <w:tcPr>
            <w:tcW w:w="2936" w:type="dxa"/>
            <w:tcBorders>
              <w:top w:val="nil"/>
              <w:left w:val="nil"/>
              <w:bottom w:val="nil"/>
              <w:right w:val="nil"/>
            </w:tcBorders>
            <w:vAlign w:val="bottom"/>
          </w:tcPr>
          <w:p>
            <w:pPr>
              <w:rPr>
                <w:rFonts w:hint="default" w:ascii="Arial" w:hAnsi="Arial" w:cs="Arial"/>
                <w:i w:val="0"/>
                <w:iCs w:val="0"/>
                <w:color w:val="auto"/>
                <w:sz w:val="20"/>
                <w:szCs w:val="20"/>
                <w:highlight w:val="none"/>
                <w:u w:val="none"/>
                <w:lang w:val="en-US"/>
              </w:rPr>
            </w:pPr>
          </w:p>
        </w:tc>
        <w:tc>
          <w:tcPr>
            <w:tcW w:w="1053" w:type="dxa"/>
            <w:tcBorders>
              <w:top w:val="nil"/>
              <w:left w:val="nil"/>
              <w:bottom w:val="nil"/>
              <w:right w:val="nil"/>
            </w:tcBorders>
            <w:vAlign w:val="bottom"/>
          </w:tcPr>
          <w:p>
            <w:pPr>
              <w:rPr>
                <w:rFonts w:hint="default" w:ascii="Arial" w:hAnsi="Arial" w:cs="Arial"/>
                <w:i w:val="0"/>
                <w:iCs w:val="0"/>
                <w:color w:val="auto"/>
                <w:sz w:val="20"/>
                <w:szCs w:val="20"/>
                <w:highlight w:val="none"/>
                <w:u w:val="none"/>
                <w:lang w:val="en-US"/>
              </w:rPr>
            </w:pPr>
          </w:p>
        </w:tc>
        <w:tc>
          <w:tcPr>
            <w:tcW w:w="813" w:type="dxa"/>
            <w:tcBorders>
              <w:top w:val="nil"/>
              <w:left w:val="nil"/>
              <w:bottom w:val="nil"/>
              <w:right w:val="nil"/>
            </w:tcBorders>
            <w:vAlign w:val="bottom"/>
          </w:tcPr>
          <w:p>
            <w:pPr>
              <w:rPr>
                <w:rFonts w:hint="default" w:ascii="Arial" w:hAnsi="Arial" w:cs="Arial"/>
                <w:i w:val="0"/>
                <w:iCs w:val="0"/>
                <w:color w:val="auto"/>
                <w:sz w:val="20"/>
                <w:szCs w:val="20"/>
                <w:highlight w:val="none"/>
                <w:u w:val="none"/>
                <w:lang w:val="en-US"/>
              </w:rPr>
            </w:pPr>
          </w:p>
        </w:tc>
        <w:tc>
          <w:tcPr>
            <w:tcW w:w="2186" w:type="dxa"/>
            <w:tcBorders>
              <w:top w:val="nil"/>
              <w:left w:val="nil"/>
              <w:bottom w:val="nil"/>
              <w:right w:val="nil"/>
            </w:tcBorders>
            <w:vAlign w:val="bottom"/>
          </w:tcPr>
          <w:p>
            <w:pPr>
              <w:rPr>
                <w:rFonts w:hint="default" w:ascii="Arial" w:hAnsi="Arial" w:cs="Arial"/>
                <w:i w:val="0"/>
                <w:iCs w:val="0"/>
                <w:color w:val="auto"/>
                <w:sz w:val="20"/>
                <w:szCs w:val="20"/>
                <w:highlight w:val="none"/>
                <w:u w:val="none"/>
                <w:lang w:val="en-US"/>
              </w:rPr>
            </w:pPr>
          </w:p>
        </w:tc>
        <w:tc>
          <w:tcPr>
            <w:tcW w:w="842" w:type="dxa"/>
            <w:tcBorders>
              <w:top w:val="nil"/>
              <w:left w:val="nil"/>
              <w:bottom w:val="nil"/>
              <w:right w:val="nil"/>
            </w:tcBorders>
            <w:vAlign w:val="bottom"/>
          </w:tcPr>
          <w:p>
            <w:pPr>
              <w:rPr>
                <w:rFonts w:hint="default" w:ascii="Arial" w:hAnsi="Arial" w:cs="Arial"/>
                <w:i w:val="0"/>
                <w:iCs w:val="0"/>
                <w:color w:val="auto"/>
                <w:sz w:val="20"/>
                <w:szCs w:val="20"/>
                <w:highlight w:val="none"/>
                <w:u w:val="none"/>
                <w:lang w:val="en-US"/>
              </w:rPr>
            </w:pPr>
          </w:p>
        </w:tc>
        <w:tc>
          <w:tcPr>
            <w:tcW w:w="769" w:type="dxa"/>
            <w:tcBorders>
              <w:top w:val="nil"/>
              <w:left w:val="nil"/>
              <w:bottom w:val="nil"/>
              <w:right w:val="nil"/>
            </w:tcBorders>
            <w:vAlign w:val="bottom"/>
          </w:tcPr>
          <w:p>
            <w:pPr>
              <w:rPr>
                <w:rFonts w:hint="default" w:ascii="Arial" w:hAnsi="Arial" w:cs="Arial"/>
                <w:i w:val="0"/>
                <w:iCs w:val="0"/>
                <w:color w:val="auto"/>
                <w:sz w:val="20"/>
                <w:szCs w:val="20"/>
                <w:highlight w:val="none"/>
                <w:u w:val="none"/>
                <w:lang w:val="en-US"/>
              </w:rPr>
            </w:pPr>
          </w:p>
        </w:tc>
        <w:tc>
          <w:tcPr>
            <w:tcW w:w="3327" w:type="dxa"/>
            <w:tcBorders>
              <w:top w:val="nil"/>
              <w:left w:val="nil"/>
              <w:bottom w:val="nil"/>
              <w:right w:val="nil"/>
            </w:tcBorders>
            <w:vAlign w:val="bottom"/>
          </w:tcPr>
          <w:p>
            <w:pPr>
              <w:rPr>
                <w:rFonts w:hint="default" w:ascii="Arial" w:hAnsi="Arial" w:cs="Arial"/>
                <w:i w:val="0"/>
                <w:iCs w:val="0"/>
                <w:color w:val="auto"/>
                <w:sz w:val="20"/>
                <w:szCs w:val="20"/>
                <w:highlight w:val="none"/>
                <w:u w:val="none"/>
                <w:lang w:val="en-US"/>
              </w:rPr>
            </w:pPr>
          </w:p>
        </w:tc>
        <w:tc>
          <w:tcPr>
            <w:tcW w:w="1350" w:type="dxa"/>
            <w:tcBorders>
              <w:top w:val="nil"/>
              <w:left w:val="nil"/>
              <w:bottom w:val="nil"/>
              <w:right w:val="nil"/>
            </w:tcBorders>
            <w:vAlign w:val="bottom"/>
          </w:tcPr>
          <w:p>
            <w:pPr>
              <w:rPr>
                <w:rFonts w:hint="default" w:ascii="Arial" w:hAnsi="Arial" w:cs="Arial"/>
                <w:i w:val="0"/>
                <w:iCs w:val="0"/>
                <w:color w:val="auto"/>
                <w:sz w:val="20"/>
                <w:szCs w:val="20"/>
                <w:highlight w:val="none"/>
                <w:u w:val="none"/>
                <w:lang w:val="en-US"/>
              </w:rPr>
            </w:pPr>
          </w:p>
        </w:tc>
      </w:tr>
    </w:tbl>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tbl>
      <w:tblPr>
        <w:tblStyle w:val="8"/>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0"/>
        <w:gridCol w:w="1140"/>
        <w:gridCol w:w="1170"/>
        <w:gridCol w:w="1155"/>
        <w:gridCol w:w="1170"/>
        <w:gridCol w:w="1035"/>
        <w:gridCol w:w="1080"/>
        <w:gridCol w:w="1110"/>
        <w:gridCol w:w="1110"/>
        <w:gridCol w:w="1145"/>
        <w:gridCol w:w="1200"/>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65"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28"/>
                <w:szCs w:val="28"/>
                <w:highlight w:val="none"/>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40"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114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7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5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7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3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08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1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10"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145"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271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05"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：许昌市动物疫病预防控制中心</w:t>
            </w:r>
          </w:p>
        </w:tc>
        <w:tc>
          <w:tcPr>
            <w:tcW w:w="1170"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03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080"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110"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110"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145"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271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1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预算数</w:t>
            </w:r>
          </w:p>
        </w:tc>
        <w:tc>
          <w:tcPr>
            <w:tcW w:w="715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合计</w:t>
            </w:r>
          </w:p>
        </w:tc>
        <w:tc>
          <w:tcPr>
            <w:tcW w:w="114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因公出国（境）费</w:t>
            </w:r>
          </w:p>
        </w:tc>
        <w:tc>
          <w:tcPr>
            <w:tcW w:w="3495"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公务用车购置及运行费</w:t>
            </w:r>
          </w:p>
        </w:tc>
        <w:tc>
          <w:tcPr>
            <w:tcW w:w="103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公务接待费</w:t>
            </w:r>
          </w:p>
        </w:tc>
        <w:tc>
          <w:tcPr>
            <w:tcW w:w="108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合计</w:t>
            </w:r>
          </w:p>
        </w:tc>
        <w:tc>
          <w:tcPr>
            <w:tcW w:w="11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因公出国（境）费</w:t>
            </w:r>
          </w:p>
        </w:tc>
        <w:tc>
          <w:tcPr>
            <w:tcW w:w="3455"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公务用车购置及运行费</w:t>
            </w:r>
          </w:p>
        </w:tc>
        <w:tc>
          <w:tcPr>
            <w:tcW w:w="15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4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1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1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小计</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公务用车购置费</w:t>
            </w:r>
          </w:p>
        </w:tc>
        <w:tc>
          <w:tcPr>
            <w:tcW w:w="11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公务用车运行费</w:t>
            </w:r>
          </w:p>
        </w:tc>
        <w:tc>
          <w:tcPr>
            <w:tcW w:w="103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08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1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小计</w:t>
            </w:r>
          </w:p>
        </w:tc>
        <w:tc>
          <w:tcPr>
            <w:tcW w:w="11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公务用车购置费</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公务用车运行费</w:t>
            </w:r>
          </w:p>
        </w:tc>
        <w:tc>
          <w:tcPr>
            <w:tcW w:w="15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1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1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c>
          <w:tcPr>
            <w:tcW w:w="10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c>
          <w:tcPr>
            <w:tcW w:w="10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7</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8</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9</w:t>
            </w:r>
          </w:p>
        </w:tc>
        <w:tc>
          <w:tcPr>
            <w:tcW w:w="11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11</w:t>
            </w:r>
          </w:p>
        </w:tc>
        <w:tc>
          <w:tcPr>
            <w:tcW w:w="15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40"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1.00</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17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17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1.00</w:t>
            </w:r>
          </w:p>
        </w:tc>
        <w:tc>
          <w:tcPr>
            <w:tcW w:w="103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0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0.99</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1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0.99</w:t>
            </w:r>
          </w:p>
        </w:tc>
        <w:tc>
          <w:tcPr>
            <w:tcW w:w="11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0.99</w:t>
            </w:r>
          </w:p>
        </w:tc>
        <w:tc>
          <w:tcPr>
            <w:tcW w:w="15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65"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注：本表反映</w:t>
            </w: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65"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kern w:val="0"/>
                <w:sz w:val="22"/>
                <w:szCs w:val="22"/>
                <w:highlight w:val="none"/>
                <w:u w:val="none"/>
                <w:lang w:val="en-US" w:eastAsia="zh-CN"/>
              </w:rPr>
            </w:pPr>
          </w:p>
        </w:tc>
      </w:tr>
    </w:tbl>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p>
      <w:pPr>
        <w:jc w:val="both"/>
        <w:outlineLvl w:val="9"/>
        <w:rPr>
          <w:rFonts w:hint="eastAsia" w:ascii="仿宋_GB2312" w:hAnsi="仿宋_GB2312" w:eastAsia="仿宋_GB2312" w:cs="仿宋_GB2312"/>
          <w:color w:val="auto"/>
          <w:sz w:val="32"/>
          <w:szCs w:val="32"/>
          <w:highlight w:val="none"/>
          <w:lang w:val="en-US" w:eastAsia="zh-CN"/>
        </w:rPr>
      </w:pPr>
    </w:p>
    <w:tbl>
      <w:tblPr>
        <w:tblStyle w:val="8"/>
        <w:tblW w:w="139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6"/>
        <w:gridCol w:w="356"/>
        <w:gridCol w:w="356"/>
        <w:gridCol w:w="1758"/>
        <w:gridCol w:w="1758"/>
        <w:gridCol w:w="1662"/>
        <w:gridCol w:w="1872"/>
        <w:gridCol w:w="1689"/>
        <w:gridCol w:w="1978"/>
        <w:gridCol w:w="2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3985"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28"/>
                <w:szCs w:val="28"/>
                <w:highlight w:val="none"/>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56" w:type="dxa"/>
            <w:tcBorders>
              <w:top w:val="nil"/>
              <w:left w:val="nil"/>
              <w:bottom w:val="nil"/>
              <w:right w:val="nil"/>
            </w:tcBorders>
            <w:vAlign w:val="bottom"/>
          </w:tcPr>
          <w:p>
            <w:pPr>
              <w:rPr>
                <w:rFonts w:hint="eastAsia" w:ascii="Arial" w:hAnsi="Arial" w:cs="Arial"/>
                <w:i w:val="0"/>
                <w:iCs w:val="0"/>
                <w:color w:val="auto"/>
                <w:sz w:val="20"/>
                <w:szCs w:val="20"/>
                <w:highlight w:val="none"/>
                <w:u w:val="none"/>
              </w:rPr>
            </w:pPr>
          </w:p>
        </w:tc>
        <w:tc>
          <w:tcPr>
            <w:tcW w:w="35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356"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75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758"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66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1872" w:type="dxa"/>
            <w:tcBorders>
              <w:top w:val="nil"/>
              <w:left w:val="nil"/>
              <w:bottom w:val="nil"/>
              <w:right w:val="nil"/>
            </w:tcBorders>
            <w:vAlign w:val="bottom"/>
          </w:tcPr>
          <w:p>
            <w:pPr>
              <w:rPr>
                <w:rFonts w:hint="default" w:ascii="Arial" w:hAnsi="Arial" w:cs="Arial"/>
                <w:i w:val="0"/>
                <w:iCs w:val="0"/>
                <w:color w:val="auto"/>
                <w:sz w:val="20"/>
                <w:szCs w:val="20"/>
                <w:highlight w:val="none"/>
                <w:u w:val="none"/>
              </w:rPr>
            </w:pPr>
          </w:p>
        </w:tc>
        <w:tc>
          <w:tcPr>
            <w:tcW w:w="5867"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584"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rPr>
              <w:t>单位</w:t>
            </w:r>
            <w:r>
              <w:rPr>
                <w:rFonts w:hint="eastAsia" w:ascii="宋体" w:hAnsi="宋体" w:eastAsia="宋体" w:cs="宋体"/>
                <w:i w:val="0"/>
                <w:iCs w:val="0"/>
                <w:color w:val="auto"/>
                <w:kern w:val="0"/>
                <w:sz w:val="18"/>
                <w:szCs w:val="18"/>
                <w:highlight w:val="none"/>
                <w:u w:val="none"/>
                <w:lang w:val="en-US" w:eastAsia="zh-CN"/>
              </w:rPr>
              <w:t>：许昌市动物疫病预防控制中心</w:t>
            </w:r>
          </w:p>
        </w:tc>
        <w:tc>
          <w:tcPr>
            <w:tcW w:w="1662"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1872" w:type="dxa"/>
            <w:tcBorders>
              <w:top w:val="nil"/>
              <w:left w:val="nil"/>
              <w:bottom w:val="nil"/>
              <w:right w:val="nil"/>
            </w:tcBorders>
            <w:vAlign w:val="bottom"/>
          </w:tcPr>
          <w:p>
            <w:pPr>
              <w:rPr>
                <w:rFonts w:hint="default" w:ascii="Arial" w:hAnsi="Arial" w:cs="Arial"/>
                <w:i w:val="0"/>
                <w:iCs w:val="0"/>
                <w:color w:val="auto"/>
                <w:sz w:val="18"/>
                <w:szCs w:val="18"/>
                <w:highlight w:val="none"/>
                <w:u w:val="none"/>
              </w:rPr>
            </w:pPr>
          </w:p>
        </w:tc>
        <w:tc>
          <w:tcPr>
            <w:tcW w:w="5867"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82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项目</w:t>
            </w:r>
          </w:p>
        </w:tc>
        <w:tc>
          <w:tcPr>
            <w:tcW w:w="175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年初结转和结余</w:t>
            </w:r>
          </w:p>
        </w:tc>
        <w:tc>
          <w:tcPr>
            <w:tcW w:w="166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本年收入</w:t>
            </w:r>
          </w:p>
        </w:tc>
        <w:tc>
          <w:tcPr>
            <w:tcW w:w="5539"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本年支出</w:t>
            </w:r>
          </w:p>
        </w:tc>
        <w:tc>
          <w:tcPr>
            <w:tcW w:w="220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6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功能分类科目编码</w:t>
            </w:r>
          </w:p>
        </w:tc>
        <w:tc>
          <w:tcPr>
            <w:tcW w:w="175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科目名称</w:t>
            </w:r>
          </w:p>
        </w:tc>
        <w:tc>
          <w:tcPr>
            <w:tcW w:w="175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66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87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小计</w:t>
            </w:r>
          </w:p>
        </w:tc>
        <w:tc>
          <w:tcPr>
            <w:tcW w:w="168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基本支出</w:t>
            </w:r>
          </w:p>
        </w:tc>
        <w:tc>
          <w:tcPr>
            <w:tcW w:w="197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项目支出</w:t>
            </w:r>
          </w:p>
        </w:tc>
        <w:tc>
          <w:tcPr>
            <w:tcW w:w="220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6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75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75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66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87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6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9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220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6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75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75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66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87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6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19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c>
          <w:tcPr>
            <w:tcW w:w="220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82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栏次</w:t>
            </w:r>
          </w:p>
        </w:tc>
        <w:tc>
          <w:tcPr>
            <w:tcW w:w="17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1</w:t>
            </w:r>
          </w:p>
        </w:tc>
        <w:tc>
          <w:tcPr>
            <w:tcW w:w="166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2</w:t>
            </w:r>
          </w:p>
        </w:tc>
        <w:tc>
          <w:tcPr>
            <w:tcW w:w="187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3</w:t>
            </w:r>
          </w:p>
        </w:tc>
        <w:tc>
          <w:tcPr>
            <w:tcW w:w="16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4</w:t>
            </w:r>
          </w:p>
        </w:tc>
        <w:tc>
          <w:tcPr>
            <w:tcW w:w="19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5</w:t>
            </w:r>
          </w:p>
        </w:tc>
        <w:tc>
          <w:tcPr>
            <w:tcW w:w="2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826"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rPr>
              <w:t>合计</w:t>
            </w:r>
          </w:p>
        </w:tc>
        <w:tc>
          <w:tcPr>
            <w:tcW w:w="175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18"/>
                <w:szCs w:val="18"/>
                <w:highlight w:val="none"/>
                <w:u w:val="none"/>
              </w:rPr>
            </w:pPr>
          </w:p>
        </w:tc>
        <w:tc>
          <w:tcPr>
            <w:tcW w:w="166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18"/>
                <w:szCs w:val="18"/>
                <w:highlight w:val="none"/>
                <w:u w:val="none"/>
              </w:rPr>
            </w:pPr>
          </w:p>
        </w:tc>
        <w:tc>
          <w:tcPr>
            <w:tcW w:w="187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18"/>
                <w:szCs w:val="18"/>
                <w:highlight w:val="none"/>
                <w:u w:val="none"/>
              </w:rPr>
            </w:pPr>
          </w:p>
        </w:tc>
        <w:tc>
          <w:tcPr>
            <w:tcW w:w="168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18"/>
                <w:szCs w:val="18"/>
                <w:highlight w:val="none"/>
                <w:u w:val="none"/>
              </w:rPr>
            </w:pPr>
          </w:p>
        </w:tc>
        <w:tc>
          <w:tcPr>
            <w:tcW w:w="197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18"/>
                <w:szCs w:val="18"/>
                <w:highlight w:val="none"/>
                <w:u w:val="none"/>
              </w:rPr>
            </w:pPr>
          </w:p>
        </w:tc>
        <w:tc>
          <w:tcPr>
            <w:tcW w:w="220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6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75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7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8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2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6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75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7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8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2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6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75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7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8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2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6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75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7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8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2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6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75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7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8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2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6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75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auto"/>
                <w:sz w:val="18"/>
                <w:szCs w:val="18"/>
                <w:highlight w:val="none"/>
                <w:u w:val="none"/>
              </w:rPr>
            </w:pPr>
          </w:p>
        </w:tc>
        <w:tc>
          <w:tcPr>
            <w:tcW w:w="175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6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8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6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19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c>
          <w:tcPr>
            <w:tcW w:w="2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3985"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color w:val="auto"/>
                <w:kern w:val="0"/>
                <w:sz w:val="18"/>
                <w:szCs w:val="18"/>
                <w:highlight w:val="none"/>
              </w:rPr>
              <w:t>注：本表反映</w:t>
            </w:r>
            <w:r>
              <w:rPr>
                <w:rFonts w:hint="eastAsia" w:ascii="宋体" w:hAnsi="宋体" w:cs="宋体"/>
                <w:i w:val="0"/>
                <w:iCs w:val="0"/>
                <w:color w:val="auto"/>
                <w:kern w:val="0"/>
                <w:sz w:val="18"/>
                <w:szCs w:val="18"/>
                <w:highlight w:val="none"/>
                <w:u w:val="none"/>
                <w:lang w:val="en-US" w:eastAsia="zh-CN"/>
              </w:rPr>
              <w:t>单位</w:t>
            </w:r>
            <w:r>
              <w:rPr>
                <w:rFonts w:hint="eastAsia" w:ascii="宋体" w:hAnsi="宋体" w:cs="宋体"/>
                <w:color w:val="auto"/>
                <w:kern w:val="0"/>
                <w:sz w:val="18"/>
                <w:szCs w:val="18"/>
                <w:highlight w:val="none"/>
              </w:rPr>
              <w:t>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3985"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auto"/>
                <w:kern w:val="0"/>
                <w:sz w:val="18"/>
                <w:szCs w:val="18"/>
                <w:highlight w:val="none"/>
                <w:u w:val="none"/>
                <w:lang w:val="en-US" w:eastAsia="zh-CN"/>
              </w:rPr>
            </w:pPr>
            <w:r>
              <w:rPr>
                <w:rFonts w:hint="eastAsia" w:ascii="宋体" w:hAnsi="宋体" w:cs="宋体"/>
                <w:color w:val="auto"/>
                <w:sz w:val="18"/>
                <w:szCs w:val="18"/>
                <w:highlight w:val="none"/>
              </w:rPr>
              <w:t>说明：我</w:t>
            </w:r>
            <w:r>
              <w:rPr>
                <w:rFonts w:hint="eastAsia" w:ascii="宋体" w:hAnsi="宋体" w:cs="宋体"/>
                <w:i w:val="0"/>
                <w:iCs w:val="0"/>
                <w:color w:val="auto"/>
                <w:kern w:val="0"/>
                <w:sz w:val="18"/>
                <w:szCs w:val="18"/>
                <w:highlight w:val="none"/>
                <w:u w:val="none"/>
                <w:lang w:val="en-US" w:eastAsia="zh-CN"/>
              </w:rPr>
              <w:t>单位</w:t>
            </w:r>
            <w:r>
              <w:rPr>
                <w:rFonts w:hint="eastAsia" w:ascii="宋体" w:hAnsi="宋体" w:cs="宋体"/>
                <w:color w:val="auto"/>
                <w:sz w:val="18"/>
                <w:szCs w:val="18"/>
                <w:highlight w:val="none"/>
              </w:rPr>
              <w:t>没有政府性基金收入，也没有使用政府性基金安排的支出，故本表无数据。</w:t>
            </w:r>
          </w:p>
        </w:tc>
      </w:tr>
    </w:tbl>
    <w:p>
      <w:pPr>
        <w:jc w:val="both"/>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三</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一、收入支出决算总体情况说明</w:t>
      </w:r>
    </w:p>
    <w:p>
      <w:pPr>
        <w:widowControl/>
        <w:wordWrap/>
        <w:adjustRightInd/>
        <w:snapToGrid/>
        <w:spacing w:line="590" w:lineRule="exact"/>
        <w:ind w:left="0" w:leftChars="0" w:right="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年度收、支总计均为</w:t>
      </w:r>
      <w:r>
        <w:rPr>
          <w:rFonts w:hint="eastAsia" w:ascii="楷体_GB2312" w:hAnsi="楷体_GB2312" w:eastAsia="楷体_GB2312"/>
          <w:color w:val="auto"/>
          <w:sz w:val="32"/>
          <w:szCs w:val="44"/>
          <w:highlight w:val="none"/>
          <w:lang w:val="en-US" w:eastAsia="zh-CN"/>
        </w:rPr>
        <w:t>574.00</w:t>
      </w:r>
      <w:r>
        <w:rPr>
          <w:rFonts w:hint="eastAsia" w:ascii="仿宋_GB2312" w:hAnsi="仿宋_GB2312" w:eastAsia="仿宋_GB2312" w:cs="仿宋_GB2312"/>
          <w:color w:val="auto"/>
          <w:sz w:val="32"/>
          <w:szCs w:val="32"/>
          <w:highlight w:val="none"/>
        </w:rPr>
        <w:t>万元。与上年度相比，收、支总计各减少</w:t>
      </w:r>
      <w:r>
        <w:rPr>
          <w:rFonts w:hint="eastAsia" w:ascii="楷体_GB2312" w:hAnsi="楷体_GB2312" w:eastAsia="楷体_GB2312"/>
          <w:color w:val="auto"/>
          <w:sz w:val="32"/>
          <w:szCs w:val="44"/>
          <w:highlight w:val="none"/>
          <w:lang w:val="en-US" w:eastAsia="zh-CN"/>
        </w:rPr>
        <w:t>42.37</w:t>
      </w:r>
      <w:r>
        <w:rPr>
          <w:rFonts w:hint="eastAsia" w:ascii="仿宋_GB2312" w:hAnsi="仿宋_GB2312" w:eastAsia="仿宋_GB2312" w:cs="仿宋_GB2312"/>
          <w:color w:val="auto"/>
          <w:sz w:val="32"/>
          <w:szCs w:val="32"/>
          <w:highlight w:val="none"/>
        </w:rPr>
        <w:t>万元，下降</w:t>
      </w:r>
      <w:r>
        <w:rPr>
          <w:rFonts w:hint="eastAsia" w:ascii="楷体_GB2312" w:hAnsi="楷体_GB2312" w:eastAsia="楷体_GB2312"/>
          <w:color w:val="auto"/>
          <w:sz w:val="32"/>
          <w:szCs w:val="40"/>
          <w:highlight w:val="none"/>
          <w:lang w:val="en-US" w:eastAsia="zh-CN"/>
        </w:rPr>
        <w:t>6.87</w:t>
      </w:r>
      <w:r>
        <w:rPr>
          <w:rFonts w:hint="eastAsia" w:ascii="宋体" w:hAnsi="宋体"/>
          <w:color w:val="auto"/>
          <w:sz w:val="28"/>
          <w:szCs w:val="40"/>
          <w:highlight w:val="none"/>
          <w:lang w:val="zh-CN"/>
        </w:rPr>
        <w:t>%</w:t>
      </w:r>
      <w:r>
        <w:rPr>
          <w:rFonts w:hint="eastAsia" w:ascii="仿宋_GB2312" w:hAnsi="仿宋_GB2312" w:eastAsia="仿宋_GB2312" w:cs="仿宋_GB2312"/>
          <w:color w:val="auto"/>
          <w:sz w:val="32"/>
          <w:szCs w:val="32"/>
          <w:highlight w:val="none"/>
        </w:rPr>
        <w:t>。主要原因是大力压缩非刚性</w:t>
      </w:r>
      <w:r>
        <w:rPr>
          <w:rFonts w:hint="eastAsia" w:ascii="仿宋_GB2312" w:hAnsi="仿宋_GB2312" w:eastAsia="仿宋_GB2312" w:cs="仿宋_GB2312"/>
          <w:color w:val="auto"/>
          <w:sz w:val="32"/>
          <w:szCs w:val="32"/>
          <w:highlight w:val="none"/>
          <w:lang w:eastAsia="zh-CN"/>
        </w:rPr>
        <w:t>支</w:t>
      </w:r>
      <w:r>
        <w:rPr>
          <w:rFonts w:hint="eastAsia" w:ascii="仿宋_GB2312" w:hAnsi="仿宋_GB2312" w:eastAsia="仿宋_GB2312" w:cs="仿宋_GB2312"/>
          <w:color w:val="auto"/>
          <w:sz w:val="32"/>
          <w:szCs w:val="32"/>
          <w:highlight w:val="none"/>
        </w:rPr>
        <w:t>出。</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二、收入决算情况说明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455.94</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455.94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zh-CN"/>
        </w:rPr>
        <w:t>100</w:t>
      </w:r>
      <w:r>
        <w:rPr>
          <w:rFonts w:hint="eastAsia" w:ascii="仿宋_GB2312" w:hAnsi="仿宋_GB2312" w:eastAsia="仿宋_GB2312" w:cs="仿宋_GB2312"/>
          <w:color w:val="auto"/>
          <w:sz w:val="32"/>
          <w:szCs w:val="32"/>
          <w:highlight w:val="none"/>
        </w:rPr>
        <w:t>%；上级补助收入0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zh-CN"/>
        </w:rPr>
        <w:t>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%；事业收入0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zh-CN"/>
        </w:rPr>
        <w:t>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%；经营收入0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zh-CN"/>
        </w:rPr>
        <w:t>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%；附属单位上缴收入0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zh-CN"/>
        </w:rPr>
        <w:t>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%；其他收入0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zh-CN"/>
        </w:rPr>
        <w:t>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三、支出决算情况说明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合计</w:t>
      </w:r>
      <w:r>
        <w:rPr>
          <w:rFonts w:hint="eastAsia" w:ascii="宋体" w:hAnsi="宋体" w:eastAsia="仿宋_GB2312"/>
          <w:color w:val="auto"/>
          <w:sz w:val="32"/>
          <w:szCs w:val="44"/>
          <w:highlight w:val="none"/>
          <w:lang w:val="en-US" w:eastAsia="zh-CN"/>
        </w:rPr>
        <w:t>574.00</w:t>
      </w:r>
      <w:r>
        <w:rPr>
          <w:rFonts w:hint="eastAsia" w:ascii="仿宋_GB2312" w:hAnsi="仿宋_GB2312" w:eastAsia="仿宋_GB2312" w:cs="仿宋_GB2312"/>
          <w:color w:val="auto"/>
          <w:sz w:val="32"/>
          <w:szCs w:val="32"/>
          <w:highlight w:val="none"/>
        </w:rPr>
        <w:t>万元，其中：</w:t>
      </w:r>
      <w:r>
        <w:rPr>
          <w:rFonts w:hint="eastAsia" w:ascii="仿宋_GB2312" w:hAnsi="仿宋_GB2312" w:eastAsia="仿宋_GB2312" w:cs="仿宋_GB2312"/>
          <w:color w:val="auto"/>
          <w:sz w:val="32"/>
          <w:szCs w:val="32"/>
          <w:highlight w:val="none"/>
          <w:lang w:eastAsia="zh-CN"/>
        </w:rPr>
        <w:t>基本支出</w:t>
      </w:r>
      <w:r>
        <w:rPr>
          <w:rFonts w:hint="eastAsia" w:ascii="仿宋_GB2312" w:hAnsi="仿宋_GB2312" w:eastAsia="仿宋_GB2312" w:cs="仿宋_GB2312"/>
          <w:color w:val="auto"/>
          <w:sz w:val="32"/>
          <w:szCs w:val="32"/>
          <w:highlight w:val="none"/>
          <w:lang w:val="en-US" w:eastAsia="zh-CN"/>
        </w:rPr>
        <w:t>467.34</w:t>
      </w:r>
      <w:r>
        <w:rPr>
          <w:rFonts w:hint="eastAsia" w:ascii="仿宋_GB2312" w:hAnsi="仿宋_GB2312" w:eastAsia="仿宋_GB2312" w:cs="仿宋_GB2312"/>
          <w:color w:val="auto"/>
          <w:sz w:val="32"/>
          <w:szCs w:val="32"/>
          <w:highlight w:val="none"/>
        </w:rPr>
        <w:t>万元，占</w:t>
      </w:r>
      <w:r>
        <w:rPr>
          <w:rFonts w:hint="eastAsia" w:ascii="宋体" w:hAnsi="宋体" w:eastAsia="仿宋_GB2312"/>
          <w:color w:val="auto"/>
          <w:sz w:val="32"/>
          <w:szCs w:val="44"/>
          <w:highlight w:val="none"/>
          <w:lang w:val="en-US" w:eastAsia="zh-CN"/>
        </w:rPr>
        <w:t>81.42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lang w:val="en-US" w:eastAsia="zh-CN"/>
        </w:rPr>
        <w:t>106.67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18.58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w:t>
      </w:r>
      <w:r>
        <w:rPr>
          <w:rFonts w:hint="eastAsia" w:ascii="仿宋_GB2312" w:hAnsi="仿宋_GB2312" w:eastAsia="仿宋_GB2312" w:cs="仿宋_GB2312"/>
          <w:color w:val="auto"/>
          <w:sz w:val="32"/>
          <w:szCs w:val="32"/>
          <w:highlight w:val="none"/>
          <w:lang w:eastAsia="zh-CN"/>
        </w:rPr>
        <w:t>补助支出</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wordWrap/>
        <w:adjustRightInd/>
        <w:snapToGrid/>
        <w:spacing w:line="590" w:lineRule="exact"/>
        <w:ind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四、财政拨款收入支出决算总体情况说明</w:t>
      </w:r>
    </w:p>
    <w:p>
      <w:pPr>
        <w:widowControl/>
        <w:wordWrap/>
        <w:adjustRightInd/>
        <w:snapToGrid/>
        <w:spacing w:line="590" w:lineRule="exact"/>
        <w:ind w:left="0" w:leftChars="0" w:right="0" w:firstLine="640" w:firstLineChars="200"/>
        <w:jc w:val="both"/>
        <w:textAlignment w:val="auto"/>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572.00</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楷体_GB2312" w:hAnsi="楷体_GB2312" w:eastAsia="楷体_GB2312"/>
          <w:color w:val="auto"/>
          <w:sz w:val="32"/>
          <w:szCs w:val="44"/>
          <w:highlight w:val="none"/>
          <w:lang w:val="en-US" w:eastAsia="zh-CN"/>
        </w:rPr>
        <w:t>42.37</w:t>
      </w:r>
      <w:r>
        <w:rPr>
          <w:rFonts w:hint="eastAsia" w:ascii="仿宋_GB2312" w:hAnsi="仿宋_GB2312" w:eastAsia="仿宋_GB2312" w:cs="仿宋_GB2312"/>
          <w:color w:val="auto"/>
          <w:sz w:val="32"/>
          <w:szCs w:val="32"/>
          <w:highlight w:val="none"/>
        </w:rPr>
        <w:t>万元，下降</w:t>
      </w:r>
      <w:r>
        <w:rPr>
          <w:rFonts w:hint="eastAsia" w:ascii="楷体_GB2312" w:hAnsi="楷体_GB2312" w:eastAsia="楷体_GB2312"/>
          <w:color w:val="auto"/>
          <w:sz w:val="32"/>
          <w:szCs w:val="44"/>
          <w:highlight w:val="none"/>
          <w:lang w:val="en-US" w:eastAsia="zh-CN"/>
        </w:rPr>
        <w:t>6.90</w:t>
      </w:r>
      <w:r>
        <w:rPr>
          <w:rFonts w:hint="eastAsia" w:ascii="仿宋_GB2312" w:hAnsi="仿宋_GB2312" w:eastAsia="仿宋_GB2312" w:cs="仿宋_GB2312"/>
          <w:color w:val="auto"/>
          <w:sz w:val="32"/>
          <w:szCs w:val="32"/>
          <w:highlight w:val="none"/>
        </w:rPr>
        <w:t>%。主要原因是大力压缩非刚性</w:t>
      </w:r>
      <w:r>
        <w:rPr>
          <w:rFonts w:hint="eastAsia" w:ascii="仿宋_GB2312" w:hAnsi="仿宋_GB2312" w:eastAsia="仿宋_GB2312" w:cs="仿宋_GB2312"/>
          <w:color w:val="auto"/>
          <w:sz w:val="32"/>
          <w:szCs w:val="32"/>
          <w:highlight w:val="none"/>
          <w:lang w:eastAsia="zh-CN"/>
        </w:rPr>
        <w:t>支</w:t>
      </w:r>
      <w:r>
        <w:rPr>
          <w:rFonts w:hint="eastAsia" w:ascii="仿宋_GB2312" w:hAnsi="仿宋_GB2312" w:eastAsia="仿宋_GB2312" w:cs="仿宋_GB2312"/>
          <w:color w:val="auto"/>
          <w:sz w:val="32"/>
          <w:szCs w:val="32"/>
          <w:highlight w:val="none"/>
        </w:rPr>
        <w:t>出。</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五、一般公共预算财政拨款支出决算情况说明</w:t>
      </w:r>
    </w:p>
    <w:p>
      <w:pPr>
        <w:widowControl/>
        <w:wordWrap/>
        <w:adjustRightInd/>
        <w:snapToGrid/>
        <w:spacing w:line="59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年度一般公共预算财政拨款支出</w:t>
      </w:r>
      <w:r>
        <w:rPr>
          <w:rFonts w:hint="eastAsia" w:ascii="楷体_GB2312" w:hAnsi="楷体_GB2312" w:eastAsia="楷体_GB2312"/>
          <w:color w:val="auto"/>
          <w:sz w:val="32"/>
          <w:szCs w:val="44"/>
          <w:highlight w:val="none"/>
          <w:lang w:val="en-US" w:eastAsia="zh-CN"/>
        </w:rPr>
        <w:t>572.00</w:t>
      </w:r>
      <w:r>
        <w:rPr>
          <w:rFonts w:hint="eastAsia" w:ascii="仿宋_GB2312" w:hAnsi="仿宋_GB2312" w:eastAsia="仿宋_GB2312" w:cs="仿宋_GB2312"/>
          <w:color w:val="auto"/>
          <w:sz w:val="32"/>
          <w:szCs w:val="32"/>
          <w:highlight w:val="none"/>
        </w:rPr>
        <w:t>万元，占本年支出合计的100%。与上年度相比，一般公共预算财政拨款支出</w:t>
      </w:r>
      <w:r>
        <w:rPr>
          <w:rFonts w:hint="eastAsia" w:ascii="仿宋_GB2312" w:hAnsi="仿宋_GB2312" w:eastAsia="仿宋_GB2312" w:cs="仿宋_GB2312"/>
          <w:color w:val="auto"/>
          <w:sz w:val="32"/>
          <w:szCs w:val="32"/>
          <w:highlight w:val="none"/>
          <w:lang w:eastAsia="zh-CN"/>
        </w:rPr>
        <w:t>增加</w:t>
      </w:r>
      <w:r>
        <w:rPr>
          <w:rFonts w:hint="eastAsia" w:ascii="楷体_GB2312" w:hAnsi="楷体_GB2312" w:eastAsia="楷体_GB2312"/>
          <w:color w:val="auto"/>
          <w:sz w:val="32"/>
          <w:szCs w:val="44"/>
          <w:highlight w:val="none"/>
          <w:lang w:val="en-US" w:eastAsia="zh-CN"/>
        </w:rPr>
        <w:t>79.28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增长</w:t>
      </w:r>
      <w:r>
        <w:rPr>
          <w:rFonts w:hint="eastAsia" w:ascii="仿宋_GB2312" w:hAnsi="仿宋_GB2312" w:eastAsia="仿宋_GB2312" w:cs="仿宋_GB2312"/>
          <w:color w:val="auto"/>
          <w:sz w:val="32"/>
          <w:szCs w:val="32"/>
          <w:highlight w:val="none"/>
          <w:lang w:val="en-US" w:eastAsia="zh-CN"/>
        </w:rPr>
        <w:t>16.09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事业运行人员工资福利、社会保障和就业支出及项目支出等有所增加</w:t>
      </w:r>
      <w:r>
        <w:rPr>
          <w:rFonts w:hint="eastAsia" w:ascii="仿宋_GB2312" w:hAnsi="仿宋_GB2312" w:eastAsia="仿宋_GB2312" w:cs="仿宋_GB2312"/>
          <w:color w:val="auto"/>
          <w:sz w:val="32"/>
          <w:szCs w:val="32"/>
          <w:highlight w:val="none"/>
        </w:rPr>
        <w:t>。</w:t>
      </w:r>
    </w:p>
    <w:p>
      <w:pPr>
        <w:widowControl/>
        <w:wordWrap/>
        <w:adjustRightInd/>
        <w:snapToGrid/>
        <w:spacing w:line="59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（二）结构情况。</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572.00</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2.19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0.38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社会保障和就业支出</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71.01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12.41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卫生健康</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11.18万元，占1.96%；农林水</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487.62万元，占85.25%。</w:t>
      </w:r>
    </w:p>
    <w:p>
      <w:pPr>
        <w:widowControl/>
        <w:wordWrap/>
        <w:adjustRightInd/>
        <w:snapToGrid/>
        <w:spacing w:line="59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年度一般公共预算财政拨款支出年初预算为</w:t>
      </w:r>
      <w:r>
        <w:rPr>
          <w:rFonts w:hint="eastAsia" w:ascii="楷体_GB2312" w:hAnsi="楷体_GB2312" w:eastAsia="楷体_GB2312"/>
          <w:color w:val="auto"/>
          <w:sz w:val="32"/>
          <w:szCs w:val="44"/>
          <w:highlight w:val="none"/>
          <w:lang w:val="en-US" w:eastAsia="zh-CN"/>
        </w:rPr>
        <w:t>450.37</w:t>
      </w:r>
      <w:r>
        <w:rPr>
          <w:rFonts w:hint="eastAsia" w:ascii="仿宋_GB2312" w:hAnsi="仿宋_GB2312" w:eastAsia="仿宋_GB2312" w:cs="仿宋_GB2312"/>
          <w:color w:val="auto"/>
          <w:sz w:val="32"/>
          <w:szCs w:val="32"/>
          <w:highlight w:val="none"/>
        </w:rPr>
        <w:t>万元，支出决算为</w:t>
      </w:r>
      <w:r>
        <w:rPr>
          <w:rFonts w:hint="eastAsia" w:ascii="楷体_GB2312" w:hAnsi="楷体_GB2312" w:eastAsia="楷体_GB2312"/>
          <w:color w:val="auto"/>
          <w:sz w:val="32"/>
          <w:szCs w:val="44"/>
          <w:highlight w:val="none"/>
          <w:lang w:val="en-US" w:eastAsia="zh-CN"/>
        </w:rPr>
        <w:t>572.00</w:t>
      </w:r>
      <w:r>
        <w:rPr>
          <w:rFonts w:hint="eastAsia" w:ascii="仿宋_GB2312" w:hAnsi="仿宋_GB2312" w:eastAsia="仿宋_GB2312" w:cs="仿宋_GB2312"/>
          <w:color w:val="auto"/>
          <w:sz w:val="32"/>
          <w:szCs w:val="32"/>
          <w:highlight w:val="none"/>
        </w:rPr>
        <w:t>万元，完成年初预算的</w:t>
      </w:r>
      <w:r>
        <w:rPr>
          <w:rFonts w:hint="eastAsia" w:ascii="楷体_GB2312" w:hAnsi="楷体_GB2312" w:eastAsia="楷体_GB2312"/>
          <w:color w:val="auto"/>
          <w:sz w:val="32"/>
          <w:szCs w:val="44"/>
          <w:highlight w:val="none"/>
          <w:lang w:val="en-US" w:eastAsia="zh-CN"/>
        </w:rPr>
        <w:t>127.01</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1．一般公共服务支出（类）群众团体事务（款）工会事务（项）。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2.19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2.19</w:t>
      </w:r>
      <w:r>
        <w:rPr>
          <w:rFonts w:hint="eastAsia" w:ascii="仿宋_GB2312" w:hAnsi="仿宋_GB2312" w:eastAsia="仿宋_GB2312" w:cs="仿宋_GB2312"/>
          <w:color w:val="auto"/>
          <w:sz w:val="32"/>
          <w:szCs w:val="32"/>
          <w:highlight w:val="none"/>
        </w:rPr>
        <w:t>万元，完成年初预算的100%。决算数与年初预算数无差异。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2．社会保障和就业支出（类）行政事业单位养老支出（款）事业单位离退休（项）。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40.61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45.40</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111.80</w:t>
      </w:r>
      <w:r>
        <w:rPr>
          <w:rFonts w:hint="eastAsia" w:ascii="仿宋_GB2312" w:hAnsi="仿宋_GB2312" w:eastAsia="仿宋_GB2312" w:cs="仿宋_GB2312"/>
          <w:color w:val="auto"/>
          <w:sz w:val="32"/>
          <w:szCs w:val="32"/>
          <w:highlight w:val="none"/>
        </w:rPr>
        <w:t>%。决算数与年初预算数存在差异的原因是</w:t>
      </w:r>
      <w:r>
        <w:rPr>
          <w:rFonts w:hint="eastAsia" w:ascii="仿宋_GB2312" w:hAnsi="仿宋_GB2312" w:eastAsia="仿宋_GB2312" w:cs="仿宋_GB2312"/>
          <w:color w:val="auto"/>
          <w:sz w:val="32"/>
          <w:szCs w:val="32"/>
          <w:highlight w:val="none"/>
          <w:lang w:eastAsia="zh-CN"/>
        </w:rPr>
        <w:t>新增</w:t>
      </w:r>
      <w:r>
        <w:rPr>
          <w:rFonts w:hint="eastAsia" w:ascii="仿宋_GB2312" w:hAnsi="仿宋_GB2312" w:eastAsia="仿宋_GB2312" w:cs="仿宋_GB2312"/>
          <w:color w:val="auto"/>
          <w:sz w:val="32"/>
          <w:szCs w:val="32"/>
          <w:highlight w:val="none"/>
        </w:rPr>
        <w:t>退休</w:t>
      </w:r>
      <w:r>
        <w:rPr>
          <w:rFonts w:hint="eastAsia" w:ascii="仿宋_GB2312" w:hAnsi="仿宋_GB2312" w:eastAsia="仿宋_GB2312" w:cs="仿宋_GB2312"/>
          <w:color w:val="auto"/>
          <w:sz w:val="32"/>
          <w:szCs w:val="32"/>
          <w:highlight w:val="none"/>
          <w:lang w:eastAsia="zh-CN"/>
        </w:rPr>
        <w:t>人员一名</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社会保障和就业支出（类）行政事业单位养老支出（款）</w:t>
      </w:r>
      <w:r>
        <w:rPr>
          <w:rFonts w:hint="eastAsia" w:ascii="仿宋_GB2312" w:hAnsi="仿宋_GB2312" w:eastAsia="仿宋_GB2312" w:cs="宋体"/>
          <w:b/>
          <w:bCs/>
          <w:color w:val="auto"/>
          <w:kern w:val="0"/>
          <w:sz w:val="32"/>
          <w:highlight w:val="none"/>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26.06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25.61</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98.27</w:t>
      </w:r>
      <w:r>
        <w:rPr>
          <w:rFonts w:hint="eastAsia" w:ascii="仿宋_GB2312" w:hAnsi="仿宋_GB2312" w:eastAsia="仿宋_GB2312" w:cs="仿宋_GB2312"/>
          <w:color w:val="auto"/>
          <w:sz w:val="32"/>
          <w:szCs w:val="32"/>
          <w:highlight w:val="none"/>
        </w:rPr>
        <w:t>%。决算数与年初预算数存在差异的原因是</w:t>
      </w:r>
      <w:r>
        <w:rPr>
          <w:rFonts w:hint="eastAsia" w:ascii="仿宋_GB2312" w:hAnsi="仿宋_GB2312" w:eastAsia="仿宋_GB2312" w:cs="仿宋_GB2312"/>
          <w:color w:val="auto"/>
          <w:sz w:val="32"/>
          <w:szCs w:val="32"/>
          <w:highlight w:val="none"/>
          <w:lang w:eastAsia="zh-CN"/>
        </w:rPr>
        <w:t>新增</w:t>
      </w:r>
      <w:r>
        <w:rPr>
          <w:rFonts w:hint="eastAsia" w:ascii="仿宋_GB2312" w:hAnsi="仿宋_GB2312" w:eastAsia="仿宋_GB2312" w:cs="仿宋_GB2312"/>
          <w:color w:val="auto"/>
          <w:sz w:val="32"/>
          <w:szCs w:val="32"/>
          <w:highlight w:val="none"/>
        </w:rPr>
        <w:t>退休</w:t>
      </w:r>
      <w:r>
        <w:rPr>
          <w:rFonts w:hint="eastAsia" w:ascii="仿宋_GB2312" w:hAnsi="仿宋_GB2312" w:eastAsia="仿宋_GB2312" w:cs="仿宋_GB2312"/>
          <w:color w:val="auto"/>
          <w:sz w:val="32"/>
          <w:szCs w:val="32"/>
          <w:highlight w:val="none"/>
          <w:lang w:eastAsia="zh-CN"/>
        </w:rPr>
        <w:t>人员一名</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卫生健康支出（类）行政事业单位医疗（款）事业单位医疗（项）。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12.39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11.18</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90.23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在职转退休人员一名</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农林水支出（类）农业农村（款）行政运行（项）。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12.39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0.08</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0.65</w:t>
      </w:r>
      <w:r>
        <w:rPr>
          <w:rFonts w:hint="eastAsia" w:ascii="仿宋_GB2312" w:hAnsi="仿宋_GB2312" w:eastAsia="仿宋_GB2312" w:cs="仿宋_GB2312"/>
          <w:color w:val="auto"/>
          <w:sz w:val="32"/>
          <w:szCs w:val="32"/>
          <w:highlight w:val="none"/>
        </w:rPr>
        <w:t>%。决算数与年初预算数存在差异是我单位有一公务员序列人员调出。</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农林水支出（类）农业农村（款）事业运行（项）。</w:t>
      </w:r>
      <w:r>
        <w:rPr>
          <w:rFonts w:hint="eastAsia" w:ascii="仿宋_GB2312" w:hAnsi="仿宋_GB2312" w:eastAsia="仿宋_GB2312" w:cs="仿宋_GB2312"/>
          <w:color w:val="auto"/>
          <w:sz w:val="32"/>
          <w:szCs w:val="32"/>
          <w:highlight w:val="none"/>
        </w:rPr>
        <w:t>年初预算为369.12万元，支出决算为</w:t>
      </w:r>
      <w:r>
        <w:rPr>
          <w:rFonts w:hint="eastAsia" w:ascii="仿宋_GB2312" w:hAnsi="仿宋_GB2312" w:eastAsia="仿宋_GB2312" w:cs="仿宋_GB2312"/>
          <w:color w:val="auto"/>
          <w:sz w:val="32"/>
          <w:szCs w:val="32"/>
          <w:highlight w:val="none"/>
          <w:lang w:val="en-US" w:eastAsia="zh-CN"/>
        </w:rPr>
        <w:t>383.80</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103.98</w:t>
      </w:r>
      <w:r>
        <w:rPr>
          <w:rFonts w:hint="eastAsia" w:ascii="仿宋_GB2312" w:hAnsi="仿宋_GB2312" w:eastAsia="仿宋_GB2312" w:cs="仿宋_GB2312"/>
          <w:color w:val="auto"/>
          <w:sz w:val="32"/>
          <w:szCs w:val="32"/>
          <w:highlight w:val="none"/>
        </w:rPr>
        <w:t>%。决算数与年初预算数存在差异的原因是我单位</w:t>
      </w:r>
      <w:r>
        <w:rPr>
          <w:rFonts w:hint="eastAsia" w:ascii="仿宋_GB2312" w:hAnsi="仿宋_GB2312" w:eastAsia="仿宋_GB2312" w:cs="仿宋_GB2312"/>
          <w:color w:val="auto"/>
          <w:sz w:val="32"/>
          <w:szCs w:val="32"/>
          <w:highlight w:val="none"/>
          <w:lang w:eastAsia="zh-CN"/>
        </w:rPr>
        <w:t>使用上年度结转资金</w:t>
      </w:r>
      <w:r>
        <w:rPr>
          <w:rFonts w:hint="eastAsia" w:ascii="仿宋_GB2312" w:hAnsi="仿宋_GB2312" w:eastAsia="仿宋_GB2312" w:cs="仿宋_GB2312"/>
          <w:color w:val="auto"/>
          <w:sz w:val="32"/>
          <w:szCs w:val="32"/>
          <w:highlight w:val="none"/>
        </w:rPr>
        <w:t>。</w:t>
      </w:r>
    </w:p>
    <w:p>
      <w:pPr>
        <w:widowControl/>
        <w:numPr>
          <w:ilvl w:val="0"/>
          <w:numId w:val="0"/>
        </w:numPr>
        <w:spacing w:line="59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7.</w:t>
      </w:r>
      <w:r>
        <w:rPr>
          <w:rFonts w:hint="eastAsia" w:ascii="仿宋_GB2312" w:hAnsi="仿宋_GB2312" w:eastAsia="仿宋_GB2312" w:cs="仿宋_GB2312"/>
          <w:b/>
          <w:bCs/>
          <w:color w:val="auto"/>
          <w:sz w:val="32"/>
          <w:szCs w:val="32"/>
          <w:highlight w:val="none"/>
        </w:rPr>
        <w:t>农林水支出（类）农业农村（款）病虫害控制（项）。</w:t>
      </w:r>
      <w:r>
        <w:rPr>
          <w:rFonts w:hint="eastAsia" w:ascii="仿宋_GB2312" w:hAnsi="仿宋_GB2312" w:eastAsia="仿宋_GB2312" w:cs="仿宋_GB2312"/>
          <w:color w:val="auto"/>
          <w:sz w:val="32"/>
          <w:szCs w:val="32"/>
          <w:highlight w:val="none"/>
        </w:rPr>
        <w:t>年初预算为0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103.74</w:t>
      </w:r>
      <w:r>
        <w:rPr>
          <w:rFonts w:hint="eastAsia" w:ascii="仿宋_GB2312" w:hAnsi="仿宋_GB2312" w:eastAsia="仿宋_GB2312" w:cs="仿宋_GB2312"/>
          <w:color w:val="auto"/>
          <w:sz w:val="32"/>
          <w:szCs w:val="32"/>
          <w:highlight w:val="none"/>
        </w:rPr>
        <w:t>万元。决算数与年初预算数存在差异的原因是</w:t>
      </w:r>
      <w:r>
        <w:rPr>
          <w:rFonts w:hint="eastAsia" w:ascii="仿宋_GB2312" w:hAnsi="仿宋_GB2312" w:eastAsia="仿宋_GB2312" w:cs="仿宋_GB2312"/>
          <w:color w:val="auto"/>
          <w:sz w:val="32"/>
          <w:szCs w:val="32"/>
          <w:highlight w:val="none"/>
          <w:lang w:eastAsia="zh-CN"/>
        </w:rPr>
        <w:t>使用上年度项目结转资金支付相关费用</w:t>
      </w:r>
      <w:r>
        <w:rPr>
          <w:rFonts w:hint="eastAsia" w:ascii="仿宋_GB2312" w:hAnsi="仿宋_GB2312" w:eastAsia="仿宋_GB2312" w:cs="仿宋_GB2312"/>
          <w:color w:val="auto"/>
          <w:sz w:val="32"/>
          <w:szCs w:val="32"/>
          <w:highlight w:val="none"/>
        </w:rPr>
        <w:t>。</w:t>
      </w:r>
    </w:p>
    <w:p>
      <w:pPr>
        <w:widowControl/>
        <w:numPr>
          <w:ilvl w:val="0"/>
          <w:numId w:val="0"/>
        </w:numPr>
        <w:spacing w:line="590" w:lineRule="exact"/>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黑体" w:hAnsi="黑体" w:eastAsia="黑体" w:cs="黑体"/>
          <w:color w:val="auto"/>
          <w:sz w:val="32"/>
          <w:szCs w:val="32"/>
          <w:highlight w:val="none"/>
          <w:lang w:val="en-US" w:eastAsia="zh-CN"/>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年度一般公共预算财政拨款基本支出</w:t>
      </w:r>
      <w:r>
        <w:rPr>
          <w:rFonts w:hint="eastAsia" w:ascii="楷体_GB2312" w:hAnsi="楷体_GB2312" w:eastAsia="楷体_GB2312"/>
          <w:color w:val="auto"/>
          <w:sz w:val="32"/>
          <w:szCs w:val="44"/>
          <w:highlight w:val="none"/>
          <w:lang w:val="en-US" w:eastAsia="zh-CN"/>
        </w:rPr>
        <w:t>467.33</w:t>
      </w:r>
      <w:r>
        <w:rPr>
          <w:rFonts w:hint="eastAsia" w:ascii="仿宋_GB2312" w:hAnsi="仿宋_GB2312" w:eastAsia="仿宋_GB2312" w:cs="仿宋_GB2312"/>
          <w:color w:val="auto"/>
          <w:sz w:val="32"/>
          <w:szCs w:val="32"/>
          <w:highlight w:val="none"/>
        </w:rPr>
        <w:t>万元。其中：人员经费</w:t>
      </w:r>
      <w:r>
        <w:rPr>
          <w:rFonts w:hint="eastAsia" w:ascii="楷体_GB2312" w:hAnsi="楷体_GB2312" w:eastAsia="楷体_GB2312"/>
          <w:color w:val="auto"/>
          <w:sz w:val="32"/>
          <w:szCs w:val="44"/>
          <w:highlight w:val="none"/>
          <w:lang w:val="en-US" w:eastAsia="zh-CN"/>
        </w:rPr>
        <w:t>432.56</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万元，主要包括：基本工资、津贴补贴、奖金、绩效工资、机关事业单位基本养老保险缴费、职工基本医疗保险缴费、其他社会保障缴费、住房公积金、其他工资福利支出、退休费、生活补助；公用经费</w:t>
      </w:r>
      <w:r>
        <w:rPr>
          <w:rFonts w:hint="eastAsia" w:ascii="楷体_GB2312" w:hAnsi="楷体_GB2312" w:eastAsia="楷体_GB2312"/>
          <w:color w:val="auto"/>
          <w:sz w:val="32"/>
          <w:szCs w:val="44"/>
          <w:highlight w:val="none"/>
          <w:lang w:val="en-US" w:eastAsia="zh-CN"/>
        </w:rPr>
        <w:t>34.77</w:t>
      </w:r>
      <w:r>
        <w:rPr>
          <w:rFonts w:hint="eastAsia" w:ascii="仿宋_GB2312" w:hAnsi="仿宋_GB2312" w:eastAsia="仿宋_GB2312" w:cs="仿宋_GB2312"/>
          <w:color w:val="auto"/>
          <w:sz w:val="32"/>
          <w:szCs w:val="32"/>
          <w:highlight w:val="none"/>
        </w:rPr>
        <w:t>万元，主要包括：办公费、印刷费、水费、电费、邮电费、差旅费、维修（护）费、专用材料费、</w:t>
      </w:r>
      <w:r>
        <w:rPr>
          <w:rFonts w:hint="eastAsia" w:ascii="仿宋_GB2312" w:hAnsi="仿宋_GB2312" w:eastAsia="仿宋_GB2312" w:cs="仿宋_GB2312"/>
          <w:color w:val="auto"/>
          <w:sz w:val="32"/>
          <w:szCs w:val="32"/>
          <w:highlight w:val="none"/>
          <w:lang w:eastAsia="zh-CN"/>
        </w:rPr>
        <w:t>劳务费、</w:t>
      </w:r>
      <w:r>
        <w:rPr>
          <w:rFonts w:hint="eastAsia" w:ascii="仿宋_GB2312" w:hAnsi="仿宋_GB2312" w:eastAsia="仿宋_GB2312" w:cs="仿宋_GB2312"/>
          <w:color w:val="auto"/>
          <w:sz w:val="32"/>
          <w:szCs w:val="32"/>
          <w:highlight w:val="none"/>
        </w:rPr>
        <w:t>工会经费、福利费、公务用车运行维护费</w:t>
      </w:r>
      <w:r>
        <w:rPr>
          <w:rFonts w:hint="eastAsia" w:ascii="仿宋_GB2312" w:hAnsi="仿宋_GB2312" w:eastAsia="仿宋_GB2312" w:cs="仿宋_GB2312"/>
          <w:color w:val="auto"/>
          <w:sz w:val="32"/>
          <w:szCs w:val="32"/>
          <w:highlight w:val="none"/>
          <w:lang w:eastAsia="zh-CN"/>
        </w:rPr>
        <w:t>。</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七、一般公共预算财政拨款“三公”经费支出决算情况说明</w:t>
      </w:r>
    </w:p>
    <w:p>
      <w:pPr>
        <w:widowControl/>
        <w:wordWrap/>
        <w:adjustRightInd/>
        <w:snapToGrid/>
        <w:spacing w:line="590" w:lineRule="exact"/>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0.99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99.00</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年度“三公”经费支出决算数与预算数存在差异的主要原因是减少了不必要的公务用车</w:t>
      </w:r>
      <w:r>
        <w:rPr>
          <w:rFonts w:hint="eastAsia" w:ascii="仿宋_GB2312" w:hAnsi="仿宋_GB2312" w:eastAsia="仿宋_GB2312" w:cs="仿宋_GB2312"/>
          <w:color w:val="auto"/>
          <w:sz w:val="32"/>
          <w:szCs w:val="32"/>
          <w:highlight w:val="none"/>
          <w:lang w:eastAsia="zh-CN"/>
        </w:rPr>
        <w:t>出行</w:t>
      </w:r>
      <w:r>
        <w:rPr>
          <w:rFonts w:hint="eastAsia" w:ascii="仿宋_GB2312" w:hAnsi="仿宋_GB2312" w:eastAsia="仿宋_GB2312" w:cs="仿宋_GB2312"/>
          <w:color w:val="auto"/>
          <w:sz w:val="32"/>
          <w:szCs w:val="32"/>
          <w:highlight w:val="none"/>
        </w:rPr>
        <w:t>。</w:t>
      </w:r>
    </w:p>
    <w:p>
      <w:pPr>
        <w:widowControl/>
        <w:wordWrap/>
        <w:adjustRightInd/>
        <w:snapToGrid/>
        <w:spacing w:line="590" w:lineRule="exact"/>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年度“三公”经费财政拨款支出决算中，因公出国（境）费支出决算0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0.99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99.00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万元，支出决算为0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lang w:eastAsia="zh-CN"/>
        </w:rPr>
        <w:t>。因公出国（境）团组数0个，因公出国（境）人次数0人。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预算为1</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0.99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99.00</w:t>
      </w:r>
      <w:r>
        <w:rPr>
          <w:rFonts w:hint="eastAsia" w:ascii="仿宋_GB2312" w:hAnsi="仿宋_GB2312" w:eastAsia="仿宋_GB2312" w:cs="仿宋_GB2312"/>
          <w:color w:val="auto"/>
          <w:sz w:val="32"/>
          <w:szCs w:val="32"/>
          <w:highlight w:val="none"/>
        </w:rPr>
        <w:t>%。决算数与预算数存在差异的主要原因是减少了不必要的公务用车。</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万元，购置车辆0辆。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0.99</w:t>
      </w:r>
      <w:r>
        <w:rPr>
          <w:rFonts w:hint="eastAsia" w:ascii="仿宋_GB2312" w:hAnsi="仿宋_GB2312" w:eastAsia="仿宋_GB2312" w:cs="仿宋_GB2312"/>
          <w:color w:val="auto"/>
          <w:sz w:val="32"/>
          <w:szCs w:val="32"/>
          <w:highlight w:val="none"/>
        </w:rPr>
        <w:t>万元。主要用于动物疫情监测。202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年期末，</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开支财政拨款的公务用车保有量为1辆。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万元，支出决算为0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lang w:eastAsia="zh-CN"/>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年共接待国内来访团组0个、来宾0人次（不包括陪同人员）。</w:t>
      </w:r>
    </w:p>
    <w:p>
      <w:pPr>
        <w:widowControl/>
        <w:numPr>
          <w:ilvl w:val="0"/>
          <w:numId w:val="0"/>
        </w:numPr>
        <w:wordWrap/>
        <w:adjustRightInd/>
        <w:snapToGrid/>
        <w:spacing w:line="590" w:lineRule="exact"/>
        <w:ind w:right="0" w:firstLine="64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八、政府性基金预算财政拨款支出决算情况说明</w:t>
      </w:r>
    </w:p>
    <w:p>
      <w:pPr>
        <w:widowControl/>
        <w:numPr>
          <w:ilvl w:val="0"/>
          <w:numId w:val="0"/>
        </w:numPr>
        <w:wordWrap/>
        <w:adjustRightInd/>
        <w:snapToGrid/>
        <w:spacing w:line="590" w:lineRule="exact"/>
        <w:ind w:right="0" w:firstLine="64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2021年度政府性基金预算财政拨款支出年初预算为0.00万元，支出决算为0.00万元。不存在项目年末结转和结余资金数额较大。</w:t>
      </w:r>
    </w:p>
    <w:p>
      <w:pPr>
        <w:widowControl/>
        <w:numPr>
          <w:ilvl w:val="0"/>
          <w:numId w:val="0"/>
        </w:numPr>
        <w:wordWrap/>
        <w:adjustRightInd/>
        <w:snapToGrid/>
        <w:spacing w:line="590" w:lineRule="exact"/>
        <w:ind w:right="0" w:firstLine="64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情况说明：我单位2021年度没有政府性基金收入，也没有使用政府性基金安排的支出。</w:t>
      </w:r>
    </w:p>
    <w:p>
      <w:pPr>
        <w:widowControl/>
        <w:numPr>
          <w:ilvl w:val="0"/>
          <w:numId w:val="0"/>
        </w:numPr>
        <w:wordWrap/>
        <w:adjustRightInd/>
        <w:snapToGrid/>
        <w:spacing w:line="590" w:lineRule="exact"/>
        <w:ind w:right="0" w:firstLine="64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九、机关运行经费支出情况说明</w:t>
      </w:r>
    </w:p>
    <w:p>
      <w:pPr>
        <w:widowControl/>
        <w:numPr>
          <w:ilvl w:val="0"/>
          <w:numId w:val="0"/>
        </w:numPr>
        <w:wordWrap/>
        <w:adjustRightInd/>
        <w:snapToGrid/>
        <w:spacing w:line="590" w:lineRule="exact"/>
        <w:ind w:right="0" w:firstLine="64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2021年度机关运行经费年初预算为0.00万元，支出决算为0.00万元。决算数与年初预算数不存在差异。</w:t>
      </w:r>
    </w:p>
    <w:p>
      <w:pPr>
        <w:widowControl/>
        <w:numPr>
          <w:ilvl w:val="0"/>
          <w:numId w:val="0"/>
        </w:numPr>
        <w:wordWrap/>
        <w:adjustRightInd/>
        <w:snapToGrid/>
        <w:spacing w:line="590" w:lineRule="exact"/>
        <w:ind w:right="0" w:firstLine="64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情况说明：我单位不是行政机关，也不是参照公务员管理事业单位，没有机关运行经费支出。</w:t>
      </w:r>
    </w:p>
    <w:p>
      <w:pPr>
        <w:widowControl/>
        <w:numPr>
          <w:ilvl w:val="0"/>
          <w:numId w:val="0"/>
        </w:numPr>
        <w:wordWrap/>
        <w:adjustRightInd/>
        <w:snapToGrid/>
        <w:spacing w:line="590" w:lineRule="exact"/>
        <w:ind w:left="210" w:leftChars="0" w:right="0"/>
        <w:jc w:val="both"/>
        <w:textAlignment w:val="auto"/>
        <w:outlineLvl w:val="1"/>
        <w:rPr>
          <w:rFonts w:hint="eastAsia" w:ascii="仿宋" w:hAnsi="仿宋" w:eastAsia="仿宋" w:cs="仿宋"/>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十、政府采购支出情况说明</w:t>
      </w:r>
    </w:p>
    <w:p>
      <w:pPr>
        <w:widowControl/>
        <w:numPr>
          <w:ilvl w:val="0"/>
          <w:numId w:val="0"/>
        </w:numPr>
        <w:wordWrap/>
        <w:adjustRightInd/>
        <w:snapToGrid/>
        <w:spacing w:line="590" w:lineRule="exact"/>
        <w:ind w:right="0" w:firstLine="640"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年度政府采购支出总额59.86万元，其中：政府采购货物支出59.86万元、政府采购工程支出0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万元、政府采购服务支出0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万元。授予中小企业合同金额59.86万元，占政府采购支出总额的100%，其中：授予小微企业合同金额59.86万元，占政府采购支出总额的100%。</w:t>
      </w:r>
    </w:p>
    <w:p>
      <w:pPr>
        <w:widowControl/>
        <w:numPr>
          <w:ilvl w:val="0"/>
          <w:numId w:val="0"/>
        </w:numPr>
        <w:wordWrap/>
        <w:adjustRightInd/>
        <w:snapToGrid/>
        <w:spacing w:line="590" w:lineRule="exact"/>
        <w:ind w:left="210" w:leftChars="0" w:right="0" w:firstLine="320" w:firstLineChars="1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十一、国有资产占用情况说明</w:t>
      </w:r>
    </w:p>
    <w:p>
      <w:pPr>
        <w:widowControl/>
        <w:numPr>
          <w:ilvl w:val="0"/>
          <w:numId w:val="0"/>
        </w:numPr>
        <w:wordWrap/>
        <w:adjustRightInd/>
        <w:snapToGrid/>
        <w:spacing w:line="590" w:lineRule="exact"/>
        <w:ind w:right="0" w:firstLine="640"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年期末，我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共有车辆1辆，其中：省级领导干部用车0辆、主要领导干部用车0辆、机要通信用车0辆、应急保障车0辆、执法执勤用</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车辆、特种专业技术用车0辆、离退休干部用车0辆、其他用车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万元以上通用设备0台（套），单位价值100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万元以上专用设备1台（套）。</w:t>
      </w:r>
    </w:p>
    <w:p>
      <w:pPr>
        <w:widowControl/>
        <w:wordWrap/>
        <w:adjustRightInd/>
        <w:snapToGrid/>
        <w:spacing w:line="590" w:lineRule="exact"/>
        <w:ind w:left="0" w:leftChars="0" w:right="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十二、预算绩效情况说明</w:t>
      </w:r>
    </w:p>
    <w:p>
      <w:pPr>
        <w:widowControl/>
        <w:wordWrap/>
        <w:adjustRightInd/>
        <w:snapToGrid/>
        <w:spacing w:line="590" w:lineRule="exact"/>
        <w:ind w:left="0" w:leftChars="0"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我单位按照《中共许昌市委</w:t>
      </w:r>
      <w:r>
        <w:rPr>
          <w:rFonts w:hint="eastAsia" w:ascii="仿宋_GB2312" w:hAnsi="仿宋_GB2312" w:eastAsia="仿宋_GB2312" w:cs="仿宋_GB2312"/>
          <w:color w:val="auto"/>
          <w:sz w:val="32"/>
          <w:szCs w:val="32"/>
          <w:highlight w:val="none"/>
          <w:lang w:val="en-US" w:eastAsia="zh-CN"/>
        </w:rPr>
        <w:t xml:space="preserve"> 许昌市人民政府关于全面实施预算绩效管理的实施意见</w:t>
      </w:r>
      <w:r>
        <w:rPr>
          <w:rFonts w:hint="eastAsia" w:ascii="仿宋_GB2312" w:hAnsi="仿宋_GB2312" w:eastAsia="仿宋_GB2312" w:cs="仿宋_GB2312"/>
          <w:color w:val="auto"/>
          <w:sz w:val="32"/>
          <w:szCs w:val="32"/>
          <w:highlight w:val="none"/>
          <w:lang w:eastAsia="zh-CN"/>
        </w:rPr>
        <w:t>》（许发〔</w:t>
      </w:r>
      <w:r>
        <w:rPr>
          <w:rFonts w:hint="eastAsia" w:ascii="仿宋_GB2312" w:hAnsi="仿宋_GB2312" w:eastAsia="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13号</w:t>
      </w:r>
      <w:r>
        <w:rPr>
          <w:rFonts w:hint="eastAsia" w:ascii="仿宋_GB2312" w:hAnsi="仿宋_GB2312" w:eastAsia="仿宋_GB2312" w:cs="仿宋_GB2312"/>
          <w:color w:val="auto"/>
          <w:sz w:val="32"/>
          <w:szCs w:val="32"/>
          <w:highlight w:val="none"/>
          <w:lang w:eastAsia="zh-CN"/>
        </w:rPr>
        <w:t>）文件要求，对我单位整体支出和项目支出开展全过程预算绩效管理。我单位已全面开展绩效管理工作。开展了口蹄疫等主要动物疫病监测检验≧</w:t>
      </w:r>
      <w:r>
        <w:rPr>
          <w:rFonts w:hint="eastAsia" w:ascii="仿宋_GB2312" w:hAnsi="仿宋_GB2312" w:eastAsia="仿宋_GB2312" w:cs="仿宋_GB2312"/>
          <w:color w:val="auto"/>
          <w:sz w:val="32"/>
          <w:szCs w:val="32"/>
          <w:highlight w:val="none"/>
          <w:lang w:val="en-US" w:eastAsia="zh-CN"/>
        </w:rPr>
        <w:t>3770项次；</w:t>
      </w:r>
      <w:r>
        <w:rPr>
          <w:rFonts w:hint="eastAsia" w:ascii="仿宋_GB2312" w:hAnsi="仿宋_GB2312" w:eastAsia="仿宋_GB2312" w:cs="仿宋_GB2312"/>
          <w:color w:val="auto"/>
          <w:sz w:val="32"/>
          <w:szCs w:val="32"/>
          <w:highlight w:val="none"/>
          <w:lang w:eastAsia="zh-CN"/>
        </w:rPr>
        <w:t>完成强制免疫病种应免疫畜禽的密度≧</w:t>
      </w:r>
      <w:r>
        <w:rPr>
          <w:rFonts w:hint="eastAsia" w:ascii="仿宋_GB2312" w:hAnsi="仿宋_GB2312" w:eastAsia="仿宋_GB2312" w:cs="仿宋_GB2312"/>
          <w:color w:val="auto"/>
          <w:sz w:val="32"/>
          <w:szCs w:val="32"/>
          <w:highlight w:val="none"/>
          <w:lang w:val="en-US" w:eastAsia="zh-CN"/>
        </w:rPr>
        <w:t>90.00%；</w:t>
      </w:r>
      <w:r>
        <w:rPr>
          <w:rFonts w:hint="eastAsia" w:ascii="仿宋_GB2312" w:hAnsi="仿宋_GB2312" w:eastAsia="仿宋_GB2312" w:cs="仿宋_GB2312"/>
          <w:color w:val="auto"/>
          <w:sz w:val="32"/>
          <w:szCs w:val="32"/>
          <w:highlight w:val="none"/>
          <w:lang w:eastAsia="zh-CN"/>
        </w:rPr>
        <w:t>使口蹄疫、高致病性禽流感、布病等优先防治病种疫情保持平稳</w:t>
      </w:r>
      <w:r>
        <w:rPr>
          <w:rFonts w:hint="eastAsia" w:ascii="仿宋_GB2312" w:hAnsi="仿宋_GB2312" w:eastAsia="仿宋_GB2312" w:cs="仿宋_GB2312"/>
          <w:color w:val="auto"/>
          <w:sz w:val="32"/>
          <w:szCs w:val="32"/>
          <w:highlight w:val="none"/>
        </w:rPr>
        <w:t>。</w:t>
      </w:r>
    </w:p>
    <w:p>
      <w:pPr>
        <w:ind w:firstLine="643" w:firstLineChars="200"/>
        <w:outlineLvl w:val="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left="0" w:leftChars="0" w:right="0" w:firstLine="964"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color w:val="auto"/>
          <w:sz w:val="32"/>
          <w:szCs w:val="32"/>
          <w:highlight w:val="none"/>
        </w:rPr>
        <w:t>（许财效〔</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按时保质保量完成全年的日常工作。二是项目绩效自评情况。我单位共有1个项目批复了绩效目标，项目金额42.00万元。</w:t>
      </w:r>
    </w:p>
    <w:p>
      <w:pPr>
        <w:widowControl/>
        <w:wordWrap/>
        <w:adjustRightInd/>
        <w:snapToGrid/>
        <w:spacing w:line="360" w:lineRule="auto"/>
        <w:ind w:right="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基于项目预期目标的实现程度，对2021年度项目支出绩效进行自评，绩效自评平均得分为86分。其中：0个项目评价等级为“优”、1个项目评价等级为“良”、0个项目评价等级为“中”、0个项目评价等级为“差”。</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（三）重点项目绩效自评结果。</w:t>
      </w:r>
    </w:p>
    <w:p>
      <w:pPr>
        <w:widowControl/>
        <w:wordWrap/>
        <w:adjustRightInd/>
        <w:snapToGrid/>
        <w:spacing w:line="590" w:lineRule="exact"/>
        <w:ind w:left="0" w:leftChars="0" w:right="0" w:firstLine="960" w:firstLineChars="3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w:t>
      </w:r>
      <w:r>
        <w:rPr>
          <w:rFonts w:hint="eastAsia" w:ascii="仿宋_GB2312" w:eastAsia="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lang w:val="en-US" w:eastAsia="zh-CN"/>
        </w:rPr>
        <w:t>没有开展重点项目绩效评价的项目。</w:t>
      </w: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widowControl/>
        <w:jc w:val="left"/>
        <w:rPr>
          <w:rFonts w:hint="eastAsia" w:ascii="黑体" w:hAnsi="宋体" w:eastAsia="黑体" w:cs="宋体"/>
          <w:color w:val="auto"/>
          <w:kern w:val="0"/>
          <w:sz w:val="28"/>
          <w:szCs w:val="28"/>
          <w:highlight w:val="none"/>
          <w:lang w:val="en-US" w:eastAsia="zh-CN"/>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w:t>
      </w:r>
      <w:r>
        <w:rPr>
          <w:rFonts w:hint="eastAsia" w:ascii="黑体" w:hAnsi="黑体" w:eastAsia="黑体" w:cs="黑体"/>
          <w:color w:val="auto"/>
          <w:sz w:val="48"/>
          <w:szCs w:val="48"/>
          <w:highlight w:val="none"/>
          <w:lang w:eastAsia="zh-CN"/>
        </w:rPr>
        <w:t>四</w:t>
      </w:r>
      <w:r>
        <w:rPr>
          <w:rFonts w:hint="eastAsia" w:ascii="黑体" w:hAnsi="黑体" w:eastAsia="黑体" w:cs="黑体"/>
          <w:color w:val="auto"/>
          <w:sz w:val="48"/>
          <w:szCs w:val="48"/>
          <w:highlight w:val="none"/>
        </w:rPr>
        <w:t>部分</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rPr>
        <w:t>名词解释</w:t>
      </w:r>
    </w:p>
    <w:p>
      <w:pPr>
        <w:jc w:val="center"/>
        <w:outlineLvl w:val="9"/>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rtlGutter w:val="0"/>
          <w:docGrid w:type="lines" w:linePitch="317" w:charSpace="0"/>
        </w:sectPr>
      </w:pP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单位从同级政府财政部门取得的财政预算资金。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六、其他收入：单位取得的除“财政拨款收入”、“事业收入”、“上级补助收入”、“附属单位上缴收入”、“经营收入”以外的各项收入。</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widowControl/>
        <w:wordWrap/>
        <w:adjustRightInd/>
        <w:snapToGrid/>
        <w:spacing w:line="360" w:lineRule="auto"/>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pPr>
        <w:widowControl/>
        <w:wordWrap/>
        <w:adjustRightInd/>
        <w:snapToGrid/>
        <w:spacing w:line="590" w:lineRule="exact"/>
        <w:ind w:left="0" w:leftChars="0" w:right="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5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wps:txbx>
                    <wps:bodyPr wrap="none" lIns="0" tIns="0" rIns="0" bIns="0" upright="1">
                      <a:spAutoFit/>
                    </wps:bodyPr>
                  </wps:wsp>
                </a:graphicData>
              </a:graphic>
            </wp:anchor>
          </w:drawing>
        </mc:Choice>
        <mc:Fallback>
          <w:pict>
            <v:rect id="文本框 205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ocKKAsYBAACSAwAADgAAAAAAAAABACAAAAAf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- 3 -</w:t>
                    </w:r>
                    <w:r>
                      <w:rPr>
                        <w:rFonts w:hint="eastAsia"/>
                        <w:sz w:val="18"/>
                        <w:lang w:eastAsia="zh-CN"/>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5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wrap="none" lIns="0" tIns="0" rIns="0" bIns="0" upright="1">
                      <a:spAutoFit/>
                    </wps:bodyPr>
                  </wps:wsp>
                </a:graphicData>
              </a:graphic>
            </wp:anchor>
          </w:drawing>
        </mc:Choice>
        <mc:Fallback>
          <w:pict>
            <v:rect id="文本框 2055"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jaQrOcYBAACSAwAADgAAAAAAAAABACAAAAAf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089F7"/>
    <w:multiLevelType w:val="singleLevel"/>
    <w:tmpl w:val="FE0089F7"/>
    <w:lvl w:ilvl="0" w:tentative="0">
      <w:start w:val="1"/>
      <w:numFmt w:val="chineseCounting"/>
      <w:suff w:val="space"/>
      <w:lvlText w:val="第%1部分"/>
      <w:lvlJc w:val="left"/>
      <w:rPr>
        <w:rFonts w:hint="eastAsia"/>
      </w:rPr>
    </w:lvl>
  </w:abstractNum>
  <w:abstractNum w:abstractNumId="1">
    <w:nsid w:val="0000000A"/>
    <w:multiLevelType w:val="singleLevel"/>
    <w:tmpl w:val="0000000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00000"/>
    <w:rsid w:val="4F2D5EF7"/>
    <w:rsid w:val="555F0372"/>
    <w:rsid w:val="5CA54D24"/>
    <w:rsid w:val="6D703541"/>
    <w:rsid w:val="701D4E09"/>
    <w:rsid w:val="72E60BBB"/>
    <w:rsid w:val="7A7A7C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5"/>
    <w:qFormat/>
    <w:uiPriority w:val="0"/>
    <w:rPr>
      <w:kern w:val="2"/>
      <w:sz w:val="18"/>
      <w:szCs w:val="18"/>
    </w:rPr>
  </w:style>
  <w:style w:type="paragraph" w:styleId="5">
    <w:name w:val="footer"/>
    <w:basedOn w:val="1"/>
    <w:link w:val="16"/>
    <w:qFormat/>
    <w:uiPriority w:val="0"/>
    <w:pPr>
      <w:tabs>
        <w:tab w:val="center" w:pos="4153"/>
        <w:tab w:val="right" w:pos="8306"/>
      </w:tabs>
      <w:snapToGrid w:val="0"/>
      <w:jc w:val="left"/>
    </w:pPr>
    <w:rPr>
      <w:kern w:val="2"/>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kern w:val="2"/>
      <w:sz w:val="18"/>
      <w:szCs w:val="18"/>
    </w:rPr>
  </w:style>
  <w:style w:type="paragraph" w:styleId="7">
    <w:name w:val="footnote text"/>
    <w:basedOn w:val="1"/>
    <w:qFormat/>
    <w:uiPriority w:val="0"/>
    <w:pPr>
      <w:snapToGrid w:val="0"/>
      <w:jc w:val="left"/>
    </w:pPr>
    <w:rPr>
      <w:sz w:val="18"/>
    </w:rPr>
  </w:style>
  <w:style w:type="character" w:styleId="10">
    <w:name w:val="FollowedHyperlink"/>
    <w:qFormat/>
    <w:uiPriority w:val="0"/>
    <w:rPr>
      <w:color w:val="800080"/>
      <w:u w:val="single"/>
    </w:rPr>
  </w:style>
  <w:style w:type="character" w:styleId="11">
    <w:name w:val="Hyperlink"/>
    <w:qFormat/>
    <w:uiPriority w:val="0"/>
    <w:rPr>
      <w:color w:val="0000FF"/>
      <w:u w:val="single"/>
    </w:rPr>
  </w:style>
  <w:style w:type="character" w:styleId="12">
    <w:name w:val="footnote reference"/>
    <w:basedOn w:val="9"/>
    <w:qFormat/>
    <w:uiPriority w:val="0"/>
    <w:rPr>
      <w:vertAlign w:val="superscript"/>
    </w:rPr>
  </w:style>
  <w:style w:type="paragraph" w:customStyle="1" w:styleId="13">
    <w:name w:val="标题1"/>
    <w:basedOn w:val="2"/>
    <w:qFormat/>
    <w:uiPriority w:val="0"/>
    <w:pPr>
      <w:spacing w:before="0" w:after="0" w:line="240" w:lineRule="auto"/>
      <w:jc w:val="center"/>
    </w:pPr>
    <w:rPr>
      <w:rFonts w:ascii="华文中宋" w:hAnsi="华文中宋" w:eastAsia="华文中宋"/>
      <w:sz w:val="36"/>
      <w:szCs w:val="36"/>
    </w:rPr>
  </w:style>
  <w:style w:type="character" w:customStyle="1" w:styleId="14">
    <w:name w:val="font11"/>
    <w:basedOn w:val="9"/>
    <w:qFormat/>
    <w:uiPriority w:val="0"/>
    <w:rPr>
      <w:rFonts w:hint="eastAsia" w:ascii="宋体" w:hAnsi="宋体" w:eastAsia="宋体" w:cs="宋体"/>
      <w:color w:val="000000"/>
      <w:sz w:val="20"/>
      <w:szCs w:val="20"/>
      <w:u w:val="none"/>
    </w:rPr>
  </w:style>
  <w:style w:type="character" w:customStyle="1" w:styleId="15">
    <w:name w:val="批注框文本 Char Char"/>
    <w:basedOn w:val="9"/>
    <w:link w:val="4"/>
    <w:qFormat/>
    <w:uiPriority w:val="0"/>
    <w:rPr>
      <w:kern w:val="2"/>
      <w:sz w:val="18"/>
      <w:szCs w:val="18"/>
    </w:rPr>
  </w:style>
  <w:style w:type="character" w:customStyle="1" w:styleId="16">
    <w:name w:val="页脚 Char Char"/>
    <w:link w:val="5"/>
    <w:qFormat/>
    <w:uiPriority w:val="0"/>
    <w:rPr>
      <w:kern w:val="2"/>
      <w:sz w:val="18"/>
      <w:szCs w:val="18"/>
    </w:rPr>
  </w:style>
  <w:style w:type="character" w:customStyle="1" w:styleId="17">
    <w:name w:val="页眉 Char Char"/>
    <w:link w:val="6"/>
    <w:qFormat/>
    <w:uiPriority w:val="0"/>
    <w:rPr>
      <w:kern w:val="2"/>
      <w:sz w:val="18"/>
      <w:szCs w:val="18"/>
    </w:rPr>
  </w:style>
  <w:style w:type="character" w:customStyle="1" w:styleId="18">
    <w:name w:val="font01"/>
    <w:basedOn w:val="9"/>
    <w:qFormat/>
    <w:uiPriority w:val="0"/>
    <w:rPr>
      <w:rFonts w:hint="eastAsia" w:ascii="宋体" w:hAnsi="宋体" w:eastAsia="宋体" w:cs="宋体"/>
      <w:color w:val="000000"/>
      <w:sz w:val="22"/>
      <w:szCs w:val="22"/>
      <w:u w:val="none"/>
    </w:rPr>
  </w:style>
  <w:style w:type="character" w:customStyle="1" w:styleId="19">
    <w:name w:val="font51"/>
    <w:basedOn w:val="9"/>
    <w:qFormat/>
    <w:uiPriority w:val="0"/>
    <w:rPr>
      <w:rFonts w:hint="eastAsia" w:ascii="宋体" w:hAnsi="宋体" w:eastAsia="宋体" w:cs="宋体"/>
      <w:color w:val="000000"/>
      <w:sz w:val="24"/>
      <w:szCs w:val="24"/>
      <w:u w:val="none"/>
    </w:rPr>
  </w:style>
  <w:style w:type="character" w:customStyle="1" w:styleId="20">
    <w:name w:val="font41"/>
    <w:basedOn w:val="9"/>
    <w:qFormat/>
    <w:uiPriority w:val="0"/>
    <w:rPr>
      <w:rFonts w:hint="eastAsia" w:ascii="宋体" w:hAnsi="宋体" w:eastAsia="宋体" w:cs="宋体"/>
      <w:color w:val="000000"/>
      <w:sz w:val="24"/>
      <w:szCs w:val="24"/>
      <w:u w:val="none"/>
    </w:rPr>
  </w:style>
  <w:style w:type="character" w:customStyle="1" w:styleId="21">
    <w:name w:val="font2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7763</Words>
  <Characters>9594</Characters>
  <Lines>57</Lines>
  <Paragraphs>16</Paragraphs>
  <TotalTime>18</TotalTime>
  <ScaleCrop>false</ScaleCrop>
  <LinksUpToDate>false</LinksUpToDate>
  <CharactersWithSpaces>9830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2023-09-17T11:21:49Z</dcterms:modified>
  <dc:title>2020年度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17AE41127A684F5BBB6AB0BF3BEADFEF_13</vt:lpwstr>
  </property>
</Properties>
</file>