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许昌市农村能源管理工作站单位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许昌市农村能源管理工作站</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许昌市农村能源管理工作站</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1、贯彻执行国家、省、市有关法律、法规和农村能源环保方针、政策；研究拟定全市农村能源开发利用的中长期发展规划和年度计划，经批准后实施。</w:t>
      </w:r>
    </w:p>
    <w:p>
      <w:pPr>
        <w:spacing w:line="60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2、对农村沼气、太阳能、风能、生物能等可再生能源开发利用新技术和新产品组织试验、示范和推广。</w:t>
      </w:r>
    </w:p>
    <w:p>
      <w:pPr>
        <w:spacing w:line="60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3、负责生态农业环境监测，基本农田保护区的环境质量调查、检测和评估，组织实施生态农业试点示范和推广。</w:t>
      </w:r>
    </w:p>
    <w:p>
      <w:pPr>
        <w:spacing w:line="60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4、承担国家和省农村能源、农业环保项目的技术指导、督查、验收工作。</w:t>
      </w:r>
    </w:p>
    <w:p>
      <w:pPr>
        <w:spacing w:line="60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5、指导农村能源和农业环保服务体系建设及技术推广活动，负责组织技术培训、技术咨询信息服务。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pStyle w:val="17"/>
        <w:tabs>
          <w:tab w:val="left" w:pos="0"/>
        </w:tabs>
        <w:spacing w:before="0" w:beforeLines="0" w:beforeAutospacing="0" w:after="0" w:afterLines="0" w:afterAutospacing="0" w:line="640" w:lineRule="exact"/>
        <w:ind w:firstLine="480" w:firstLineChars="150"/>
        <w:jc w:val="both"/>
        <w:rPr>
          <w:rFonts w:hint="eastAsia" w:ascii="仿宋" w:hAnsi="仿宋" w:eastAsia="仿宋" w:cs="仿宋"/>
          <w:bCs/>
          <w:color w:val="auto"/>
          <w:sz w:val="32"/>
          <w:szCs w:val="32"/>
          <w:highlight w:val="none"/>
          <w:shd w:val="clear" w:color="auto" w:fill="FFFFFF"/>
        </w:rPr>
      </w:pPr>
      <w:r>
        <w:rPr>
          <w:rFonts w:hint="eastAsia" w:ascii="仿宋_GB2312" w:hAnsi="仿宋_GB2312" w:eastAsia="仿宋_GB2312" w:cs="仿宋_GB2312"/>
          <w:color w:val="auto"/>
          <w:kern w:val="0"/>
          <w:sz w:val="32"/>
          <w:szCs w:val="32"/>
          <w:highlight w:val="none"/>
          <w:lang w:val="en-US" w:eastAsia="zh-CN"/>
        </w:rPr>
        <w:t>许昌市农村能源管理工作站</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办公室</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计划财务科、农村能源科、农业环境保护科。</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许昌市农村能源管理工作站</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许昌市农村能源管理工作站</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007"/>
        <w:gridCol w:w="4444"/>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004"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：许昌市农村能源管理工作站</w:t>
            </w: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111"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收入</w:t>
            </w:r>
          </w:p>
        </w:tc>
        <w:tc>
          <w:tcPr>
            <w:tcW w:w="689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    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    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一、财政拨款收入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148.80</w:t>
            </w: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二、上级补助收入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30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三、事业收入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31</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四、经营收入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五、附属单位上缴收入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33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六、其他收入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34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八、社会保障和就业支出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九、卫生健康支出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十、节能环保支出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十一、城乡社区支出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十二、农林水支出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十三、交通运输支出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41</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十四、资源勘探信息等支出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十五、商业服务等支出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十六、金融支出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十七、援助其他地区支出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十九、住房保障支出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20</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二十、粮油物资储备支出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二十一、灾害防治及应急管理支出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49</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二十二、其他支出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50</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51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148.80</w:t>
            </w: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170.77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26</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21.96</w:t>
            </w:r>
          </w:p>
        </w:tc>
        <w:tc>
          <w:tcPr>
            <w:tcW w:w="44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27</w:t>
            </w:r>
          </w:p>
        </w:tc>
        <w:tc>
          <w:tcPr>
            <w:tcW w:w="100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444"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55</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28</w:t>
            </w:r>
          </w:p>
        </w:tc>
        <w:tc>
          <w:tcPr>
            <w:tcW w:w="100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170.77</w:t>
            </w:r>
          </w:p>
        </w:tc>
        <w:tc>
          <w:tcPr>
            <w:tcW w:w="4444"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56</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170.77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004"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240"/>
        <w:gridCol w:w="3363"/>
        <w:gridCol w:w="240"/>
        <w:gridCol w:w="1110"/>
        <w:gridCol w:w="1395"/>
        <w:gridCol w:w="451"/>
        <w:gridCol w:w="1109"/>
        <w:gridCol w:w="796"/>
        <w:gridCol w:w="614"/>
        <w:gridCol w:w="587"/>
        <w:gridCol w:w="838"/>
        <w:gridCol w:w="900"/>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4"/>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363"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5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38" w:type="dxa"/>
            <w:tcBorders>
              <w:top w:val="nil"/>
              <w:left w:val="nil"/>
              <w:bottom w:val="nil"/>
              <w:right w:val="nil"/>
            </w:tcBorders>
            <w:noWrap w:val="0"/>
            <w:tcMar>
              <w:top w:w="15" w:type="dxa"/>
              <w:left w:w="15" w:type="dxa"/>
              <w:right w:w="15" w:type="dxa"/>
            </w:tcMar>
            <w:vAlign w:val="center"/>
          </w:tcPr>
          <w:p>
            <w:pPr>
              <w:jc w:val="both"/>
              <w:rPr>
                <w:rFonts w:hint="eastAsia" w:ascii="宋体" w:hAnsi="宋体" w:cs="宋体"/>
                <w:color w:val="auto"/>
                <w:sz w:val="20"/>
                <w:szCs w:val="20"/>
                <w:highlight w:val="none"/>
              </w:rPr>
            </w:pPr>
          </w:p>
        </w:tc>
        <w:tc>
          <w:tcPr>
            <w:tcW w:w="2075"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4630" w:type="dxa"/>
            <w:gridSpan w:val="3"/>
            <w:tcBorders>
              <w:top w:val="nil"/>
              <w:left w:val="nil"/>
              <w:bottom w:val="nil"/>
              <w:right w:val="nil"/>
            </w:tcBorders>
            <w:noWrap w:val="0"/>
            <w:tcMar>
              <w:top w:w="15" w:type="dxa"/>
              <w:left w:w="15" w:type="dxa"/>
              <w:right w:w="15" w:type="dxa"/>
            </w:tcMar>
            <w:vAlign w:val="center"/>
          </w:tcPr>
          <w:p>
            <w:pPr>
              <w:ind w:right="400"/>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：许昌市农村能源管理工作站</w:t>
            </w:r>
          </w:p>
        </w:tc>
        <w:tc>
          <w:tcPr>
            <w:tcW w:w="24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51"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38"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075"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630" w:type="dxa"/>
            <w:gridSpan w:val="3"/>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项    目</w:t>
            </w:r>
          </w:p>
        </w:tc>
        <w:tc>
          <w:tcPr>
            <w:tcW w:w="135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本年收入合计</w:t>
            </w:r>
          </w:p>
        </w:tc>
        <w:tc>
          <w:tcPr>
            <w:tcW w:w="1395"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财政拨款收入</w:t>
            </w:r>
          </w:p>
        </w:tc>
        <w:tc>
          <w:tcPr>
            <w:tcW w:w="156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上级补助收入</w:t>
            </w:r>
          </w:p>
        </w:tc>
        <w:tc>
          <w:tcPr>
            <w:tcW w:w="141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事业收入</w:t>
            </w:r>
          </w:p>
        </w:tc>
        <w:tc>
          <w:tcPr>
            <w:tcW w:w="142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经营收入</w:t>
            </w:r>
          </w:p>
        </w:tc>
        <w:tc>
          <w:tcPr>
            <w:tcW w:w="90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附属单位上缴收入</w:t>
            </w:r>
          </w:p>
        </w:tc>
        <w:tc>
          <w:tcPr>
            <w:tcW w:w="1175"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功能分类</w:t>
            </w:r>
          </w:p>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科目编码</w:t>
            </w:r>
          </w:p>
        </w:tc>
        <w:tc>
          <w:tcPr>
            <w:tcW w:w="3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科目名称</w:t>
            </w:r>
          </w:p>
        </w:tc>
        <w:tc>
          <w:tcPr>
            <w:tcW w:w="13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395"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90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175"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3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395"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90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c>
          <w:tcPr>
            <w:tcW w:w="1175"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63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栏次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630"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合计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148.80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148.80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201</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一般公共服务支出</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70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70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20129</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群众团体事务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70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70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2012906</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工会事务</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70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70</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208</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社会保障和就业支出</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2.29</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2.29</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6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20805</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行政事业单位养老支出</w:t>
            </w: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22.29</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22.29</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2080502</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事业单位离退休</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15.99</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15.99</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2080505</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机关事业单位基本养老保险缴费支出</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6.30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6.30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210</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卫生健康支出</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val="en-US" w:eastAsia="zh-CN"/>
              </w:rPr>
              <w:t>.21</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val="en-US" w:eastAsia="zh-CN"/>
              </w:rPr>
              <w:t>.21</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21011</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行政事业单位医疗</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lang w:val="en-US" w:eastAsia="zh-CN"/>
              </w:rPr>
              <w:t>.21</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lang w:val="en-US" w:eastAsia="zh-CN"/>
              </w:rPr>
              <w:t>.21</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2101102</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事业单位医疗</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lang w:val="en-US" w:eastAsia="zh-CN"/>
              </w:rPr>
              <w:t>21</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lang w:val="en-US" w:eastAsia="zh-CN"/>
              </w:rPr>
              <w:t>21</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213</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农林水支出</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122.60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122.60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21301</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农业</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122.60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122.60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2130104</w:t>
            </w:r>
          </w:p>
        </w:tc>
        <w:tc>
          <w:tcPr>
            <w:tcW w:w="33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事业运行</w:t>
            </w:r>
          </w:p>
        </w:tc>
        <w:tc>
          <w:tcPr>
            <w:tcW w:w="13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122.60</w:t>
            </w:r>
          </w:p>
        </w:tc>
        <w:tc>
          <w:tcPr>
            <w:tcW w:w="139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122.60</w:t>
            </w: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1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0" w:type="auto"/>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1"/>
        <w:gridCol w:w="63"/>
        <w:gridCol w:w="27"/>
        <w:gridCol w:w="3405"/>
        <w:gridCol w:w="90"/>
        <w:gridCol w:w="1402"/>
        <w:gridCol w:w="400"/>
        <w:gridCol w:w="1325"/>
        <w:gridCol w:w="476"/>
        <w:gridCol w:w="1129"/>
        <w:gridCol w:w="673"/>
        <w:gridCol w:w="797"/>
        <w:gridCol w:w="1004"/>
        <w:gridCol w:w="168"/>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638" w:type="dxa"/>
            <w:gridSpan w:val="15"/>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2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0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026"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16" w:type="dxa"/>
            <w:gridSpan w:val="4"/>
            <w:tcBorders>
              <w:top w:val="nil"/>
              <w:left w:val="nil"/>
              <w:bottom w:val="nil"/>
              <w:right w:val="nil"/>
            </w:tcBorders>
            <w:noWrap w:val="0"/>
            <w:tcMar>
              <w:top w:w="15" w:type="dxa"/>
              <w:left w:w="15" w:type="dxa"/>
              <w:right w:w="15" w:type="dxa"/>
            </w:tcMar>
            <w:vAlign w:val="center"/>
          </w:tcPr>
          <w:p>
            <w:pPr>
              <w:ind w:right="400"/>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：许昌市农村能源管理工作站</w:t>
            </w:r>
          </w:p>
        </w:tc>
        <w:tc>
          <w:tcPr>
            <w:tcW w:w="9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026" w:type="dxa"/>
            <w:gridSpan w:val="2"/>
            <w:tcBorders>
              <w:top w:val="nil"/>
              <w:left w:val="nil"/>
              <w:bottom w:val="nil"/>
              <w:right w:val="nil"/>
            </w:tcBorders>
            <w:noWrap w:val="0"/>
            <w:tcMar>
              <w:top w:w="15" w:type="dxa"/>
              <w:left w:w="15" w:type="dxa"/>
              <w:right w:w="15" w:type="dxa"/>
            </w:tcMar>
            <w:vAlign w:val="center"/>
          </w:tcPr>
          <w:p>
            <w:pPr>
              <w:widowControl/>
              <w:ind w:right="400"/>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316" w:type="dxa"/>
            <w:gridSpan w:val="4"/>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492"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本年支出合计</w:t>
            </w:r>
          </w:p>
        </w:tc>
        <w:tc>
          <w:tcPr>
            <w:tcW w:w="172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160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项目支出</w:t>
            </w:r>
          </w:p>
        </w:tc>
        <w:tc>
          <w:tcPr>
            <w:tcW w:w="147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上缴上级支出</w:t>
            </w:r>
          </w:p>
        </w:tc>
        <w:tc>
          <w:tcPr>
            <w:tcW w:w="1172"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经营支出</w:t>
            </w:r>
          </w:p>
        </w:tc>
        <w:tc>
          <w:tcPr>
            <w:tcW w:w="1858"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343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49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0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7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58"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3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9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0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72"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58"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316"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316" w:type="dxa"/>
            <w:gridSpan w:val="4"/>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170.77</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170.7</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201</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一般公共服务支出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0.70</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0.70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20129</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群众团体事务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70</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70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2012906</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工会事务</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70</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70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208</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社会保障和就业支出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27.35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27.35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20805</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w:t>
            </w:r>
            <w:r>
              <w:rPr>
                <w:rFonts w:hint="eastAsia" w:ascii="宋体" w:hAnsi="宋体" w:cs="宋体"/>
                <w:color w:val="auto"/>
                <w:sz w:val="20"/>
                <w:szCs w:val="20"/>
                <w:highlight w:val="none"/>
                <w:lang w:val="en-US" w:eastAsia="zh-CN"/>
              </w:rPr>
              <w:t>养老支出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27.35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27.35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2080502</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事业单位离退休</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18.82</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18.82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2080505</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机关事业单位基本养老保险缴费支出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8.53</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8.53</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210</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卫生健康支出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4.45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21011</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行政事业单位医疗</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4.45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2101102</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事业单位医疗</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4.45</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4.45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213</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农林水支出</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138.26</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138.26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21301</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农业</w:t>
            </w:r>
            <w:r>
              <w:rPr>
                <w:rFonts w:hint="eastAsia" w:ascii="宋体" w:hAnsi="宋体" w:cs="宋体"/>
                <w:color w:val="auto"/>
                <w:sz w:val="20"/>
                <w:szCs w:val="20"/>
                <w:highlight w:val="none"/>
                <w:lang w:val="en-US" w:eastAsia="zh-CN"/>
              </w:rPr>
              <w:t>农村</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138.26</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138.26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4"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2130104</w:t>
            </w:r>
          </w:p>
        </w:tc>
        <w:tc>
          <w:tcPr>
            <w:tcW w:w="3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事业运行</w:t>
            </w:r>
          </w:p>
        </w:tc>
        <w:tc>
          <w:tcPr>
            <w:tcW w:w="1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138.26</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138.26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ascii="宋体" w:hAnsi="宋体" w:cs="宋体"/>
                <w:color w:val="auto"/>
                <w:sz w:val="20"/>
                <w:szCs w:val="20"/>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63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0"/>
        <w:gridCol w:w="443"/>
        <w:gridCol w:w="2540"/>
        <w:gridCol w:w="2"/>
        <w:gridCol w:w="2841"/>
        <w:gridCol w:w="2"/>
        <w:gridCol w:w="441"/>
        <w:gridCol w:w="2"/>
        <w:gridCol w:w="953"/>
        <w:gridCol w:w="2"/>
        <w:gridCol w:w="954"/>
        <w:gridCol w:w="2"/>
        <w:gridCol w:w="766"/>
        <w:gridCol w:w="2"/>
        <w:gridCol w:w="2678"/>
        <w:gridCol w:w="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17"/>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eastAsia" w:ascii="华文中宋" w:hAnsi="华文中宋" w:eastAsia="华文中宋" w:cs="华文中宋"/>
                <w:color w:val="auto"/>
                <w:kern w:val="0"/>
                <w:sz w:val="32"/>
                <w:szCs w:val="32"/>
                <w:highlight w:val="none"/>
                <w:lang w:val="en-US" w:eastAsia="zh-CN"/>
              </w:rPr>
              <w:t>财政拨款收入</w:t>
            </w:r>
            <w:r>
              <w:rPr>
                <w:rFonts w:hint="eastAsia" w:ascii="华文中宋" w:hAnsi="华文中宋" w:eastAsia="华文中宋" w:cs="华文中宋"/>
                <w:color w:val="auto"/>
                <w:kern w:val="0"/>
                <w:sz w:val="32"/>
                <w:szCs w:val="32"/>
                <w:highlight w:val="none"/>
              </w:rPr>
              <w:t>支出决算</w:t>
            </w:r>
            <w:r>
              <w:rPr>
                <w:rFonts w:hint="eastAsia" w:ascii="华文中宋" w:hAnsi="华文中宋" w:eastAsia="华文中宋" w:cs="华文中宋"/>
                <w:color w:val="auto"/>
                <w:kern w:val="0"/>
                <w:sz w:val="32"/>
                <w:szCs w:val="32"/>
                <w:highlight w:val="none"/>
                <w:lang w:val="en-US" w:eastAsia="zh-CN"/>
              </w:rPr>
              <w:t>总</w:t>
            </w:r>
            <w:r>
              <w:rPr>
                <w:rFonts w:hint="eastAsia" w:ascii="华文中宋" w:hAnsi="华文中宋" w:eastAsia="华文中宋" w:cs="华文中宋"/>
                <w:color w:val="auto"/>
                <w:kern w:val="0"/>
                <w:sz w:val="32"/>
                <w:szCs w:val="32"/>
                <w:highlight w:val="none"/>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254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3"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54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843"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3"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5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56"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6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680"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5" w:hRule="atLeast"/>
        </w:trPr>
        <w:tc>
          <w:tcPr>
            <w:tcW w:w="5525" w:type="dxa"/>
            <w:gridSpan w:val="4"/>
            <w:noWrap w:val="0"/>
            <w:vAlign w:val="bottom"/>
          </w:tcPr>
          <w:p>
            <w:pPr>
              <w:kinsoku/>
              <w:autoSpaceDE/>
              <w:autoSpaceDN w:val="0"/>
              <w:jc w:val="left"/>
              <w:textAlignment w:val="bottom"/>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单位：许昌市农村能源管理工作站</w:t>
            </w:r>
          </w:p>
        </w:tc>
        <w:tc>
          <w:tcPr>
            <w:tcW w:w="2843" w:type="dxa"/>
            <w:gridSpan w:val="2"/>
            <w:noWrap w:val="0"/>
            <w:vAlign w:val="bottom"/>
          </w:tcPr>
          <w:p>
            <w:pPr>
              <w:kinsoku/>
              <w:autoSpaceDE/>
              <w:autoSpaceDN w:val="0"/>
              <w:jc w:val="left"/>
              <w:textAlignment w:val="bottom"/>
              <w:rPr>
                <w:rFonts w:hint="eastAsia" w:ascii="宋体" w:hAnsi="宋体" w:eastAsia="宋体" w:cs="宋体"/>
                <w:b w:val="0"/>
                <w:i w:val="0"/>
                <w:snapToGrid/>
                <w:color w:val="auto"/>
                <w:sz w:val="20"/>
                <w:szCs w:val="20"/>
                <w:highlight w:val="none"/>
                <w:u w:val="none"/>
              </w:rPr>
            </w:pPr>
          </w:p>
        </w:tc>
        <w:tc>
          <w:tcPr>
            <w:tcW w:w="443" w:type="dxa"/>
            <w:gridSpan w:val="2"/>
            <w:noWrap w:val="0"/>
            <w:vAlign w:val="bottom"/>
          </w:tcPr>
          <w:p>
            <w:pPr>
              <w:kinsoku/>
              <w:autoSpaceDE/>
              <w:autoSpaceDN w:val="0"/>
              <w:jc w:val="left"/>
              <w:textAlignment w:val="bottom"/>
              <w:rPr>
                <w:rFonts w:hint="eastAsia" w:ascii="宋体" w:hAnsi="宋体" w:eastAsia="宋体" w:cs="宋体"/>
                <w:b w:val="0"/>
                <w:i w:val="0"/>
                <w:snapToGrid/>
                <w:color w:val="auto"/>
                <w:sz w:val="20"/>
                <w:szCs w:val="20"/>
                <w:highlight w:val="none"/>
                <w:u w:val="none"/>
              </w:rPr>
            </w:pPr>
          </w:p>
        </w:tc>
        <w:tc>
          <w:tcPr>
            <w:tcW w:w="955" w:type="dxa"/>
            <w:gridSpan w:val="2"/>
            <w:noWrap w:val="0"/>
            <w:vAlign w:val="bottom"/>
          </w:tcPr>
          <w:p>
            <w:pPr>
              <w:kinsoku/>
              <w:autoSpaceDE/>
              <w:autoSpaceDN w:val="0"/>
              <w:jc w:val="left"/>
              <w:textAlignment w:val="bottom"/>
              <w:rPr>
                <w:rFonts w:hint="eastAsia" w:ascii="宋体" w:hAnsi="宋体" w:eastAsia="宋体" w:cs="宋体"/>
                <w:b w:val="0"/>
                <w:i w:val="0"/>
                <w:snapToGrid/>
                <w:color w:val="auto"/>
                <w:sz w:val="20"/>
                <w:szCs w:val="20"/>
                <w:highlight w:val="none"/>
                <w:u w:val="none"/>
              </w:rPr>
            </w:pPr>
          </w:p>
        </w:tc>
        <w:tc>
          <w:tcPr>
            <w:tcW w:w="956" w:type="dxa"/>
            <w:gridSpan w:val="2"/>
            <w:noWrap w:val="0"/>
            <w:vAlign w:val="bottom"/>
          </w:tcPr>
          <w:p>
            <w:pPr>
              <w:kinsoku/>
              <w:autoSpaceDE/>
              <w:autoSpaceDN w:val="0"/>
              <w:jc w:val="left"/>
              <w:textAlignment w:val="bottom"/>
              <w:rPr>
                <w:rFonts w:hint="eastAsia" w:ascii="宋体" w:hAnsi="宋体" w:eastAsia="宋体" w:cs="宋体"/>
                <w:b w:val="0"/>
                <w:i w:val="0"/>
                <w:snapToGrid/>
                <w:color w:val="auto"/>
                <w:sz w:val="20"/>
                <w:szCs w:val="20"/>
                <w:highlight w:val="none"/>
                <w:u w:val="none"/>
              </w:rPr>
            </w:pPr>
          </w:p>
        </w:tc>
        <w:tc>
          <w:tcPr>
            <w:tcW w:w="768" w:type="dxa"/>
            <w:gridSpan w:val="2"/>
            <w:noWrap w:val="0"/>
            <w:vAlign w:val="bottom"/>
          </w:tcPr>
          <w:p>
            <w:pPr>
              <w:kinsoku/>
              <w:autoSpaceDE/>
              <w:autoSpaceDN w:val="0"/>
              <w:jc w:val="left"/>
              <w:textAlignment w:val="bottom"/>
              <w:rPr>
                <w:rFonts w:hint="eastAsia" w:ascii="宋体" w:hAnsi="宋体" w:eastAsia="宋体" w:cs="宋体"/>
                <w:b w:val="0"/>
                <w:i w:val="0"/>
                <w:snapToGrid/>
                <w:color w:val="auto"/>
                <w:sz w:val="20"/>
                <w:szCs w:val="20"/>
                <w:highlight w:val="none"/>
                <w:u w:val="none"/>
              </w:rPr>
            </w:pPr>
          </w:p>
        </w:tc>
        <w:tc>
          <w:tcPr>
            <w:tcW w:w="2680" w:type="dxa"/>
            <w:gridSpan w:val="2"/>
            <w:noWrap w:val="0"/>
            <w:vAlign w:val="bottom"/>
          </w:tcPr>
          <w:p>
            <w:pPr>
              <w:kinsoku/>
              <w:autoSpaceDE/>
              <w:autoSpaceDN w:val="0"/>
              <w:jc w:val="right"/>
              <w:textAlignment w:val="bottom"/>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25"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收     入</w:t>
            </w:r>
          </w:p>
        </w:tc>
        <w:tc>
          <w:tcPr>
            <w:tcW w:w="8647" w:type="dxa"/>
            <w:gridSpan w:val="1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254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项目</w:t>
            </w:r>
          </w:p>
        </w:tc>
        <w:tc>
          <w:tcPr>
            <w:tcW w:w="44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行次</w:t>
            </w:r>
          </w:p>
        </w:tc>
        <w:tc>
          <w:tcPr>
            <w:tcW w:w="254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金额</w:t>
            </w:r>
          </w:p>
        </w:tc>
        <w:tc>
          <w:tcPr>
            <w:tcW w:w="284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项目</w:t>
            </w:r>
          </w:p>
        </w:tc>
        <w:tc>
          <w:tcPr>
            <w:tcW w:w="44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行次</w:t>
            </w:r>
          </w:p>
        </w:tc>
        <w:tc>
          <w:tcPr>
            <w:tcW w:w="95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合计</w:t>
            </w:r>
          </w:p>
        </w:tc>
        <w:tc>
          <w:tcPr>
            <w:tcW w:w="956"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一般公共预算财政拨款</w:t>
            </w:r>
          </w:p>
        </w:tc>
        <w:tc>
          <w:tcPr>
            <w:tcW w:w="76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政府性基金预算财政拨款</w:t>
            </w:r>
          </w:p>
        </w:tc>
        <w:tc>
          <w:tcPr>
            <w:tcW w:w="2680"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615" w:hRule="atLeast"/>
        </w:trPr>
        <w:tc>
          <w:tcPr>
            <w:tcW w:w="254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44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54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84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44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95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956"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76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68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栏次</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w:t>
            </w:r>
          </w:p>
        </w:tc>
        <w:tc>
          <w:tcPr>
            <w:tcW w:w="28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栏次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w:t>
            </w:r>
          </w:p>
        </w:tc>
        <w:tc>
          <w:tcPr>
            <w:tcW w:w="76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w:t>
            </w:r>
          </w:p>
        </w:tc>
        <w:tc>
          <w:tcPr>
            <w:tcW w:w="268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一、一般公共预算财政拨款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148.80</w:t>
            </w: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一、一般公共服务支出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0.70</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0.70</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489"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二、政府性基金预算财政拨款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二、外交支出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三、国有资本经营财政拨款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三、国防支出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35</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四、公共安全支出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36</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5</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五、教育支出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37</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6</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六、科学技术支出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38</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7</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七、文化旅游体育与传媒支出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39</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8</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八、社会保障和就业支出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40</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27.35</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27.35</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9</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九、卫生健康支出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41</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4.45</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4.45</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10</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十、节能环保支出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42</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十一、城乡社区支出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十二、农林水支出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138.26</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138.26</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13</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十三、交通运输支出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45</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14</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十四、资源勘探工业信息等支出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46</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15</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十五、商业服务业等支出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47</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十六、金融支出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48</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17</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十七、援助其他地区支出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49</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519"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18</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十八、自然资源海洋气象等支出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50</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19</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十九、住房保障支出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51</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二十、粮油物资储备支出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52</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二十一、国有资本经营预算支出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二十二、灾害防治及应急管理支出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23</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二十三、其他支出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55</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24</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二十四、债务还本支出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56</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25</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二十五、债务付息支出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57</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highlight w:val="none"/>
                <w:u w:val="none"/>
                <w:lang w:eastAsia="zh-CN"/>
              </w:rPr>
            </w:pP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二十六、抗疫特别国债安排的支出</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58</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szCs w:val="20"/>
                <w:highlight w:val="none"/>
                <w:u w:val="none"/>
                <w:lang w:eastAsia="zh-CN"/>
              </w:rPr>
            </w:pPr>
            <w:r>
              <w:rPr>
                <w:rFonts w:hint="default" w:ascii="宋体" w:hAnsi="宋体" w:eastAsia="宋体"/>
                <w:b/>
                <w:i w:val="0"/>
                <w:snapToGrid/>
                <w:color w:val="auto"/>
                <w:sz w:val="20"/>
                <w:szCs w:val="20"/>
                <w:highlight w:val="none"/>
                <w:u w:val="none"/>
                <w:lang w:eastAsia="zh-CN"/>
              </w:rPr>
              <w:t>本年收入合计</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27</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148.80</w:t>
            </w:r>
          </w:p>
        </w:tc>
        <w:tc>
          <w:tcPr>
            <w:tcW w:w="28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szCs w:val="20"/>
                <w:highlight w:val="none"/>
                <w:u w:val="none"/>
                <w:lang w:eastAsia="zh-CN"/>
              </w:rPr>
            </w:pPr>
            <w:r>
              <w:rPr>
                <w:rFonts w:hint="default" w:ascii="宋体" w:hAnsi="宋体" w:eastAsia="宋体"/>
                <w:b/>
                <w:i w:val="0"/>
                <w:snapToGrid/>
                <w:color w:val="auto"/>
                <w:sz w:val="20"/>
                <w:szCs w:val="20"/>
                <w:highlight w:val="none"/>
                <w:u w:val="none"/>
                <w:lang w:eastAsia="zh-CN"/>
              </w:rPr>
              <w:t>本年支出合计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59</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170.77</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170.77</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年初财政拨款结转和结余</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28</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21.96</w:t>
            </w: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年末财政拨款结转和结余</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60</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一般公共预算财政拨款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29</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21.96</w:t>
            </w: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61</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政府性基金预算财政拨款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30</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62</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国有资本经营预算财政拨款</w:t>
            </w:r>
          </w:p>
        </w:tc>
        <w:tc>
          <w:tcPr>
            <w:tcW w:w="44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31</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284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63</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254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szCs w:val="20"/>
                <w:highlight w:val="none"/>
                <w:u w:val="none"/>
                <w:lang w:eastAsia="zh-CN"/>
              </w:rPr>
            </w:pPr>
            <w:r>
              <w:rPr>
                <w:rFonts w:hint="default" w:ascii="宋体" w:hAnsi="宋体" w:eastAsia="宋体"/>
                <w:b/>
                <w:i w:val="0"/>
                <w:snapToGrid/>
                <w:color w:val="auto"/>
                <w:sz w:val="20"/>
                <w:szCs w:val="20"/>
                <w:highlight w:val="none"/>
                <w:u w:val="none"/>
                <w:lang w:eastAsia="zh-CN"/>
              </w:rPr>
              <w:t>总计</w:t>
            </w:r>
          </w:p>
        </w:tc>
        <w:tc>
          <w:tcPr>
            <w:tcW w:w="443"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32</w:t>
            </w:r>
          </w:p>
        </w:tc>
        <w:tc>
          <w:tcPr>
            <w:tcW w:w="254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170.77</w:t>
            </w:r>
          </w:p>
        </w:tc>
        <w:tc>
          <w:tcPr>
            <w:tcW w:w="28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szCs w:val="20"/>
                <w:highlight w:val="none"/>
                <w:u w:val="none"/>
                <w:lang w:eastAsia="zh-CN"/>
              </w:rPr>
            </w:pPr>
            <w:r>
              <w:rPr>
                <w:rFonts w:hint="default" w:ascii="宋体" w:hAnsi="宋体" w:eastAsia="宋体"/>
                <w:b/>
                <w:i w:val="0"/>
                <w:snapToGrid/>
                <w:color w:val="auto"/>
                <w:sz w:val="20"/>
                <w:szCs w:val="20"/>
                <w:highlight w:val="none"/>
                <w:u w:val="none"/>
                <w:lang w:eastAsia="zh-CN"/>
              </w:rPr>
              <w:t>总计</w:t>
            </w:r>
          </w:p>
        </w:tc>
        <w:tc>
          <w:tcPr>
            <w:tcW w:w="44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64</w:t>
            </w:r>
          </w:p>
        </w:tc>
        <w:tc>
          <w:tcPr>
            <w:tcW w:w="95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170.77</w:t>
            </w:r>
          </w:p>
        </w:tc>
        <w:tc>
          <w:tcPr>
            <w:tcW w:w="95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170.77</w:t>
            </w:r>
          </w:p>
        </w:tc>
        <w:tc>
          <w:tcPr>
            <w:tcW w:w="76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268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2" w:type="dxa"/>
            <w:gridSpan w:val="17"/>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注：本表反映</w:t>
            </w:r>
            <w:r>
              <w:rPr>
                <w:rFonts w:hint="eastAsia" w:ascii="宋体" w:hAnsi="宋体"/>
                <w:b w:val="0"/>
                <w:i w:val="0"/>
                <w:snapToGrid/>
                <w:color w:val="auto"/>
                <w:sz w:val="20"/>
                <w:szCs w:val="20"/>
                <w:highlight w:val="none"/>
                <w:u w:val="none"/>
                <w:lang w:eastAsia="zh-CN"/>
              </w:rPr>
              <w:t>单位</w:t>
            </w:r>
            <w:r>
              <w:rPr>
                <w:rFonts w:hint="default" w:ascii="宋体" w:hAnsi="宋体" w:eastAsia="宋体"/>
                <w:b w:val="0"/>
                <w:i w:val="0"/>
                <w:snapToGrid/>
                <w:color w:val="auto"/>
                <w:sz w:val="20"/>
                <w:szCs w:val="20"/>
                <w:highlight w:val="none"/>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0"/>
        <w:gridCol w:w="3651"/>
        <w:gridCol w:w="2102"/>
        <w:gridCol w:w="5075"/>
        <w:gridCol w:w="1670"/>
        <w:gridCol w:w="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7"/>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eastAsia" w:ascii="华文中宋" w:hAnsi="华文中宋" w:eastAsia="华文中宋" w:cs="华文中宋"/>
                <w:color w:val="auto"/>
                <w:kern w:val="0"/>
                <w:sz w:val="32"/>
                <w:szCs w:val="32"/>
                <w:highlight w:val="none"/>
                <w:lang w:val="en-US" w:eastAsia="zh-CN"/>
              </w:rPr>
              <w:t>一般公共预算财政拨款</w:t>
            </w:r>
            <w:r>
              <w:rPr>
                <w:rFonts w:hint="eastAsia" w:ascii="华文中宋" w:hAnsi="华文中宋" w:eastAsia="华文中宋" w:cs="华文中宋"/>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5321" w:type="dxa"/>
            <w:gridSpan w:val="2"/>
            <w:noWrap w:val="0"/>
            <w:vAlign w:val="bottom"/>
          </w:tcPr>
          <w:p>
            <w:pPr>
              <w:kinsoku/>
              <w:autoSpaceDE/>
              <w:autoSpaceDN w:val="0"/>
              <w:jc w:val="center"/>
              <w:textAlignment w:val="bottom"/>
              <w:rPr>
                <w:rFonts w:hint="default" w:ascii="Arial"/>
                <w:b w:val="0"/>
                <w:i w:val="0"/>
                <w:snapToGrid/>
                <w:color w:val="auto"/>
                <w:sz w:val="20"/>
                <w:highlight w:val="none"/>
                <w:u w:val="none"/>
              </w:rPr>
            </w:pPr>
          </w:p>
        </w:tc>
        <w:tc>
          <w:tcPr>
            <w:tcW w:w="2102"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507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670"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5321" w:type="dxa"/>
            <w:gridSpan w:val="2"/>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：许昌市农村能源管理工作站</w:t>
            </w:r>
          </w:p>
        </w:tc>
        <w:tc>
          <w:tcPr>
            <w:tcW w:w="2102"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507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670"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5321"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项目</w:t>
            </w:r>
          </w:p>
        </w:tc>
        <w:tc>
          <w:tcPr>
            <w:tcW w:w="8849"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功能分类科目编码</w:t>
            </w:r>
          </w:p>
        </w:tc>
        <w:tc>
          <w:tcPr>
            <w:tcW w:w="365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科目名称</w:t>
            </w:r>
          </w:p>
        </w:tc>
        <w:tc>
          <w:tcPr>
            <w:tcW w:w="210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小计</w:t>
            </w:r>
          </w:p>
        </w:tc>
        <w:tc>
          <w:tcPr>
            <w:tcW w:w="507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基本支出</w:t>
            </w:r>
          </w:p>
        </w:tc>
        <w:tc>
          <w:tcPr>
            <w:tcW w:w="167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70" w:hRule="atLeast"/>
        </w:trPr>
        <w:tc>
          <w:tcPr>
            <w:tcW w:w="167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651"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102"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5075"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670"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651"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102"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5075"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670"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5321"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栏次</w:t>
            </w:r>
          </w:p>
        </w:tc>
        <w:tc>
          <w:tcPr>
            <w:tcW w:w="210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w:t>
            </w:r>
          </w:p>
        </w:tc>
        <w:tc>
          <w:tcPr>
            <w:tcW w:w="507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w:t>
            </w:r>
          </w:p>
        </w:tc>
        <w:tc>
          <w:tcPr>
            <w:tcW w:w="167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5321"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合计</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0"/>
                <w:szCs w:val="20"/>
                <w:highlight w:val="none"/>
                <w:u w:val="none"/>
                <w:lang w:eastAsia="zh-CN"/>
              </w:rPr>
            </w:pPr>
            <w:r>
              <w:rPr>
                <w:rFonts w:hint="default" w:ascii="宋体" w:hAnsi="宋体" w:eastAsia="宋体"/>
                <w:b/>
                <w:i w:val="0"/>
                <w:snapToGrid/>
                <w:color w:val="auto"/>
                <w:sz w:val="20"/>
                <w:szCs w:val="20"/>
                <w:highlight w:val="none"/>
                <w:u w:val="none"/>
                <w:lang w:eastAsia="zh-CN"/>
              </w:rPr>
              <w:t>170.77</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0"/>
                <w:szCs w:val="20"/>
                <w:highlight w:val="none"/>
                <w:u w:val="none"/>
                <w:lang w:eastAsia="zh-CN"/>
              </w:rPr>
            </w:pPr>
            <w:r>
              <w:rPr>
                <w:rFonts w:hint="default" w:ascii="宋体" w:hAnsi="宋体" w:eastAsia="宋体"/>
                <w:b/>
                <w:i w:val="0"/>
                <w:snapToGrid/>
                <w:color w:val="auto"/>
                <w:sz w:val="20"/>
                <w:szCs w:val="20"/>
                <w:highlight w:val="none"/>
                <w:u w:val="none"/>
                <w:lang w:eastAsia="zh-CN"/>
              </w:rPr>
              <w:t>170.77</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201</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一般公共服务支出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0.70</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0.70</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20129</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群众团体事务</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0.70</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0.70</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2012906</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工会事务</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0.70</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0.70</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208</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社会保障和就业支出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27.35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27.35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20805</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行政事业单位养老支出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27.35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27.35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2080502</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事业单位离退休</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18.82</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18.82</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2080505</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机关事业单位基本养老保险缴费支出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8.53</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8.53</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210</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卫生健康支出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4.45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4.45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21011</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行政事业单位医疗</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4.45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4.45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2101102</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事业单位医疗</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4.45</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4.45</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213</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农林水支出</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138.26</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138.26</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21301</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农业农村</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138.26</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138.26</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2130104</w:t>
            </w: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 xml:space="preserve">  事业运行</w:t>
            </w: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138.26</w:t>
            </w: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138.26</w:t>
            </w: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67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365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10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507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6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7"/>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注：本表反映</w:t>
            </w:r>
            <w:r>
              <w:rPr>
                <w:rFonts w:hint="eastAsia" w:ascii="宋体" w:hAnsi="宋体"/>
                <w:b w:val="0"/>
                <w:i w:val="0"/>
                <w:snapToGrid/>
                <w:color w:val="auto"/>
                <w:sz w:val="20"/>
                <w:szCs w:val="20"/>
                <w:highlight w:val="none"/>
                <w:u w:val="none"/>
                <w:lang w:eastAsia="zh-CN"/>
              </w:rPr>
              <w:t>单位</w:t>
            </w:r>
            <w:r>
              <w:rPr>
                <w:rFonts w:hint="default" w:ascii="宋体" w:hAnsi="宋体" w:eastAsia="宋体"/>
                <w:b w:val="0"/>
                <w:i w:val="0"/>
                <w:snapToGrid/>
                <w:color w:val="auto"/>
                <w:sz w:val="20"/>
                <w:szCs w:val="20"/>
                <w:highlight w:val="none"/>
                <w:u w:val="none"/>
                <w:lang w:eastAsia="zh-CN"/>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2778"/>
        <w:gridCol w:w="877"/>
        <w:gridCol w:w="1"/>
        <w:gridCol w:w="788"/>
        <w:gridCol w:w="2785"/>
        <w:gridCol w:w="3"/>
        <w:gridCol w:w="1214"/>
        <w:gridCol w:w="4"/>
        <w:gridCol w:w="768"/>
        <w:gridCol w:w="4"/>
        <w:gridCol w:w="2090"/>
        <w:gridCol w:w="4"/>
        <w:gridCol w:w="2051"/>
        <w:gridCol w:w="4"/>
        <w:gridCol w:w="3"/>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17"/>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eastAsia" w:ascii="华文中宋" w:hAnsi="华文中宋" w:eastAsia="华文中宋" w:cs="华文中宋"/>
                <w:color w:val="auto"/>
                <w:kern w:val="0"/>
                <w:sz w:val="32"/>
                <w:szCs w:val="32"/>
                <w:highlight w:val="none"/>
                <w:lang w:val="en-US" w:eastAsia="zh-CN"/>
              </w:rPr>
              <w:t>一般公共预算财政拨款基本</w:t>
            </w:r>
            <w:r>
              <w:rPr>
                <w:rFonts w:hint="eastAsia" w:ascii="华文中宋" w:hAnsi="华文中宋" w:eastAsia="华文中宋" w:cs="华文中宋"/>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285" w:hRule="atLeast"/>
        </w:trPr>
        <w:tc>
          <w:tcPr>
            <w:tcW w:w="79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78"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77"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89"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8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17"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7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09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055"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5240" w:type="dxa"/>
            <w:gridSpan w:val="5"/>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：许昌市农村能源管理工作站</w:t>
            </w:r>
          </w:p>
        </w:tc>
        <w:tc>
          <w:tcPr>
            <w:tcW w:w="278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1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7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09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055"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4452"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人员经费</w:t>
            </w:r>
          </w:p>
        </w:tc>
        <w:tc>
          <w:tcPr>
            <w:tcW w:w="9718" w:type="dxa"/>
            <w:gridSpan w:val="12"/>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科目编码</w:t>
            </w:r>
          </w:p>
        </w:tc>
        <w:tc>
          <w:tcPr>
            <w:tcW w:w="2778"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科目名称</w:t>
            </w:r>
          </w:p>
        </w:tc>
        <w:tc>
          <w:tcPr>
            <w:tcW w:w="87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决算数</w:t>
            </w:r>
          </w:p>
        </w:tc>
        <w:tc>
          <w:tcPr>
            <w:tcW w:w="78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科目编码</w:t>
            </w:r>
          </w:p>
        </w:tc>
        <w:tc>
          <w:tcPr>
            <w:tcW w:w="278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科目名称</w:t>
            </w:r>
          </w:p>
        </w:tc>
        <w:tc>
          <w:tcPr>
            <w:tcW w:w="1217"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决算数</w:t>
            </w:r>
          </w:p>
        </w:tc>
        <w:tc>
          <w:tcPr>
            <w:tcW w:w="772"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科目编码</w:t>
            </w:r>
          </w:p>
        </w:tc>
        <w:tc>
          <w:tcPr>
            <w:tcW w:w="209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科目名称</w:t>
            </w:r>
          </w:p>
        </w:tc>
        <w:tc>
          <w:tcPr>
            <w:tcW w:w="205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778"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87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789"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78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217"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772"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09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05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工资福利支出</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137.39</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商品和服务支出</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14.56</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307</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债务利息及费用支出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基本工资</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35.51</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30201</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办公费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7.09</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30701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国内债务付息</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30102</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津贴补贴</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53.12</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30202</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印刷费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30702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国外债务付息</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奖金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30203</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咨询费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资本性支出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30106</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伙食补助费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30204</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手续费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房屋建筑物购建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30107</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绩效工资</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23.93</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30205</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水费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0.14</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办公设备购置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30108</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机关事业单位基本养老保险缴费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8.53</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30206</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电费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1.23</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31003</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专用设备购置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30109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职业年金缴费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30207</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邮电费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0.61</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31005</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基础设施建设</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30110</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职工基本医疗保险缴费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4.45</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30208</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取暖费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31006</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大型修缮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30111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公务员医疗补助缴费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30209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物业管理费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31007</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信息网络及软件购置更新</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30112</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其他社会保障缴费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2.70</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30211</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差旅费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0.79</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31008</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物资储备</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30113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住房公积金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9.14</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30212</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因公出国（境）费用</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31009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土地补偿</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30114</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医疗费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30213</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维修（护）费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31010</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安置补助</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30199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其他工资福利支出</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30214</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租赁费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31011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地上附着物和青苗补偿</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对个人和家庭的补助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18.82</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30215</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会议费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0.46</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31012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拆迁补偿</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离休费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30216</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培训费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31013</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公务用车购置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30302</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退休费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18.82</w:t>
            </w: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30217</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公务接待费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31019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其他交通工具购置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30303</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退职（役）费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30218</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专用材料费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31021</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文物和陈列品购置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30304</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抚恤金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30224</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被装购置费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31022</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无形资产购置</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30305</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生活补助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30225</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专用燃料费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31099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其他资本性支出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30306</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救济费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30226</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劳务费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2.36</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399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其他支出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30307</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医疗费补助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30227</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委托业务费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39906</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赠与</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30308</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助学金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30228</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工会经费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0.71</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39907</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国家赔偿费用支出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30309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奖励金</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30229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福利费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0.99</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39908</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对民间非营利组织和群众性自治组织补贴</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30310</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个人农业生产补贴</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30231</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公务用车运行维护费</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39999</w:t>
            </w: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其他支出</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30311</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代缴社会保险费</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30239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其他交通费用</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0.15</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30399</w:t>
            </w: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其他对个人和家庭的补助</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30240</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税金及附加费用</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796"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778"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p>
        </w:tc>
        <w:tc>
          <w:tcPr>
            <w:tcW w:w="789"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30299</w:t>
            </w:r>
          </w:p>
        </w:tc>
        <w:tc>
          <w:tcPr>
            <w:tcW w:w="278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 xml:space="preserve">  其他商品和服务支出</w:t>
            </w:r>
          </w:p>
        </w:tc>
        <w:tc>
          <w:tcPr>
            <w:tcW w:w="1217"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0.02</w:t>
            </w:r>
          </w:p>
        </w:tc>
        <w:tc>
          <w:tcPr>
            <w:tcW w:w="7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094"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3574"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人员经费合计</w:t>
            </w:r>
          </w:p>
        </w:tc>
        <w:tc>
          <w:tcPr>
            <w:tcW w:w="87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156.21</w:t>
            </w:r>
          </w:p>
        </w:tc>
        <w:tc>
          <w:tcPr>
            <w:tcW w:w="7661" w:type="dxa"/>
            <w:gridSpan w:val="10"/>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公用经费合计</w:t>
            </w:r>
          </w:p>
        </w:tc>
        <w:tc>
          <w:tcPr>
            <w:tcW w:w="205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17"/>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注：本表反映单位本年度一般公共预算财政拨款基本支出明细情况。本表金额转换为万元时，因四舍五入可能存在尾差。</w:t>
            </w:r>
          </w:p>
        </w:tc>
      </w:tr>
    </w:tbl>
    <w:p>
      <w:pPr>
        <w:rPr>
          <w:rFonts w:hint="eastAsia" w:ascii="宋体" w:hAnsi="宋体" w:eastAsia="宋体" w:cs="宋体"/>
          <w:color w:val="auto"/>
          <w:sz w:val="20"/>
          <w:szCs w:val="20"/>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3"/>
        <w:gridCol w:w="1244"/>
        <w:gridCol w:w="1139"/>
        <w:gridCol w:w="1154"/>
        <w:gridCol w:w="1273"/>
        <w:gridCol w:w="1"/>
        <w:gridCol w:w="3"/>
        <w:gridCol w:w="2"/>
        <w:gridCol w:w="1238"/>
        <w:gridCol w:w="4"/>
        <w:gridCol w:w="2"/>
        <w:gridCol w:w="1148"/>
        <w:gridCol w:w="4"/>
        <w:gridCol w:w="1"/>
        <w:gridCol w:w="1134"/>
        <w:gridCol w:w="4"/>
        <w:gridCol w:w="1"/>
        <w:gridCol w:w="1163"/>
        <w:gridCol w:w="1"/>
        <w:gridCol w:w="5"/>
        <w:gridCol w:w="1058"/>
        <w:gridCol w:w="6"/>
        <w:gridCol w:w="1163"/>
        <w:gridCol w:w="7"/>
        <w:gridCol w:w="1132"/>
        <w:gridCol w:w="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2" w:type="dxa"/>
            <w:gridSpan w:val="27"/>
            <w:noWrap w:val="0"/>
            <w:vAlign w:val="bottom"/>
          </w:tcPr>
          <w:p>
            <w:pPr>
              <w:kinsoku/>
              <w:autoSpaceDE/>
              <w:autoSpaceDN w:val="0"/>
              <w:jc w:val="center"/>
              <w:textAlignment w:val="bottom"/>
              <w:rPr>
                <w:rFonts w:hint="default" w:ascii="宋体" w:hAnsi="宋体" w:eastAsia="宋体"/>
                <w:b w:val="0"/>
                <w:i w:val="0"/>
                <w:snapToGrid/>
                <w:color w:val="auto"/>
                <w:sz w:val="44"/>
                <w:highlight w:val="none"/>
                <w:u w:val="none"/>
                <w:lang w:eastAsia="zh-CN"/>
              </w:rPr>
            </w:pPr>
            <w:r>
              <w:rPr>
                <w:rFonts w:hint="eastAsia" w:ascii="华文中宋" w:hAnsi="华文中宋" w:eastAsia="华文中宋" w:cs="华文中宋"/>
                <w:color w:val="auto"/>
                <w:kern w:val="0"/>
                <w:sz w:val="32"/>
                <w:szCs w:val="32"/>
                <w:highlight w:val="none"/>
                <w:lang w:val="en-US" w:eastAsia="zh-CN"/>
              </w:rPr>
              <w:t>一般公共预算财政拨款“三公”经费</w:t>
            </w:r>
            <w:r>
              <w:rPr>
                <w:rFonts w:hint="eastAsia" w:ascii="华文中宋" w:hAnsi="华文中宋" w:eastAsia="华文中宋" w:cs="华文中宋"/>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285" w:hRule="atLeast"/>
        </w:trPr>
        <w:tc>
          <w:tcPr>
            <w:tcW w:w="1273"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4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39"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5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7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43"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54"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39"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69"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63"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69"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39"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4" w:hRule="atLeast"/>
        </w:trPr>
        <w:tc>
          <w:tcPr>
            <w:tcW w:w="6089" w:type="dxa"/>
            <w:gridSpan w:val="8"/>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：许昌市农村能源管理工作站</w:t>
            </w:r>
          </w:p>
        </w:tc>
        <w:tc>
          <w:tcPr>
            <w:tcW w:w="1244"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53"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39"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69"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6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309" w:type="dxa"/>
            <w:gridSpan w:val="4"/>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33" w:type="dxa"/>
            <w:gridSpan w:val="11"/>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预算数</w:t>
            </w:r>
          </w:p>
        </w:tc>
        <w:tc>
          <w:tcPr>
            <w:tcW w:w="6839" w:type="dxa"/>
            <w:gridSpan w:val="1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7" w:hRule="atLeast"/>
        </w:trPr>
        <w:tc>
          <w:tcPr>
            <w:tcW w:w="1273"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合计</w:t>
            </w:r>
          </w:p>
        </w:tc>
        <w:tc>
          <w:tcPr>
            <w:tcW w:w="124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因公出国（境）费</w:t>
            </w:r>
          </w:p>
        </w:tc>
        <w:tc>
          <w:tcPr>
            <w:tcW w:w="3570"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公务用车购置及运行费</w:t>
            </w:r>
          </w:p>
        </w:tc>
        <w:tc>
          <w:tcPr>
            <w:tcW w:w="1244"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公务接待费</w:t>
            </w:r>
          </w:p>
        </w:tc>
        <w:tc>
          <w:tcPr>
            <w:tcW w:w="1154"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合计</w:t>
            </w:r>
          </w:p>
        </w:tc>
        <w:tc>
          <w:tcPr>
            <w:tcW w:w="1139"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因公出国（境）费</w:t>
            </w:r>
          </w:p>
        </w:tc>
        <w:tc>
          <w:tcPr>
            <w:tcW w:w="3404" w:type="dxa"/>
            <w:gridSpan w:val="8"/>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公务用车购置及运行费</w:t>
            </w:r>
          </w:p>
        </w:tc>
        <w:tc>
          <w:tcPr>
            <w:tcW w:w="113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615" w:hRule="atLeast"/>
        </w:trPr>
        <w:tc>
          <w:tcPr>
            <w:tcW w:w="1273" w:type="dxa"/>
            <w:vMerge w:val="continue"/>
            <w:tcBorders>
              <w:left w:val="single" w:color="000000" w:sz="4" w:space="0"/>
              <w:bottom w:val="single" w:color="000000" w:sz="4" w:space="0"/>
              <w:right w:val="single" w:color="000000" w:sz="4" w:space="0"/>
            </w:tcBorders>
            <w:noWrap w:val="0"/>
            <w:vAlign w:val="center"/>
          </w:tcPr>
          <w:p>
            <w:pPr>
              <w:rPr>
                <w:rFonts w:hint="default"/>
                <w:color w:val="auto"/>
                <w:sz w:val="20"/>
                <w:szCs w:val="20"/>
                <w:highlight w:val="none"/>
              </w:rPr>
            </w:pPr>
          </w:p>
        </w:tc>
        <w:tc>
          <w:tcPr>
            <w:tcW w:w="1244" w:type="dxa"/>
            <w:vMerge w:val="continue"/>
            <w:tcBorders>
              <w:bottom w:val="single" w:color="000000" w:sz="4" w:space="0"/>
              <w:right w:val="single" w:color="000000" w:sz="4" w:space="0"/>
            </w:tcBorders>
            <w:noWrap w:val="0"/>
            <w:vAlign w:val="center"/>
          </w:tcPr>
          <w:p>
            <w:pPr>
              <w:rPr>
                <w:rFonts w:hint="default"/>
                <w:color w:val="auto"/>
                <w:sz w:val="20"/>
                <w:szCs w:val="20"/>
                <w:highlight w:val="none"/>
              </w:rPr>
            </w:pPr>
          </w:p>
        </w:tc>
        <w:tc>
          <w:tcPr>
            <w:tcW w:w="113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小计</w:t>
            </w:r>
          </w:p>
        </w:tc>
        <w:tc>
          <w:tcPr>
            <w:tcW w:w="115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公务用车购置费</w:t>
            </w:r>
          </w:p>
        </w:tc>
        <w:tc>
          <w:tcPr>
            <w:tcW w:w="127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公务用车运行费</w:t>
            </w:r>
          </w:p>
        </w:tc>
        <w:tc>
          <w:tcPr>
            <w:tcW w:w="1244" w:type="dxa"/>
            <w:gridSpan w:val="4"/>
            <w:vMerge w:val="continue"/>
            <w:tcBorders>
              <w:bottom w:val="single" w:color="000000" w:sz="4" w:space="0"/>
              <w:right w:val="single" w:color="000000" w:sz="4" w:space="0"/>
            </w:tcBorders>
            <w:noWrap w:val="0"/>
            <w:vAlign w:val="center"/>
          </w:tcPr>
          <w:p>
            <w:pPr>
              <w:rPr>
                <w:rFonts w:hint="default"/>
                <w:color w:val="auto"/>
                <w:sz w:val="20"/>
                <w:szCs w:val="20"/>
                <w:highlight w:val="none"/>
              </w:rPr>
            </w:pPr>
          </w:p>
        </w:tc>
        <w:tc>
          <w:tcPr>
            <w:tcW w:w="1154" w:type="dxa"/>
            <w:gridSpan w:val="3"/>
            <w:vMerge w:val="continue"/>
            <w:tcBorders>
              <w:bottom w:val="single" w:color="000000" w:sz="4" w:space="0"/>
              <w:right w:val="single" w:color="000000" w:sz="4" w:space="0"/>
            </w:tcBorders>
            <w:noWrap w:val="0"/>
            <w:vAlign w:val="center"/>
          </w:tcPr>
          <w:p>
            <w:pPr>
              <w:rPr>
                <w:rFonts w:hint="default"/>
                <w:color w:val="auto"/>
                <w:sz w:val="20"/>
                <w:szCs w:val="20"/>
                <w:highlight w:val="none"/>
              </w:rPr>
            </w:pPr>
          </w:p>
        </w:tc>
        <w:tc>
          <w:tcPr>
            <w:tcW w:w="1139" w:type="dxa"/>
            <w:gridSpan w:val="3"/>
            <w:vMerge w:val="continue"/>
            <w:tcBorders>
              <w:bottom w:val="single" w:color="000000" w:sz="4" w:space="0"/>
              <w:right w:val="single" w:color="000000" w:sz="4" w:space="0"/>
            </w:tcBorders>
            <w:noWrap w:val="0"/>
            <w:vAlign w:val="center"/>
          </w:tcPr>
          <w:p>
            <w:pPr>
              <w:rPr>
                <w:rFonts w:hint="default"/>
                <w:color w:val="auto"/>
                <w:sz w:val="20"/>
                <w:szCs w:val="20"/>
                <w:highlight w:val="none"/>
              </w:rPr>
            </w:pPr>
          </w:p>
        </w:tc>
        <w:tc>
          <w:tcPr>
            <w:tcW w:w="116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小计</w:t>
            </w:r>
          </w:p>
        </w:tc>
        <w:tc>
          <w:tcPr>
            <w:tcW w:w="1064"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公务用车购置费</w:t>
            </w:r>
          </w:p>
        </w:tc>
        <w:tc>
          <w:tcPr>
            <w:tcW w:w="116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公务用车运行费</w:t>
            </w:r>
          </w:p>
        </w:tc>
        <w:tc>
          <w:tcPr>
            <w:tcW w:w="1139"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631" w:hRule="atLeast"/>
        </w:trPr>
        <w:tc>
          <w:tcPr>
            <w:tcW w:w="127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w:t>
            </w:r>
          </w:p>
        </w:tc>
        <w:tc>
          <w:tcPr>
            <w:tcW w:w="124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2</w:t>
            </w:r>
          </w:p>
        </w:tc>
        <w:tc>
          <w:tcPr>
            <w:tcW w:w="113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3</w:t>
            </w:r>
          </w:p>
        </w:tc>
        <w:tc>
          <w:tcPr>
            <w:tcW w:w="115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4</w:t>
            </w:r>
          </w:p>
        </w:tc>
        <w:tc>
          <w:tcPr>
            <w:tcW w:w="127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5</w:t>
            </w:r>
          </w:p>
        </w:tc>
        <w:tc>
          <w:tcPr>
            <w:tcW w:w="1244"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6</w:t>
            </w:r>
          </w:p>
        </w:tc>
        <w:tc>
          <w:tcPr>
            <w:tcW w:w="1154"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7</w:t>
            </w:r>
          </w:p>
        </w:tc>
        <w:tc>
          <w:tcPr>
            <w:tcW w:w="1139"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8</w:t>
            </w:r>
          </w:p>
        </w:tc>
        <w:tc>
          <w:tcPr>
            <w:tcW w:w="116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9</w:t>
            </w:r>
          </w:p>
        </w:tc>
        <w:tc>
          <w:tcPr>
            <w:tcW w:w="1064"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10</w:t>
            </w:r>
          </w:p>
        </w:tc>
        <w:tc>
          <w:tcPr>
            <w:tcW w:w="116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11</w:t>
            </w:r>
          </w:p>
        </w:tc>
        <w:tc>
          <w:tcPr>
            <w:tcW w:w="113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 w:type="dxa"/>
          <w:trHeight w:val="762" w:hRule="atLeast"/>
        </w:trPr>
        <w:tc>
          <w:tcPr>
            <w:tcW w:w="1273" w:type="dxa"/>
            <w:tcBorders>
              <w:left w:val="single" w:color="000000"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24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3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5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27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24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5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3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6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0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6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13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2" w:type="dxa"/>
            <w:gridSpan w:val="27"/>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注：本表反映</w:t>
            </w:r>
            <w:r>
              <w:rPr>
                <w:rFonts w:hint="eastAsia" w:ascii="宋体" w:hAnsi="宋体"/>
                <w:b w:val="0"/>
                <w:i w:val="0"/>
                <w:snapToGrid/>
                <w:color w:val="auto"/>
                <w:sz w:val="20"/>
                <w:szCs w:val="20"/>
                <w:highlight w:val="none"/>
                <w:u w:val="none"/>
                <w:lang w:eastAsia="zh-CN"/>
              </w:rPr>
              <w:t>单位</w:t>
            </w:r>
            <w:r>
              <w:rPr>
                <w:rFonts w:hint="default" w:ascii="宋体" w:hAnsi="宋体" w:eastAsia="宋体"/>
                <w:b w:val="0"/>
                <w:i w:val="0"/>
                <w:snapToGrid/>
                <w:color w:val="auto"/>
                <w:sz w:val="20"/>
                <w:szCs w:val="20"/>
                <w:highlight w:val="none"/>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宋体" w:hAnsi="宋体" w:eastAsia="宋体" w:cs="宋体"/>
          <w:color w:val="auto"/>
          <w:sz w:val="20"/>
          <w:szCs w:val="20"/>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0"/>
          <w:szCs w:val="20"/>
          <w:highlight w:val="none"/>
          <w:lang w:val="en-US" w:eastAsia="zh-CN"/>
        </w:rPr>
        <w:t>说明：我单位没有预算安排的三公经费，也没有预算安排的三公支出，故本表无数据。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7"/>
        <w:gridCol w:w="836"/>
        <w:gridCol w:w="836"/>
        <w:gridCol w:w="1"/>
        <w:gridCol w:w="2377"/>
        <w:gridCol w:w="1"/>
        <w:gridCol w:w="2"/>
        <w:gridCol w:w="1460"/>
        <w:gridCol w:w="2"/>
        <w:gridCol w:w="1"/>
        <w:gridCol w:w="2"/>
        <w:gridCol w:w="831"/>
        <w:gridCol w:w="1"/>
        <w:gridCol w:w="2"/>
        <w:gridCol w:w="2"/>
        <w:gridCol w:w="2373"/>
        <w:gridCol w:w="1"/>
        <w:gridCol w:w="2"/>
        <w:gridCol w:w="2"/>
        <w:gridCol w:w="1196"/>
        <w:gridCol w:w="2"/>
        <w:gridCol w:w="2"/>
        <w:gridCol w:w="1"/>
        <w:gridCol w:w="2557"/>
        <w:gridCol w:w="1"/>
        <w:gridCol w:w="2"/>
        <w:gridCol w:w="3"/>
        <w:gridCol w:w="1379"/>
        <w:gridCol w:w="1"/>
        <w:gridCol w:w="2"/>
        <w:gridCol w:w="3"/>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32"/>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eastAsia" w:ascii="华文中宋" w:hAnsi="华文中宋" w:eastAsia="华文中宋" w:cs="华文中宋"/>
                <w:color w:val="auto"/>
                <w:kern w:val="0"/>
                <w:sz w:val="32"/>
                <w:szCs w:val="32"/>
                <w:highlight w:val="none"/>
                <w:lang w:val="en-US" w:eastAsia="zh-CN"/>
              </w:rPr>
              <w:t>政府性基金预算财政拨款收入</w:t>
            </w:r>
            <w:r>
              <w:rPr>
                <w:rFonts w:hint="eastAsia" w:ascii="华文中宋" w:hAnsi="华文中宋" w:eastAsia="华文中宋" w:cs="华文中宋"/>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0" w:type="dxa"/>
          <w:trHeight w:val="285" w:hRule="atLeast"/>
        </w:trPr>
        <w:tc>
          <w:tcPr>
            <w:tcW w:w="287"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3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3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37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463"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36"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378"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01"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562"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385" w:type="dxa"/>
            <w:gridSpan w:val="4"/>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285" w:hRule="atLeast"/>
        </w:trPr>
        <w:tc>
          <w:tcPr>
            <w:tcW w:w="5805" w:type="dxa"/>
            <w:gridSpan w:val="11"/>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：许昌市农村能源管理工作站</w:t>
            </w:r>
          </w:p>
        </w:tc>
        <w:tc>
          <w:tcPr>
            <w:tcW w:w="836"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378"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01"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948" w:type="dxa"/>
            <w:gridSpan w:val="8"/>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4340" w:type="dxa"/>
            <w:gridSpan w:val="7"/>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项目</w:t>
            </w:r>
          </w:p>
        </w:tc>
        <w:tc>
          <w:tcPr>
            <w:tcW w:w="1463"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年初结转和结余</w:t>
            </w:r>
          </w:p>
        </w:tc>
        <w:tc>
          <w:tcPr>
            <w:tcW w:w="836" w:type="dxa"/>
            <w:gridSpan w:val="4"/>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本年收入</w:t>
            </w:r>
          </w:p>
        </w:tc>
        <w:tc>
          <w:tcPr>
            <w:tcW w:w="6144" w:type="dxa"/>
            <w:gridSpan w:val="1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本年支出</w:t>
            </w:r>
          </w:p>
        </w:tc>
        <w:tc>
          <w:tcPr>
            <w:tcW w:w="1385" w:type="dxa"/>
            <w:gridSpan w:val="4"/>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功能分类科目编码</w:t>
            </w:r>
          </w:p>
        </w:tc>
        <w:tc>
          <w:tcPr>
            <w:tcW w:w="237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科目名称</w:t>
            </w:r>
          </w:p>
        </w:tc>
        <w:tc>
          <w:tcPr>
            <w:tcW w:w="1464" w:type="dxa"/>
            <w:gridSpan w:val="3"/>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0"/>
                <w:szCs w:val="20"/>
                <w:highlight w:val="none"/>
              </w:rPr>
            </w:pPr>
          </w:p>
        </w:tc>
        <w:tc>
          <w:tcPr>
            <w:tcW w:w="835" w:type="dxa"/>
            <w:gridSpan w:val="4"/>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0"/>
                <w:szCs w:val="20"/>
                <w:highlight w:val="none"/>
              </w:rPr>
            </w:pPr>
          </w:p>
        </w:tc>
        <w:tc>
          <w:tcPr>
            <w:tcW w:w="2378"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小计</w:t>
            </w:r>
          </w:p>
        </w:tc>
        <w:tc>
          <w:tcPr>
            <w:tcW w:w="1202"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基本支出</w:t>
            </w:r>
          </w:p>
        </w:tc>
        <w:tc>
          <w:tcPr>
            <w:tcW w:w="2561"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项目支出</w:t>
            </w:r>
          </w:p>
        </w:tc>
        <w:tc>
          <w:tcPr>
            <w:tcW w:w="138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37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464"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83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378"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202"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561"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38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37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464"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83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378"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202"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2561"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c>
          <w:tcPr>
            <w:tcW w:w="1385"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color w:val="auto"/>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 w:type="dxa"/>
          <w:trHeight w:val="300" w:hRule="atLeast"/>
        </w:trPr>
        <w:tc>
          <w:tcPr>
            <w:tcW w:w="4340"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栏次</w:t>
            </w:r>
          </w:p>
        </w:tc>
        <w:tc>
          <w:tcPr>
            <w:tcW w:w="1463"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1</w:t>
            </w:r>
          </w:p>
        </w:tc>
        <w:tc>
          <w:tcPr>
            <w:tcW w:w="836"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2</w:t>
            </w:r>
          </w:p>
        </w:tc>
        <w:tc>
          <w:tcPr>
            <w:tcW w:w="2378"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3</w:t>
            </w:r>
          </w:p>
        </w:tc>
        <w:tc>
          <w:tcPr>
            <w:tcW w:w="1202"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4</w:t>
            </w:r>
          </w:p>
        </w:tc>
        <w:tc>
          <w:tcPr>
            <w:tcW w:w="2561"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5</w:t>
            </w:r>
          </w:p>
        </w:tc>
        <w:tc>
          <w:tcPr>
            <w:tcW w:w="1385"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 w:type="dxa"/>
          <w:trHeight w:val="300" w:hRule="atLeast"/>
        </w:trPr>
        <w:tc>
          <w:tcPr>
            <w:tcW w:w="4340"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auto"/>
                <w:sz w:val="20"/>
                <w:szCs w:val="20"/>
                <w:highlight w:val="none"/>
                <w:u w:val="none"/>
                <w:lang w:eastAsia="zh-CN"/>
              </w:rPr>
            </w:pPr>
            <w:r>
              <w:rPr>
                <w:rFonts w:hint="eastAsia" w:ascii="宋体" w:hAnsi="宋体" w:eastAsia="宋体" w:cs="宋体"/>
                <w:b w:val="0"/>
                <w:i w:val="0"/>
                <w:snapToGrid/>
                <w:color w:val="auto"/>
                <w:sz w:val="20"/>
                <w:szCs w:val="20"/>
                <w:highlight w:val="none"/>
                <w:u w:val="none"/>
                <w:lang w:eastAsia="zh-CN"/>
              </w:rPr>
              <w:t>合计</w:t>
            </w:r>
          </w:p>
        </w:tc>
        <w:tc>
          <w:tcPr>
            <w:tcW w:w="1463"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auto"/>
                <w:sz w:val="20"/>
                <w:szCs w:val="20"/>
                <w:highlight w:val="none"/>
                <w:u w:val="none"/>
                <w:lang w:eastAsia="zh-CN"/>
              </w:rPr>
            </w:pPr>
          </w:p>
        </w:tc>
        <w:tc>
          <w:tcPr>
            <w:tcW w:w="83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auto"/>
                <w:sz w:val="20"/>
                <w:szCs w:val="20"/>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auto"/>
                <w:sz w:val="20"/>
                <w:szCs w:val="20"/>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auto"/>
                <w:sz w:val="20"/>
                <w:szCs w:val="20"/>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auto"/>
                <w:sz w:val="20"/>
                <w:szCs w:val="20"/>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auto"/>
                <w:sz w:val="20"/>
                <w:szCs w:val="20"/>
                <w:highlight w:val="none"/>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 w:type="dxa"/>
          <w:trHeight w:val="300" w:hRule="atLeast"/>
        </w:trPr>
        <w:tc>
          <w:tcPr>
            <w:tcW w:w="1960"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p>
        </w:tc>
        <w:tc>
          <w:tcPr>
            <w:tcW w:w="237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p>
        </w:tc>
        <w:tc>
          <w:tcPr>
            <w:tcW w:w="146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83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2378"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202"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256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c>
          <w:tcPr>
            <w:tcW w:w="138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32"/>
            <w:noWrap w:val="0"/>
            <w:vAlign w:val="center"/>
          </w:tcPr>
          <w:p>
            <w:pPr>
              <w:kinsoku/>
              <w:autoSpaceDE/>
              <w:autoSpaceDN w:val="0"/>
              <w:jc w:val="left"/>
              <w:textAlignment w:val="center"/>
              <w:rPr>
                <w:rFonts w:hint="default" w:ascii="宋体" w:hAnsi="宋体" w:eastAsia="宋体"/>
                <w:b w:val="0"/>
                <w:i w:val="0"/>
                <w:snapToGrid/>
                <w:color w:val="auto"/>
                <w:sz w:val="20"/>
                <w:szCs w:val="20"/>
                <w:highlight w:val="none"/>
                <w:u w:val="none"/>
                <w:lang w:eastAsia="zh-CN"/>
              </w:rPr>
            </w:pPr>
            <w:r>
              <w:rPr>
                <w:rFonts w:hint="default" w:ascii="宋体" w:hAnsi="宋体" w:eastAsia="宋体"/>
                <w:b w:val="0"/>
                <w:i w:val="0"/>
                <w:snapToGrid/>
                <w:color w:val="auto"/>
                <w:sz w:val="20"/>
                <w:szCs w:val="20"/>
                <w:highlight w:val="none"/>
                <w:u w:val="none"/>
                <w:lang w:eastAsia="zh-CN"/>
              </w:rPr>
              <w:t>注：本表反映</w:t>
            </w:r>
            <w:r>
              <w:rPr>
                <w:rFonts w:hint="eastAsia" w:ascii="宋体" w:hAnsi="宋体"/>
                <w:b w:val="0"/>
                <w:i w:val="0"/>
                <w:snapToGrid/>
                <w:color w:val="auto"/>
                <w:sz w:val="20"/>
                <w:szCs w:val="20"/>
                <w:highlight w:val="none"/>
                <w:u w:val="none"/>
                <w:lang w:eastAsia="zh-CN"/>
              </w:rPr>
              <w:t>单位</w:t>
            </w:r>
            <w:r>
              <w:rPr>
                <w:rFonts w:hint="default" w:ascii="宋体" w:hAnsi="宋体" w:eastAsia="宋体"/>
                <w:b w:val="0"/>
                <w:i w:val="0"/>
                <w:snapToGrid/>
                <w:color w:val="auto"/>
                <w:sz w:val="20"/>
                <w:szCs w:val="20"/>
                <w:highlight w:val="none"/>
                <w:u w:val="none"/>
                <w:lang w:eastAsia="zh-CN"/>
              </w:rPr>
              <w:t>本年度政府性基金预算财政拨款收入、支出及结转和结余情况。本表金额转换为万元时，因四舍五入可能存在尾差。</w:t>
            </w:r>
          </w:p>
        </w:tc>
      </w:tr>
    </w:tbl>
    <w:p>
      <w:pPr>
        <w:rPr>
          <w:rFonts w:hint="eastAsia" w:ascii="宋体" w:hAnsi="宋体" w:eastAsia="宋体" w:cs="宋体"/>
          <w:color w:val="auto"/>
          <w:sz w:val="20"/>
          <w:szCs w:val="20"/>
          <w:highlight w:val="none"/>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0"/>
          <w:szCs w:val="20"/>
          <w:highlight w:val="none"/>
          <w:lang w:val="en-US" w:eastAsia="zh-CN"/>
        </w:rPr>
        <w:t>说明：我单位没有政府性基金收入，也没有使用政府性基金安排做支出，故本表无数据。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人员工资调整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148.80</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148.80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人员工资调整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23.20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15.72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人员工资调整，社保缴费基数调增</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0.70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27.35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16.02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卫生健康（类）支出4.45万元，占2.61%；农林水（类）支出138.26万元，占80.96%</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150.38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113.56</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0.70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18.82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106.75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存在退休人员中人补差</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8.22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8.53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103.77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养老基数调整</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eastAsia="仿宋_GB2312" w:cs="仿宋_GB2312"/>
          <w:b/>
          <w:color w:val="auto"/>
          <w:kern w:val="0"/>
          <w:sz w:val="32"/>
          <w:szCs w:val="32"/>
          <w:highlight w:val="none"/>
          <w:shd w:val="clear" w:color="auto" w:fill="FFFFFF"/>
        </w:rPr>
        <w:t>卫生和健康支出（类）行政事业单位医疗（款）事业单位医疗（项）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4.45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112.37</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医疗缴费基数调整</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eastAsia="仿宋_GB2312" w:cs="仿宋_GB2312"/>
          <w:b/>
          <w:color w:val="auto"/>
          <w:kern w:val="0"/>
          <w:sz w:val="32"/>
          <w:szCs w:val="32"/>
          <w:highlight w:val="none"/>
          <w:shd w:val="clear" w:color="auto" w:fill="FFFFFF"/>
          <w:lang w:val="en-US" w:eastAsia="zh-CN"/>
        </w:rPr>
        <w:t>5</w:t>
      </w:r>
      <w:r>
        <w:rPr>
          <w:rFonts w:hint="eastAsia" w:ascii="仿宋_GB2312" w:eastAsia="仿宋_GB2312" w:cs="仿宋_GB2312"/>
          <w:b/>
          <w:color w:val="auto"/>
          <w:kern w:val="0"/>
          <w:sz w:val="32"/>
          <w:szCs w:val="32"/>
          <w:highlight w:val="none"/>
          <w:shd w:val="clear" w:color="auto" w:fill="FFFFFF"/>
        </w:rPr>
        <w:t>.农林水支出（类）农业农村（款）事业运行（项）。</w:t>
      </w:r>
      <w:r>
        <w:rPr>
          <w:rFonts w:hint="eastAsia" w:ascii="仿宋_GB2312" w:eastAsia="仿宋_GB2312" w:cs="仿宋_GB2312"/>
          <w:color w:val="auto"/>
          <w:kern w:val="0"/>
          <w:sz w:val="32"/>
          <w:szCs w:val="32"/>
          <w:highlight w:val="none"/>
          <w:shd w:val="clear" w:color="auto" w:fill="FFFFFF"/>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119.87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138.26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115.34</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仿宋_GB2312" w:eastAsia="仿宋_GB2312" w:cs="仿宋_GB2312"/>
          <w:color w:val="auto"/>
          <w:sz w:val="32"/>
          <w:szCs w:val="32"/>
          <w:highlight w:val="none"/>
          <w:lang w:val="en-US" w:eastAsia="zh-CN"/>
        </w:rPr>
        <w:t>是使用上</w:t>
      </w:r>
      <w:r>
        <w:rPr>
          <w:rFonts w:hint="eastAsia" w:ascii="仿宋_GB2312" w:hAnsi="仿宋_GB2312" w:eastAsia="仿宋_GB2312" w:cs="仿宋_GB2312"/>
          <w:color w:val="auto"/>
          <w:sz w:val="32"/>
          <w:szCs w:val="32"/>
          <w:highlight w:val="none"/>
        </w:rPr>
        <w:t>年结转</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170.77</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156.21</w:t>
      </w:r>
      <w:r>
        <w:rPr>
          <w:rFonts w:hint="eastAsia" w:ascii="仿宋_GB2312" w:hAnsi="仿宋_GB2312" w:eastAsia="仿宋_GB2312" w:cs="仿宋_GB2312"/>
          <w:color w:val="auto"/>
          <w:sz w:val="32"/>
          <w:szCs w:val="32"/>
          <w:highlight w:val="none"/>
        </w:rPr>
        <w:t>万元，主要包括：基本工资、津贴补贴、绩效工资、机关事业单位基本养老保险缴费、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其他社会保障缴费、住房公积金、对个人和家庭的补助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退休费</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14.56</w:t>
      </w:r>
      <w:r>
        <w:rPr>
          <w:rFonts w:hint="eastAsia" w:ascii="仿宋_GB2312" w:hAnsi="仿宋_GB2312" w:eastAsia="仿宋_GB2312" w:cs="仿宋_GB2312"/>
          <w:color w:val="auto"/>
          <w:sz w:val="32"/>
          <w:szCs w:val="32"/>
          <w:highlight w:val="none"/>
        </w:rPr>
        <w:t>万元，主要包括：办公费、水费、电费、邮电费、差旅费、会议费、劳务费、工会经费、福利费、其他交通费用、其他商品和服务支出。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0" w:firstLineChars="200"/>
        <w:jc w:val="left"/>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left"/>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color w:val="auto"/>
          <w:sz w:val="32"/>
          <w:szCs w:val="32"/>
          <w:highlight w:val="none"/>
        </w:rPr>
        <w:t>（许财效〔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lang w:val="en-US" w:eastAsia="zh-CN"/>
        </w:rPr>
        <w:t>在单位整体绩效自评实施过程中，未发现任何违规违纪行为的发生，经综合评价，绩效自评100分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1ED00638"/>
    <w:rsid w:val="26223316"/>
    <w:rsid w:val="35020C0B"/>
    <w:rsid w:val="41EC6248"/>
    <w:rsid w:val="44B06E10"/>
    <w:rsid w:val="4FF70D60"/>
    <w:rsid w:val="5E2B1CA6"/>
    <w:rsid w:val="6F273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7468</Words>
  <Characters>8993</Characters>
  <Lines>60</Lines>
  <Paragraphs>16</Paragraphs>
  <TotalTime>2</TotalTime>
  <ScaleCrop>false</ScaleCrop>
  <LinksUpToDate>false</LinksUpToDate>
  <CharactersWithSpaces>9270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2023-02-14T01:56:00Z</dcterms:created>
  <dc:creator>管理者</dc:creator>
  <cp:lastModifiedBy>悟の</cp:lastModifiedBy>
  <dcterms:modified xsi:type="dcterms:W3CDTF">2023-09-17T11:13:01Z</dcterms:modified>
  <dc:title>悟の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CAC65378E20443D39664AB0C830401EB_13</vt:lpwstr>
  </property>
</Properties>
</file>