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bookmarkStart w:id="0" w:name="_GoBack"/>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许昌市农业农村局(本级)单位决算</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color w:val="auto"/>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许昌市农业农村局（本级）概况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单位职责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w:t>
      </w:r>
      <w:r>
        <w:rPr>
          <w:rFonts w:ascii="黑体" w:hAnsi="黑体" w:eastAsia="黑体" w:cs="黑体"/>
          <w:color w:val="auto"/>
          <w:sz w:val="32"/>
          <w:szCs w:val="32"/>
        </w:rPr>
        <w:t>单位</w:t>
      </w:r>
      <w:r>
        <w:rPr>
          <w:rFonts w:hint="eastAsia" w:ascii="黑体" w:hAnsi="黑体" w:eastAsia="黑体" w:cs="黑体"/>
          <w:color w:val="auto"/>
          <w:sz w:val="32"/>
          <w:szCs w:val="32"/>
        </w:rPr>
        <w:t>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宋体" w:eastAsia="黑体" w:cs="宋体"/>
          <w:color w:val="auto"/>
          <w:kern w:val="0"/>
          <w:sz w:val="28"/>
          <w:szCs w:val="28"/>
        </w:rPr>
      </w:pPr>
      <w:r>
        <w:rPr>
          <w:rFonts w:hint="eastAsia" w:ascii="黑体" w:hAnsi="黑体" w:eastAsia="黑体" w:cs="黑体"/>
          <w:color w:val="auto"/>
          <w:sz w:val="48"/>
          <w:szCs w:val="48"/>
        </w:rPr>
        <w:t>第一部分  许昌市农业农村局（本级）概况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一、单位</w:t>
      </w:r>
      <w:r>
        <w:rPr>
          <w:rFonts w:hint="eastAsia" w:ascii="黑体" w:hAnsi="黑体" w:eastAsia="黑体" w:cs="黑体"/>
          <w:bCs/>
          <w:color w:val="auto"/>
          <w:sz w:val="32"/>
          <w:szCs w:val="32"/>
        </w:rPr>
        <w:t>职责</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（一）贯彻执行中央和省委关于农村改革、发展的方针、政策和工作部署,指导全市“三农”工作,贯彻执行农村经济发展、农民增收、社会主义新农村建设等方面的重大政策；</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贯彻执行国家有关畜牧业的法律法规、方针政策，研究制定全市畜牧业发展战略和发展规划，组织实施全市畜牧业结构调整及产业化经营。负责全市的动物防疫、畜禽养殖、畜产品安全监管、畜禽粪污治理、畜禽屠宰监管等相关工作。</w:t>
      </w: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许昌市农业农村局（本级）内设机构20个，包括：</w:t>
      </w:r>
      <w:r>
        <w:rPr>
          <w:rFonts w:hint="eastAsia" w:ascii="仿宋_GB2312" w:hAnsi="仿宋_GB2312" w:eastAsia="仿宋_GB2312" w:cs="仿宋_GB2312"/>
          <w:color w:val="auto"/>
          <w:sz w:val="32"/>
          <w:szCs w:val="32"/>
        </w:rPr>
        <w:t>市委农办秘书科、办公室、人事科（离退休干部工作科）、政务服务科（政策法规与改革科）、发展规划科（宅基地管理科）、计划财务和审计绩效科、乡村产业发展和对外经济合作科、农村社会事业促进和人居环境指导科、农村合作经济和集体经济指导科、科技教育科（资源利用科）、农产品质量安全监管科、粮食作物与经济作物科、种业与农药管理科、畜牧与奶业管理科（水产渔政管理科）、饲料兽药科、兽医与动物疫情应急管理科（市政府重大动物疫情应急指挥部办公室）、畜禽屠宰管理科、农业机械化管理科（市场与信息化科）、农田建设管理科（耕地质量监督评价科）、机关党委。</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从决算单位构成看，许昌市农业农村局（本级）单位决算包括：本级决算(1个)。</w:t>
      </w:r>
    </w:p>
    <w:p>
      <w:pPr>
        <w:widowControl/>
        <w:spacing w:line="360" w:lineRule="auto"/>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许昌市农业农村局（本级）</w:t>
      </w:r>
    </w:p>
    <w:p>
      <w:pPr>
        <w:widowControl/>
        <w:ind w:firstLine="640" w:firstLineChars="200"/>
        <w:jc w:val="left"/>
        <w:rPr>
          <w:rFonts w:ascii="仿宋_GB2312" w:hAnsi="仿宋_GB2312" w:eastAsia="仿宋_GB2312" w:cs="仿宋_GB2312"/>
          <w:color w:val="auto"/>
          <w:kern w:val="0"/>
          <w:sz w:val="32"/>
          <w:szCs w:val="32"/>
        </w:rPr>
      </w:pPr>
    </w:p>
    <w:p>
      <w:pPr>
        <w:widowControl/>
        <w:jc w:val="left"/>
        <w:rPr>
          <w:color w:val="auto"/>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ascii="黑体" w:hAnsi="宋体" w:eastAsia="黑体" w:cs="宋体"/>
          <w:color w:val="auto"/>
          <w:kern w:val="0"/>
          <w:sz w:val="28"/>
          <w:szCs w:val="28"/>
        </w:rPr>
      </w:pPr>
    </w:p>
    <w:p>
      <w:pPr>
        <w:widowControl/>
        <w:jc w:val="left"/>
        <w:rPr>
          <w:color w:val="auto"/>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color w:val="auto"/>
          <w:sz w:val="32"/>
          <w:szCs w:val="32"/>
        </w:rPr>
      </w:pPr>
    </w:p>
    <w:tbl>
      <w:tblPr>
        <w:tblStyle w:val="4"/>
        <w:tblW w:w="14685" w:type="dxa"/>
        <w:tblInd w:w="0" w:type="dxa"/>
        <w:tblLayout w:type="fixed"/>
        <w:tblCellMar>
          <w:top w:w="0" w:type="dxa"/>
          <w:left w:w="15" w:type="dxa"/>
          <w:bottom w:w="0" w:type="dxa"/>
          <w:right w:w="15" w:type="dxa"/>
        </w:tblCellMar>
      </w:tblPr>
      <w:tblGrid>
        <w:gridCol w:w="3375"/>
        <w:gridCol w:w="630"/>
        <w:gridCol w:w="3360"/>
        <w:gridCol w:w="3330"/>
        <w:gridCol w:w="705"/>
        <w:gridCol w:w="3285"/>
      </w:tblGrid>
      <w:tr>
        <w:tblPrEx>
          <w:tblCellMar>
            <w:top w:w="0" w:type="dxa"/>
            <w:left w:w="15" w:type="dxa"/>
            <w:bottom w:w="0" w:type="dxa"/>
            <w:right w:w="15" w:type="dxa"/>
          </w:tblCellMar>
        </w:tblPrEx>
        <w:trPr>
          <w:trHeight w:val="405" w:hRule="atLeast"/>
        </w:trPr>
        <w:tc>
          <w:tcPr>
            <w:tcW w:w="14685" w:type="dxa"/>
            <w:gridSpan w:val="6"/>
            <w:vAlign w:val="bottom"/>
          </w:tcPr>
          <w:p>
            <w:pPr>
              <w:autoSpaceDN w:val="0"/>
              <w:jc w:val="center"/>
              <w:textAlignment w:val="bottom"/>
              <w:rPr>
                <w:rFonts w:ascii="宋体" w:hAnsi="宋体"/>
                <w:color w:val="auto"/>
                <w:sz w:val="32"/>
              </w:rPr>
            </w:pPr>
            <w:r>
              <w:rPr>
                <w:rFonts w:ascii="宋体" w:hAnsi="宋体"/>
                <w:color w:val="auto"/>
                <w:sz w:val="32"/>
              </w:rPr>
              <w:t>收入支出决算总表</w:t>
            </w:r>
          </w:p>
        </w:tc>
      </w:tr>
      <w:tr>
        <w:tblPrEx>
          <w:tblCellMar>
            <w:top w:w="0" w:type="dxa"/>
            <w:left w:w="15" w:type="dxa"/>
            <w:bottom w:w="0" w:type="dxa"/>
            <w:right w:w="15" w:type="dxa"/>
          </w:tblCellMar>
        </w:tblPrEx>
        <w:trPr>
          <w:trHeight w:val="285" w:hRule="atLeast"/>
        </w:trPr>
        <w:tc>
          <w:tcPr>
            <w:tcW w:w="3375" w:type="dxa"/>
            <w:vAlign w:val="bottom"/>
          </w:tcPr>
          <w:p>
            <w:pPr>
              <w:autoSpaceDN w:val="0"/>
              <w:jc w:val="left"/>
              <w:textAlignment w:val="bottom"/>
              <w:rPr>
                <w:rFonts w:ascii="Arial" w:hAnsi="宋体"/>
                <w:color w:val="auto"/>
                <w:sz w:val="20"/>
              </w:rPr>
            </w:pPr>
          </w:p>
        </w:tc>
        <w:tc>
          <w:tcPr>
            <w:tcW w:w="630" w:type="dxa"/>
            <w:vAlign w:val="bottom"/>
          </w:tcPr>
          <w:p>
            <w:pPr>
              <w:autoSpaceDN w:val="0"/>
              <w:jc w:val="left"/>
              <w:textAlignment w:val="bottom"/>
              <w:rPr>
                <w:rFonts w:ascii="Arial" w:hAnsi="宋体"/>
                <w:color w:val="auto"/>
                <w:sz w:val="20"/>
              </w:rPr>
            </w:pPr>
          </w:p>
        </w:tc>
        <w:tc>
          <w:tcPr>
            <w:tcW w:w="3360" w:type="dxa"/>
            <w:vAlign w:val="bottom"/>
          </w:tcPr>
          <w:p>
            <w:pPr>
              <w:autoSpaceDN w:val="0"/>
              <w:jc w:val="left"/>
              <w:textAlignment w:val="bottom"/>
              <w:rPr>
                <w:rFonts w:ascii="Arial" w:hAnsi="宋体"/>
                <w:color w:val="auto"/>
                <w:sz w:val="20"/>
              </w:rPr>
            </w:pPr>
          </w:p>
        </w:tc>
        <w:tc>
          <w:tcPr>
            <w:tcW w:w="3330" w:type="dxa"/>
            <w:vAlign w:val="bottom"/>
          </w:tcPr>
          <w:p>
            <w:pPr>
              <w:autoSpaceDN w:val="0"/>
              <w:jc w:val="left"/>
              <w:textAlignment w:val="bottom"/>
              <w:rPr>
                <w:rFonts w:ascii="Arial" w:hAnsi="宋体"/>
                <w:color w:val="auto"/>
                <w:sz w:val="20"/>
              </w:rPr>
            </w:pPr>
          </w:p>
        </w:tc>
        <w:tc>
          <w:tcPr>
            <w:tcW w:w="705" w:type="dxa"/>
            <w:vAlign w:val="bottom"/>
          </w:tcPr>
          <w:p>
            <w:pPr>
              <w:autoSpaceDN w:val="0"/>
              <w:jc w:val="left"/>
              <w:textAlignment w:val="bottom"/>
              <w:rPr>
                <w:rFonts w:ascii="Arial" w:hAnsi="宋体"/>
                <w:color w:val="auto"/>
                <w:sz w:val="20"/>
              </w:rPr>
            </w:pPr>
          </w:p>
        </w:tc>
        <w:tc>
          <w:tcPr>
            <w:tcW w:w="3285" w:type="dxa"/>
            <w:vAlign w:val="bottom"/>
          </w:tcPr>
          <w:p>
            <w:pPr>
              <w:autoSpaceDN w:val="0"/>
              <w:jc w:val="right"/>
              <w:textAlignment w:val="bottom"/>
              <w:rPr>
                <w:rFonts w:ascii="宋体" w:hAnsi="宋体"/>
                <w:color w:val="auto"/>
                <w:sz w:val="20"/>
              </w:rPr>
            </w:pPr>
            <w:r>
              <w:rPr>
                <w:rFonts w:ascii="宋体" w:hAnsi="宋体"/>
                <w:color w:val="auto"/>
                <w:sz w:val="20"/>
              </w:rPr>
              <w:t>公开01表</w:t>
            </w:r>
          </w:p>
        </w:tc>
      </w:tr>
      <w:tr>
        <w:tblPrEx>
          <w:tblCellMar>
            <w:top w:w="0" w:type="dxa"/>
            <w:left w:w="15" w:type="dxa"/>
            <w:bottom w:w="0" w:type="dxa"/>
            <w:right w:w="15" w:type="dxa"/>
          </w:tblCellMar>
        </w:tblPrEx>
        <w:trPr>
          <w:trHeight w:val="240" w:hRule="atLeast"/>
        </w:trPr>
        <w:tc>
          <w:tcPr>
            <w:tcW w:w="3375" w:type="dxa"/>
            <w:vAlign w:val="bottom"/>
          </w:tcPr>
          <w:p>
            <w:pPr>
              <w:autoSpaceDN w:val="0"/>
              <w:jc w:val="left"/>
              <w:textAlignment w:val="bottom"/>
              <w:rPr>
                <w:rFonts w:ascii="宋体" w:hAnsi="宋体"/>
                <w:color w:val="auto"/>
                <w:sz w:val="20"/>
              </w:rPr>
            </w:pPr>
            <w:r>
              <w:rPr>
                <w:rFonts w:ascii="宋体" w:hAnsi="宋体"/>
                <w:color w:val="auto"/>
                <w:sz w:val="20"/>
              </w:rPr>
              <w:t>单位：许昌市农业农村局(本级）</w:t>
            </w:r>
          </w:p>
        </w:tc>
        <w:tc>
          <w:tcPr>
            <w:tcW w:w="630" w:type="dxa"/>
            <w:vAlign w:val="bottom"/>
          </w:tcPr>
          <w:p>
            <w:pPr>
              <w:autoSpaceDN w:val="0"/>
              <w:jc w:val="left"/>
              <w:textAlignment w:val="bottom"/>
              <w:rPr>
                <w:rFonts w:ascii="Arial" w:hAnsi="宋体"/>
                <w:color w:val="auto"/>
                <w:sz w:val="20"/>
              </w:rPr>
            </w:pPr>
          </w:p>
        </w:tc>
        <w:tc>
          <w:tcPr>
            <w:tcW w:w="3360" w:type="dxa"/>
            <w:vAlign w:val="bottom"/>
          </w:tcPr>
          <w:p>
            <w:pPr>
              <w:autoSpaceDN w:val="0"/>
              <w:jc w:val="left"/>
              <w:textAlignment w:val="bottom"/>
              <w:rPr>
                <w:rFonts w:ascii="Arial" w:hAnsi="宋体"/>
                <w:color w:val="auto"/>
                <w:sz w:val="20"/>
              </w:rPr>
            </w:pPr>
          </w:p>
        </w:tc>
        <w:tc>
          <w:tcPr>
            <w:tcW w:w="3330" w:type="dxa"/>
            <w:vAlign w:val="bottom"/>
          </w:tcPr>
          <w:p>
            <w:pPr>
              <w:autoSpaceDN w:val="0"/>
              <w:jc w:val="left"/>
              <w:textAlignment w:val="bottom"/>
              <w:rPr>
                <w:rFonts w:ascii="Arial" w:hAnsi="宋体"/>
                <w:color w:val="auto"/>
                <w:sz w:val="20"/>
              </w:rPr>
            </w:pPr>
          </w:p>
        </w:tc>
        <w:tc>
          <w:tcPr>
            <w:tcW w:w="705" w:type="dxa"/>
            <w:vAlign w:val="bottom"/>
          </w:tcPr>
          <w:p>
            <w:pPr>
              <w:autoSpaceDN w:val="0"/>
              <w:jc w:val="left"/>
              <w:textAlignment w:val="bottom"/>
              <w:rPr>
                <w:rFonts w:ascii="Arial" w:hAnsi="宋体"/>
                <w:color w:val="auto"/>
                <w:sz w:val="20"/>
              </w:rPr>
            </w:pPr>
          </w:p>
        </w:tc>
        <w:tc>
          <w:tcPr>
            <w:tcW w:w="3285" w:type="dxa"/>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00" w:hRule="atLeast"/>
        </w:trPr>
        <w:tc>
          <w:tcPr>
            <w:tcW w:w="7365"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收入</w:t>
            </w:r>
          </w:p>
        </w:tc>
        <w:tc>
          <w:tcPr>
            <w:tcW w:w="7320"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支出</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行次</w:t>
            </w:r>
          </w:p>
        </w:tc>
        <w:tc>
          <w:tcPr>
            <w:tcW w:w="336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金额</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行次</w:t>
            </w:r>
          </w:p>
        </w:tc>
        <w:tc>
          <w:tcPr>
            <w:tcW w:w="328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金额</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p>
        </w:tc>
        <w:tc>
          <w:tcPr>
            <w:tcW w:w="336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p>
        </w:tc>
        <w:tc>
          <w:tcPr>
            <w:tcW w:w="328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一、一般公共预算财政拨款收入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1,649.87</w:t>
            </w: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一、一般公共服务支出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二、政府性基金预算财政拨款收入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二、外交支出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33</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三、国有资本经营预算财政拨款收入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三、国防支出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34</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四、上级补助收入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四、公共安全支出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35</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五、事业收入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五、教育支出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36</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六、经营收入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六、科学技术支出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37</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七、附属单位上缴收入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7</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七、文化旅游体育与传媒支出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38</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八、其他收入</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8</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八、社会保障和就业支出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39</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478.51</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9</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九、卫生健康支出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40</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10</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十、节能环保支出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41</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十一、城乡社区支出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12</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十二、农林水支出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43</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2,078.21</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13</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十三、交通运输支出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44</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14</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十四、资源勘探工业信息等支出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45</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15</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十五、商业服务业等支出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46</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16</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十六、金融支出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47</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17</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十七、援助其他地区支出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48</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18</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十八、自然资源海洋气象等支出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49</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19</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十九、住房保障支出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50</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20</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二十、粮油物资储备支出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51</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二十一、国有资本经营预算支出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22</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二十二、灾害防治及应急管理支出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53</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23</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二十三、其他支出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54</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auto"/>
                <w:sz w:val="20"/>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0"/>
              </w:rPr>
            </w:pPr>
            <w:r>
              <w:rPr>
                <w:rFonts w:ascii="宋体" w:hAnsi="宋体"/>
                <w:color w:val="auto"/>
                <w:sz w:val="20"/>
              </w:rPr>
              <w:t>24</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0"/>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二十四、债务还本支出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55</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0"/>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0"/>
              </w:rPr>
            </w:pPr>
            <w:r>
              <w:rPr>
                <w:rFonts w:ascii="宋体" w:hAnsi="宋体"/>
                <w:color w:val="auto"/>
                <w:sz w:val="20"/>
              </w:rPr>
              <w:t>25</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0"/>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二十五、债务付息支出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56</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0"/>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0"/>
              </w:rPr>
            </w:pPr>
            <w:r>
              <w:rPr>
                <w:rFonts w:ascii="宋体" w:hAnsi="宋体"/>
                <w:color w:val="auto"/>
                <w:sz w:val="20"/>
              </w:rPr>
              <w:t>26</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0"/>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二十六、抗疫特别国债安排的支出</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57</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本年收入合计</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27</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1,649.87</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本年支出合计</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58</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使用非财政拨款结余</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28</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结余分配</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59</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年初结转和结余</w:t>
            </w: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29</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998.81</w:t>
            </w: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年末结转和结余</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60</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29.75</w:t>
            </w: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30</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333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61</w:t>
            </w:r>
          </w:p>
        </w:tc>
        <w:tc>
          <w:tcPr>
            <w:tcW w:w="328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337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总计</w:t>
            </w:r>
          </w:p>
        </w:tc>
        <w:tc>
          <w:tcPr>
            <w:tcW w:w="630" w:type="dxa"/>
            <w:tcBorders>
              <w:bottom w:val="single" w:color="000000" w:sz="8"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31</w:t>
            </w:r>
          </w:p>
        </w:tc>
        <w:tc>
          <w:tcPr>
            <w:tcW w:w="336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2,648.68</w:t>
            </w:r>
          </w:p>
        </w:tc>
        <w:tc>
          <w:tcPr>
            <w:tcW w:w="3330" w:type="dxa"/>
            <w:tcBorders>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总计</w:t>
            </w:r>
          </w:p>
        </w:tc>
        <w:tc>
          <w:tcPr>
            <w:tcW w:w="7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62</w:t>
            </w:r>
          </w:p>
        </w:tc>
        <w:tc>
          <w:tcPr>
            <w:tcW w:w="32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2,648.68</w:t>
            </w:r>
          </w:p>
        </w:tc>
      </w:tr>
      <w:tr>
        <w:tblPrEx>
          <w:tblCellMar>
            <w:top w:w="0" w:type="dxa"/>
            <w:left w:w="15" w:type="dxa"/>
            <w:bottom w:w="0" w:type="dxa"/>
            <w:right w:w="15" w:type="dxa"/>
          </w:tblCellMar>
        </w:tblPrEx>
        <w:trPr>
          <w:trHeight w:val="300" w:hRule="atLeast"/>
        </w:trPr>
        <w:tc>
          <w:tcPr>
            <w:tcW w:w="14685" w:type="dxa"/>
            <w:gridSpan w:val="6"/>
            <w:vAlign w:val="center"/>
          </w:tcPr>
          <w:p>
            <w:pPr>
              <w:autoSpaceDN w:val="0"/>
              <w:jc w:val="left"/>
              <w:textAlignment w:val="center"/>
              <w:rPr>
                <w:rFonts w:ascii="宋体" w:hAnsi="宋体"/>
                <w:color w:val="auto"/>
                <w:sz w:val="22"/>
              </w:rPr>
            </w:pPr>
            <w:r>
              <w:rPr>
                <w:rFonts w:ascii="宋体" w:hAnsi="宋体"/>
                <w:color w:val="auto"/>
                <w:sz w:val="22"/>
              </w:rPr>
              <w:t>注：本表反映单位本年度的总收支和年末结转结余情况。本表金额转换为万元时，因四舍五入可能存在尾差。</w:t>
            </w:r>
          </w:p>
        </w:tc>
      </w:tr>
    </w:tbl>
    <w:p>
      <w:pPr>
        <w:rPr>
          <w:color w:val="auto"/>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color w:val="auto"/>
          <w:sz w:val="32"/>
          <w:szCs w:val="32"/>
        </w:rPr>
      </w:pPr>
    </w:p>
    <w:tbl>
      <w:tblPr>
        <w:tblStyle w:val="4"/>
        <w:tblW w:w="13590" w:type="dxa"/>
        <w:tblInd w:w="0" w:type="dxa"/>
        <w:tblLayout w:type="fixed"/>
        <w:tblCellMar>
          <w:top w:w="0" w:type="dxa"/>
          <w:left w:w="15" w:type="dxa"/>
          <w:bottom w:w="0" w:type="dxa"/>
          <w:right w:w="15" w:type="dxa"/>
        </w:tblCellMar>
      </w:tblPr>
      <w:tblGrid>
        <w:gridCol w:w="375"/>
        <w:gridCol w:w="990"/>
        <w:gridCol w:w="990"/>
        <w:gridCol w:w="3495"/>
        <w:gridCol w:w="1575"/>
        <w:gridCol w:w="990"/>
        <w:gridCol w:w="1200"/>
        <w:gridCol w:w="990"/>
        <w:gridCol w:w="990"/>
        <w:gridCol w:w="990"/>
        <w:gridCol w:w="1005"/>
      </w:tblGrid>
      <w:tr>
        <w:tblPrEx>
          <w:tblCellMar>
            <w:top w:w="0" w:type="dxa"/>
            <w:left w:w="15" w:type="dxa"/>
            <w:bottom w:w="0" w:type="dxa"/>
            <w:right w:w="15" w:type="dxa"/>
          </w:tblCellMar>
        </w:tblPrEx>
        <w:trPr>
          <w:trHeight w:val="405" w:hRule="atLeast"/>
        </w:trPr>
        <w:tc>
          <w:tcPr>
            <w:tcW w:w="13590" w:type="dxa"/>
            <w:gridSpan w:val="11"/>
            <w:vAlign w:val="bottom"/>
          </w:tcPr>
          <w:p>
            <w:pPr>
              <w:autoSpaceDN w:val="0"/>
              <w:jc w:val="center"/>
              <w:textAlignment w:val="bottom"/>
              <w:rPr>
                <w:rFonts w:ascii="宋体" w:hAnsi="宋体"/>
                <w:color w:val="auto"/>
                <w:sz w:val="32"/>
              </w:rPr>
            </w:pPr>
            <w:r>
              <w:rPr>
                <w:rFonts w:ascii="宋体" w:hAnsi="宋体"/>
                <w:color w:val="auto"/>
                <w:sz w:val="32"/>
              </w:rPr>
              <w:t>收入决算表</w:t>
            </w:r>
          </w:p>
        </w:tc>
      </w:tr>
      <w:tr>
        <w:tblPrEx>
          <w:tblCellMar>
            <w:top w:w="0" w:type="dxa"/>
            <w:left w:w="15" w:type="dxa"/>
            <w:bottom w:w="0" w:type="dxa"/>
            <w:right w:w="15" w:type="dxa"/>
          </w:tblCellMar>
        </w:tblPrEx>
        <w:trPr>
          <w:trHeight w:val="285" w:hRule="atLeast"/>
        </w:trPr>
        <w:tc>
          <w:tcPr>
            <w:tcW w:w="375"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3495" w:type="dxa"/>
            <w:vAlign w:val="bottom"/>
          </w:tcPr>
          <w:p>
            <w:pPr>
              <w:autoSpaceDN w:val="0"/>
              <w:jc w:val="left"/>
              <w:textAlignment w:val="bottom"/>
              <w:rPr>
                <w:rFonts w:ascii="Arial" w:hAnsi="宋体"/>
                <w:color w:val="auto"/>
                <w:sz w:val="20"/>
              </w:rPr>
            </w:pPr>
          </w:p>
        </w:tc>
        <w:tc>
          <w:tcPr>
            <w:tcW w:w="1575"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20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995" w:type="dxa"/>
            <w:gridSpan w:val="2"/>
            <w:vAlign w:val="bottom"/>
          </w:tcPr>
          <w:p>
            <w:pPr>
              <w:autoSpaceDN w:val="0"/>
              <w:jc w:val="right"/>
              <w:textAlignment w:val="bottom"/>
              <w:rPr>
                <w:rFonts w:ascii="宋体" w:hAnsi="宋体"/>
                <w:color w:val="auto"/>
                <w:sz w:val="20"/>
              </w:rPr>
            </w:pPr>
            <w:r>
              <w:rPr>
                <w:rFonts w:ascii="宋体" w:hAnsi="宋体"/>
                <w:color w:val="auto"/>
                <w:sz w:val="20"/>
              </w:rPr>
              <w:t>公开02表</w:t>
            </w:r>
          </w:p>
        </w:tc>
      </w:tr>
      <w:tr>
        <w:tblPrEx>
          <w:tblCellMar>
            <w:top w:w="0" w:type="dxa"/>
            <w:left w:w="15" w:type="dxa"/>
            <w:bottom w:w="0" w:type="dxa"/>
            <w:right w:w="15" w:type="dxa"/>
          </w:tblCellMar>
        </w:tblPrEx>
        <w:trPr>
          <w:trHeight w:val="240" w:hRule="atLeast"/>
        </w:trPr>
        <w:tc>
          <w:tcPr>
            <w:tcW w:w="5850" w:type="dxa"/>
            <w:gridSpan w:val="4"/>
            <w:vAlign w:val="bottom"/>
          </w:tcPr>
          <w:p>
            <w:pPr>
              <w:autoSpaceDN w:val="0"/>
              <w:jc w:val="left"/>
              <w:textAlignment w:val="bottom"/>
              <w:rPr>
                <w:rFonts w:ascii="Arial" w:hAnsi="宋体"/>
                <w:color w:val="auto"/>
                <w:sz w:val="20"/>
              </w:rPr>
            </w:pPr>
            <w:r>
              <w:rPr>
                <w:rFonts w:ascii="宋体" w:hAnsi="宋体"/>
                <w:color w:val="auto"/>
                <w:sz w:val="20"/>
              </w:rPr>
              <w:t>单位：许昌市农业农村局(本级）</w:t>
            </w:r>
          </w:p>
        </w:tc>
        <w:tc>
          <w:tcPr>
            <w:tcW w:w="1575"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20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995" w:type="dxa"/>
            <w:gridSpan w:val="2"/>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00" w:hRule="atLeast"/>
        </w:trPr>
        <w:tc>
          <w:tcPr>
            <w:tcW w:w="585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15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本年收入合计</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财政拨款收入</w:t>
            </w:r>
          </w:p>
        </w:tc>
        <w:tc>
          <w:tcPr>
            <w:tcW w:w="120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上级补助收入</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事业收入</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经营收入</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附属单位上缴收入</w:t>
            </w:r>
          </w:p>
        </w:tc>
        <w:tc>
          <w:tcPr>
            <w:tcW w:w="100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其他收入</w:t>
            </w:r>
          </w:p>
        </w:tc>
      </w:tr>
      <w:tr>
        <w:tblPrEx>
          <w:tblCellMar>
            <w:top w:w="0" w:type="dxa"/>
            <w:left w:w="15" w:type="dxa"/>
            <w:bottom w:w="0" w:type="dxa"/>
            <w:right w:w="15" w:type="dxa"/>
          </w:tblCellMar>
        </w:tblPrEx>
        <w:trPr>
          <w:trHeight w:val="312" w:hRule="atLeast"/>
        </w:trPr>
        <w:tc>
          <w:tcPr>
            <w:tcW w:w="2355"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功能分类科目编码</w:t>
            </w:r>
          </w:p>
        </w:tc>
        <w:tc>
          <w:tcPr>
            <w:tcW w:w="349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科目名称</w:t>
            </w:r>
          </w:p>
        </w:tc>
        <w:tc>
          <w:tcPr>
            <w:tcW w:w="157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20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00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3495" w:type="dxa"/>
            <w:vMerge w:val="continue"/>
            <w:tcBorders>
              <w:bottom w:val="single" w:color="000000" w:sz="4" w:space="0"/>
              <w:right w:val="single" w:color="000000" w:sz="4" w:space="0"/>
            </w:tcBorders>
            <w:vAlign w:val="center"/>
          </w:tcPr>
          <w:p>
            <w:pPr>
              <w:rPr>
                <w:rFonts w:ascii="宋体" w:hAnsi="宋体"/>
                <w:color w:val="auto"/>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20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00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3495" w:type="dxa"/>
            <w:vMerge w:val="continue"/>
            <w:tcBorders>
              <w:bottom w:val="single" w:color="000000" w:sz="4" w:space="0"/>
              <w:right w:val="single" w:color="000000" w:sz="4" w:space="0"/>
            </w:tcBorders>
            <w:vAlign w:val="center"/>
          </w:tcPr>
          <w:p>
            <w:pPr>
              <w:rPr>
                <w:rFonts w:ascii="宋体" w:hAnsi="宋体"/>
                <w:color w:val="auto"/>
                <w:sz w:val="24"/>
              </w:rPr>
            </w:pPr>
          </w:p>
        </w:tc>
        <w:tc>
          <w:tcPr>
            <w:tcW w:w="157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20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00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157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12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w:t>
            </w:r>
          </w:p>
        </w:tc>
        <w:tc>
          <w:tcPr>
            <w:tcW w:w="100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7</w:t>
            </w: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合计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1,649.87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1,649.87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一般公共服务支出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20129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群众团体事务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2012906</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工会事务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社会保障和就业支出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381.59</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381.59</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行政事业单位养老支出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338.67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338.67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行政单位离退休</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289.63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289.63</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机关事业单位基本养老保险缴费支出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49.04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49.04</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抚恤</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42.92</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42.92</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2080801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死亡抚恤</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42.92</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42.92</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卫生健康支出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47.07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47.07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行政事业单位医疗</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47.07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47.07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行政单位医疗</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26.90</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2101103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公务员医疗补助</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20.17</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20.17</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农林水支出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1,215.90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1,215.90</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农业农村</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1,215.90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1,215.90</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行政运行</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1,157.21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1,157.21</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2130102</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一般行政管理事务</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41.45</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41.45</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2130199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其他农业农村支出</w:t>
            </w:r>
          </w:p>
        </w:tc>
        <w:tc>
          <w:tcPr>
            <w:tcW w:w="157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17.24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17.24</w:t>
            </w:r>
          </w:p>
        </w:tc>
        <w:tc>
          <w:tcPr>
            <w:tcW w:w="120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13590" w:type="dxa"/>
            <w:gridSpan w:val="11"/>
            <w:vAlign w:val="center"/>
          </w:tcPr>
          <w:p>
            <w:pPr>
              <w:autoSpaceDN w:val="0"/>
              <w:jc w:val="left"/>
              <w:textAlignment w:val="center"/>
              <w:rPr>
                <w:rFonts w:ascii="宋体" w:hAnsi="宋体"/>
                <w:color w:val="auto"/>
                <w:sz w:val="22"/>
              </w:rPr>
            </w:pPr>
            <w:r>
              <w:rPr>
                <w:rFonts w:ascii="宋体" w:hAnsi="宋体"/>
                <w:color w:val="auto"/>
                <w:sz w:val="22"/>
              </w:rPr>
              <w:t>注：本表反映单位本年度取得的各项收入情况。本表金额转换为万元时，因四舍五入可能存在尾差。</w:t>
            </w:r>
          </w:p>
        </w:tc>
      </w:tr>
    </w:tbl>
    <w:p>
      <w:pPr>
        <w:rPr>
          <w:color w:val="auto"/>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725" w:type="dxa"/>
        <w:tblInd w:w="0" w:type="dxa"/>
        <w:tblLayout w:type="fixed"/>
        <w:tblCellMar>
          <w:top w:w="0" w:type="dxa"/>
          <w:left w:w="15" w:type="dxa"/>
          <w:bottom w:w="0" w:type="dxa"/>
          <w:right w:w="15" w:type="dxa"/>
        </w:tblCellMar>
      </w:tblPr>
      <w:tblGrid>
        <w:gridCol w:w="375"/>
        <w:gridCol w:w="990"/>
        <w:gridCol w:w="990"/>
        <w:gridCol w:w="3495"/>
        <w:gridCol w:w="1680"/>
        <w:gridCol w:w="990"/>
        <w:gridCol w:w="1455"/>
        <w:gridCol w:w="1065"/>
        <w:gridCol w:w="990"/>
        <w:gridCol w:w="1695"/>
      </w:tblGrid>
      <w:tr>
        <w:tblPrEx>
          <w:tblCellMar>
            <w:top w:w="0" w:type="dxa"/>
            <w:left w:w="15" w:type="dxa"/>
            <w:bottom w:w="0" w:type="dxa"/>
            <w:right w:w="15" w:type="dxa"/>
          </w:tblCellMar>
        </w:tblPrEx>
        <w:trPr>
          <w:trHeight w:val="405" w:hRule="atLeast"/>
        </w:trPr>
        <w:tc>
          <w:tcPr>
            <w:tcW w:w="13725" w:type="dxa"/>
            <w:gridSpan w:val="10"/>
            <w:vAlign w:val="bottom"/>
          </w:tcPr>
          <w:p>
            <w:pPr>
              <w:autoSpaceDN w:val="0"/>
              <w:jc w:val="center"/>
              <w:textAlignment w:val="bottom"/>
              <w:rPr>
                <w:rFonts w:ascii="宋体" w:hAnsi="宋体"/>
                <w:color w:val="auto"/>
                <w:sz w:val="32"/>
              </w:rPr>
            </w:pPr>
            <w:r>
              <w:rPr>
                <w:rFonts w:ascii="宋体" w:hAnsi="宋体"/>
                <w:color w:val="auto"/>
                <w:sz w:val="32"/>
              </w:rPr>
              <w:t>支出决算表</w:t>
            </w:r>
          </w:p>
        </w:tc>
      </w:tr>
      <w:tr>
        <w:tblPrEx>
          <w:tblCellMar>
            <w:top w:w="0" w:type="dxa"/>
            <w:left w:w="15" w:type="dxa"/>
            <w:bottom w:w="0" w:type="dxa"/>
            <w:right w:w="15" w:type="dxa"/>
          </w:tblCellMar>
        </w:tblPrEx>
        <w:trPr>
          <w:trHeight w:val="285" w:hRule="atLeast"/>
        </w:trPr>
        <w:tc>
          <w:tcPr>
            <w:tcW w:w="375"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3495" w:type="dxa"/>
            <w:vAlign w:val="bottom"/>
          </w:tcPr>
          <w:p>
            <w:pPr>
              <w:autoSpaceDN w:val="0"/>
              <w:jc w:val="left"/>
              <w:textAlignment w:val="bottom"/>
              <w:rPr>
                <w:rFonts w:ascii="Arial" w:hAnsi="宋体"/>
                <w:color w:val="auto"/>
                <w:sz w:val="20"/>
              </w:rPr>
            </w:pPr>
          </w:p>
        </w:tc>
        <w:tc>
          <w:tcPr>
            <w:tcW w:w="168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455" w:type="dxa"/>
            <w:vAlign w:val="bottom"/>
          </w:tcPr>
          <w:p>
            <w:pPr>
              <w:autoSpaceDN w:val="0"/>
              <w:jc w:val="left"/>
              <w:textAlignment w:val="bottom"/>
              <w:rPr>
                <w:rFonts w:ascii="Arial" w:hAnsi="宋体"/>
                <w:color w:val="auto"/>
                <w:sz w:val="20"/>
              </w:rPr>
            </w:pPr>
          </w:p>
        </w:tc>
        <w:tc>
          <w:tcPr>
            <w:tcW w:w="1065"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695" w:type="dxa"/>
            <w:vAlign w:val="bottom"/>
          </w:tcPr>
          <w:p>
            <w:pPr>
              <w:autoSpaceDN w:val="0"/>
              <w:jc w:val="right"/>
              <w:textAlignment w:val="bottom"/>
              <w:rPr>
                <w:rFonts w:ascii="宋体" w:hAnsi="宋体"/>
                <w:color w:val="auto"/>
                <w:sz w:val="20"/>
              </w:rPr>
            </w:pPr>
            <w:r>
              <w:rPr>
                <w:rFonts w:ascii="宋体" w:hAnsi="宋体"/>
                <w:color w:val="auto"/>
                <w:sz w:val="20"/>
              </w:rPr>
              <w:t>公开03表</w:t>
            </w:r>
          </w:p>
        </w:tc>
      </w:tr>
      <w:tr>
        <w:tblPrEx>
          <w:tblCellMar>
            <w:top w:w="0" w:type="dxa"/>
            <w:left w:w="15" w:type="dxa"/>
            <w:bottom w:w="0" w:type="dxa"/>
            <w:right w:w="15" w:type="dxa"/>
          </w:tblCellMar>
        </w:tblPrEx>
        <w:trPr>
          <w:trHeight w:val="240" w:hRule="atLeast"/>
        </w:trPr>
        <w:tc>
          <w:tcPr>
            <w:tcW w:w="5850" w:type="dxa"/>
            <w:gridSpan w:val="4"/>
            <w:vAlign w:val="bottom"/>
          </w:tcPr>
          <w:p>
            <w:pPr>
              <w:autoSpaceDN w:val="0"/>
              <w:jc w:val="left"/>
              <w:textAlignment w:val="bottom"/>
              <w:rPr>
                <w:rFonts w:ascii="宋体" w:hAnsi="宋体"/>
                <w:color w:val="auto"/>
                <w:sz w:val="20"/>
              </w:rPr>
            </w:pPr>
            <w:r>
              <w:rPr>
                <w:rFonts w:ascii="宋体" w:hAnsi="宋体"/>
                <w:color w:val="auto"/>
                <w:sz w:val="20"/>
              </w:rPr>
              <w:t>单位：许昌市农业农村局(本级）</w:t>
            </w:r>
          </w:p>
        </w:tc>
        <w:tc>
          <w:tcPr>
            <w:tcW w:w="168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455" w:type="dxa"/>
            <w:vAlign w:val="bottom"/>
          </w:tcPr>
          <w:p>
            <w:pPr>
              <w:autoSpaceDN w:val="0"/>
              <w:jc w:val="left"/>
              <w:textAlignment w:val="bottom"/>
              <w:rPr>
                <w:rFonts w:ascii="Arial" w:hAnsi="宋体"/>
                <w:color w:val="auto"/>
                <w:sz w:val="20"/>
              </w:rPr>
            </w:pPr>
          </w:p>
        </w:tc>
        <w:tc>
          <w:tcPr>
            <w:tcW w:w="1065"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1695" w:type="dxa"/>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00" w:hRule="atLeast"/>
        </w:trPr>
        <w:tc>
          <w:tcPr>
            <w:tcW w:w="585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168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本年支出合计</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基本支出</w:t>
            </w:r>
          </w:p>
        </w:tc>
        <w:tc>
          <w:tcPr>
            <w:tcW w:w="145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项目支出</w:t>
            </w:r>
          </w:p>
        </w:tc>
        <w:tc>
          <w:tcPr>
            <w:tcW w:w="106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上缴上级支出</w:t>
            </w:r>
          </w:p>
        </w:tc>
        <w:tc>
          <w:tcPr>
            <w:tcW w:w="99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经营支出</w:t>
            </w:r>
          </w:p>
        </w:tc>
        <w:tc>
          <w:tcPr>
            <w:tcW w:w="169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对附属单位补助支出</w:t>
            </w:r>
          </w:p>
        </w:tc>
      </w:tr>
      <w:tr>
        <w:tblPrEx>
          <w:tblCellMar>
            <w:top w:w="0" w:type="dxa"/>
            <w:left w:w="15" w:type="dxa"/>
            <w:bottom w:w="0" w:type="dxa"/>
            <w:right w:w="15" w:type="dxa"/>
          </w:tblCellMar>
        </w:tblPrEx>
        <w:trPr>
          <w:trHeight w:val="312" w:hRule="atLeast"/>
        </w:trPr>
        <w:tc>
          <w:tcPr>
            <w:tcW w:w="2355"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功能分类科目编码</w:t>
            </w:r>
          </w:p>
        </w:tc>
        <w:tc>
          <w:tcPr>
            <w:tcW w:w="349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科目名称</w:t>
            </w:r>
          </w:p>
        </w:tc>
        <w:tc>
          <w:tcPr>
            <w:tcW w:w="168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45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06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69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3495" w:type="dxa"/>
            <w:vMerge w:val="continue"/>
            <w:tcBorders>
              <w:bottom w:val="single" w:color="000000" w:sz="4" w:space="0"/>
              <w:right w:val="single" w:color="000000" w:sz="4" w:space="0"/>
            </w:tcBorders>
            <w:vAlign w:val="center"/>
          </w:tcPr>
          <w:p>
            <w:pPr>
              <w:rPr>
                <w:rFonts w:ascii="宋体" w:hAnsi="宋体"/>
                <w:color w:val="auto"/>
                <w:sz w:val="24"/>
              </w:rPr>
            </w:pPr>
          </w:p>
        </w:tc>
        <w:tc>
          <w:tcPr>
            <w:tcW w:w="168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45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06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69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3495" w:type="dxa"/>
            <w:vMerge w:val="continue"/>
            <w:tcBorders>
              <w:bottom w:val="single" w:color="000000" w:sz="4" w:space="0"/>
              <w:right w:val="single" w:color="000000" w:sz="4" w:space="0"/>
            </w:tcBorders>
            <w:vAlign w:val="center"/>
          </w:tcPr>
          <w:p>
            <w:pPr>
              <w:rPr>
                <w:rFonts w:ascii="宋体" w:hAnsi="宋体"/>
                <w:color w:val="auto"/>
                <w:sz w:val="24"/>
              </w:rPr>
            </w:pPr>
          </w:p>
        </w:tc>
        <w:tc>
          <w:tcPr>
            <w:tcW w:w="168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45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06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69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168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145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c>
          <w:tcPr>
            <w:tcW w:w="106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w:t>
            </w:r>
          </w:p>
        </w:tc>
        <w:tc>
          <w:tcPr>
            <w:tcW w:w="169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w:t>
            </w:r>
          </w:p>
        </w:tc>
      </w:tr>
      <w:tr>
        <w:tblPrEx>
          <w:tblCellMar>
            <w:top w:w="0" w:type="dxa"/>
            <w:left w:w="15" w:type="dxa"/>
            <w:bottom w:w="0" w:type="dxa"/>
            <w:right w:w="15" w:type="dxa"/>
          </w:tblCellMar>
        </w:tblPrEx>
        <w:trPr>
          <w:trHeight w:val="300" w:hRule="atLeast"/>
        </w:trPr>
        <w:tc>
          <w:tcPr>
            <w:tcW w:w="585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合计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1,806.58</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812.35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一般公共服务支出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20129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群众团体事务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2012906</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工会事务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社会保障和就业支出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478.51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478.51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行政事业单位养老支出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410.22</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410.22</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行政单位离退休</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347.56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347.56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2080505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机关事业单位基本养老保险缴费支出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62.66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62.66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抚恤</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2080801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死亡抚恤</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卫生健康支出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行政事业单位医疗</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行政单位医疗</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28.81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28.81</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2101103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公务员医疗补助</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28.10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28.10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农林水支出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2,078.21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1,265.86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812.35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农业农村</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2,077.95</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1,265.60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812.35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行政运行</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1,290.74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1,265.60</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25.14</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2130102</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一般行政管理事务</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46.35</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46.35</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2130108</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病虫害控制</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721.83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721.83</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2130135</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农业资源保护修复与利用</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1.80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1.80</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2130199</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其他农业农村支出</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17.24</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17.24</w:t>
            </w: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21303</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水利</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2130301</w:t>
            </w:r>
          </w:p>
        </w:tc>
        <w:tc>
          <w:tcPr>
            <w:tcW w:w="34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行政运行</w:t>
            </w:r>
          </w:p>
        </w:tc>
        <w:tc>
          <w:tcPr>
            <w:tcW w:w="168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145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06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69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13725" w:type="dxa"/>
            <w:gridSpan w:val="10"/>
            <w:vAlign w:val="center"/>
          </w:tcPr>
          <w:p>
            <w:pPr>
              <w:autoSpaceDN w:val="0"/>
              <w:jc w:val="left"/>
              <w:textAlignment w:val="center"/>
              <w:rPr>
                <w:rFonts w:ascii="宋体" w:hAnsi="宋体"/>
                <w:color w:val="auto"/>
                <w:sz w:val="22"/>
              </w:rPr>
            </w:pPr>
            <w:r>
              <w:rPr>
                <w:rFonts w:ascii="宋体" w:hAnsi="宋体"/>
                <w:color w:val="auto"/>
                <w:sz w:val="22"/>
              </w:rPr>
              <w:t>注：本表反映单位本年度各项支出情况。本表金额转换为万元时，因四舍五入可能存在尾差。</w:t>
            </w:r>
          </w:p>
        </w:tc>
      </w:tr>
    </w:tbl>
    <w:p>
      <w:pPr>
        <w:rPr>
          <w:color w:val="auto"/>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515" w:type="dxa"/>
        <w:tblInd w:w="0" w:type="dxa"/>
        <w:tblLayout w:type="fixed"/>
        <w:tblCellMar>
          <w:top w:w="0" w:type="dxa"/>
          <w:left w:w="15" w:type="dxa"/>
          <w:bottom w:w="0" w:type="dxa"/>
          <w:right w:w="15" w:type="dxa"/>
        </w:tblCellMar>
      </w:tblPr>
      <w:tblGrid>
        <w:gridCol w:w="2355"/>
        <w:gridCol w:w="600"/>
        <w:gridCol w:w="2340"/>
        <w:gridCol w:w="2895"/>
        <w:gridCol w:w="600"/>
        <w:gridCol w:w="1320"/>
        <w:gridCol w:w="990"/>
        <w:gridCol w:w="1230"/>
        <w:gridCol w:w="1185"/>
      </w:tblGrid>
      <w:tr>
        <w:tblPrEx>
          <w:tblCellMar>
            <w:top w:w="0" w:type="dxa"/>
            <w:left w:w="15" w:type="dxa"/>
            <w:bottom w:w="0" w:type="dxa"/>
            <w:right w:w="15" w:type="dxa"/>
          </w:tblCellMar>
        </w:tblPrEx>
        <w:trPr>
          <w:trHeight w:val="405" w:hRule="atLeast"/>
        </w:trPr>
        <w:tc>
          <w:tcPr>
            <w:tcW w:w="13515" w:type="dxa"/>
            <w:gridSpan w:val="9"/>
            <w:vAlign w:val="bottom"/>
          </w:tcPr>
          <w:p>
            <w:pPr>
              <w:autoSpaceDN w:val="0"/>
              <w:jc w:val="center"/>
              <w:textAlignment w:val="bottom"/>
              <w:rPr>
                <w:rFonts w:ascii="宋体" w:hAnsi="宋体"/>
                <w:color w:val="auto"/>
                <w:sz w:val="32"/>
              </w:rPr>
            </w:pPr>
            <w:r>
              <w:rPr>
                <w:rFonts w:ascii="宋体" w:hAnsi="宋体"/>
                <w:color w:val="auto"/>
                <w:sz w:val="32"/>
              </w:rPr>
              <w:t>财政拨款收入支出决算总表</w:t>
            </w:r>
          </w:p>
        </w:tc>
      </w:tr>
      <w:tr>
        <w:tblPrEx>
          <w:tblCellMar>
            <w:top w:w="0" w:type="dxa"/>
            <w:left w:w="15" w:type="dxa"/>
            <w:bottom w:w="0" w:type="dxa"/>
            <w:right w:w="15" w:type="dxa"/>
          </w:tblCellMar>
        </w:tblPrEx>
        <w:trPr>
          <w:trHeight w:val="285" w:hRule="atLeast"/>
        </w:trPr>
        <w:tc>
          <w:tcPr>
            <w:tcW w:w="2355" w:type="dxa"/>
            <w:vAlign w:val="bottom"/>
          </w:tcPr>
          <w:p>
            <w:pPr>
              <w:autoSpaceDN w:val="0"/>
              <w:jc w:val="left"/>
              <w:textAlignment w:val="bottom"/>
              <w:rPr>
                <w:rFonts w:ascii="Arial" w:hAnsi="宋体"/>
                <w:color w:val="auto"/>
                <w:sz w:val="20"/>
              </w:rPr>
            </w:pPr>
          </w:p>
        </w:tc>
        <w:tc>
          <w:tcPr>
            <w:tcW w:w="600" w:type="dxa"/>
            <w:vAlign w:val="bottom"/>
          </w:tcPr>
          <w:p>
            <w:pPr>
              <w:autoSpaceDN w:val="0"/>
              <w:jc w:val="left"/>
              <w:textAlignment w:val="bottom"/>
              <w:rPr>
                <w:rFonts w:ascii="Arial" w:hAnsi="宋体"/>
                <w:color w:val="auto"/>
                <w:sz w:val="20"/>
              </w:rPr>
            </w:pPr>
          </w:p>
        </w:tc>
        <w:tc>
          <w:tcPr>
            <w:tcW w:w="2340" w:type="dxa"/>
            <w:vAlign w:val="bottom"/>
          </w:tcPr>
          <w:p>
            <w:pPr>
              <w:autoSpaceDN w:val="0"/>
              <w:jc w:val="left"/>
              <w:textAlignment w:val="bottom"/>
              <w:rPr>
                <w:rFonts w:ascii="Arial" w:hAnsi="宋体"/>
                <w:color w:val="auto"/>
                <w:sz w:val="20"/>
              </w:rPr>
            </w:pPr>
          </w:p>
        </w:tc>
        <w:tc>
          <w:tcPr>
            <w:tcW w:w="2895" w:type="dxa"/>
            <w:vAlign w:val="bottom"/>
          </w:tcPr>
          <w:p>
            <w:pPr>
              <w:autoSpaceDN w:val="0"/>
              <w:jc w:val="left"/>
              <w:textAlignment w:val="bottom"/>
              <w:rPr>
                <w:rFonts w:ascii="Arial" w:hAnsi="宋体"/>
                <w:color w:val="auto"/>
                <w:sz w:val="20"/>
              </w:rPr>
            </w:pPr>
          </w:p>
        </w:tc>
        <w:tc>
          <w:tcPr>
            <w:tcW w:w="600" w:type="dxa"/>
            <w:vAlign w:val="bottom"/>
          </w:tcPr>
          <w:p>
            <w:pPr>
              <w:autoSpaceDN w:val="0"/>
              <w:jc w:val="left"/>
              <w:textAlignment w:val="bottom"/>
              <w:rPr>
                <w:rFonts w:ascii="Arial" w:hAnsi="宋体"/>
                <w:color w:val="auto"/>
                <w:sz w:val="20"/>
              </w:rPr>
            </w:pPr>
          </w:p>
        </w:tc>
        <w:tc>
          <w:tcPr>
            <w:tcW w:w="132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2415" w:type="dxa"/>
            <w:gridSpan w:val="2"/>
            <w:vAlign w:val="bottom"/>
          </w:tcPr>
          <w:p>
            <w:pPr>
              <w:autoSpaceDN w:val="0"/>
              <w:jc w:val="right"/>
              <w:textAlignment w:val="bottom"/>
              <w:rPr>
                <w:rFonts w:ascii="宋体" w:hAnsi="宋体"/>
                <w:color w:val="auto"/>
                <w:sz w:val="20"/>
              </w:rPr>
            </w:pPr>
            <w:r>
              <w:rPr>
                <w:rFonts w:ascii="宋体" w:hAnsi="宋体"/>
                <w:color w:val="auto"/>
                <w:sz w:val="20"/>
              </w:rPr>
              <w:t>公开04表</w:t>
            </w:r>
          </w:p>
        </w:tc>
      </w:tr>
      <w:tr>
        <w:tblPrEx>
          <w:tblCellMar>
            <w:top w:w="0" w:type="dxa"/>
            <w:left w:w="15" w:type="dxa"/>
            <w:bottom w:w="0" w:type="dxa"/>
            <w:right w:w="15" w:type="dxa"/>
          </w:tblCellMar>
        </w:tblPrEx>
        <w:trPr>
          <w:trHeight w:val="240" w:hRule="atLeast"/>
        </w:trPr>
        <w:tc>
          <w:tcPr>
            <w:tcW w:w="5295" w:type="dxa"/>
            <w:gridSpan w:val="3"/>
            <w:vAlign w:val="bottom"/>
          </w:tcPr>
          <w:p>
            <w:pPr>
              <w:autoSpaceDN w:val="0"/>
              <w:jc w:val="left"/>
              <w:textAlignment w:val="bottom"/>
              <w:rPr>
                <w:rFonts w:ascii="宋体" w:hAnsi="宋体"/>
                <w:color w:val="auto"/>
                <w:sz w:val="20"/>
              </w:rPr>
            </w:pPr>
            <w:r>
              <w:rPr>
                <w:rFonts w:ascii="宋体" w:hAnsi="宋体"/>
                <w:color w:val="auto"/>
                <w:sz w:val="20"/>
              </w:rPr>
              <w:t>单位：许昌市农业农村局(本级）</w:t>
            </w:r>
          </w:p>
        </w:tc>
        <w:tc>
          <w:tcPr>
            <w:tcW w:w="2895" w:type="dxa"/>
            <w:vAlign w:val="bottom"/>
          </w:tcPr>
          <w:p>
            <w:pPr>
              <w:autoSpaceDN w:val="0"/>
              <w:jc w:val="left"/>
              <w:textAlignment w:val="bottom"/>
              <w:rPr>
                <w:rFonts w:ascii="Arial" w:hAnsi="宋体"/>
                <w:color w:val="auto"/>
                <w:sz w:val="20"/>
              </w:rPr>
            </w:pPr>
          </w:p>
        </w:tc>
        <w:tc>
          <w:tcPr>
            <w:tcW w:w="600" w:type="dxa"/>
            <w:vAlign w:val="bottom"/>
          </w:tcPr>
          <w:p>
            <w:pPr>
              <w:autoSpaceDN w:val="0"/>
              <w:jc w:val="left"/>
              <w:textAlignment w:val="bottom"/>
              <w:rPr>
                <w:rFonts w:ascii="Arial" w:hAnsi="宋体"/>
                <w:color w:val="auto"/>
                <w:sz w:val="20"/>
              </w:rPr>
            </w:pPr>
          </w:p>
        </w:tc>
        <w:tc>
          <w:tcPr>
            <w:tcW w:w="1320" w:type="dxa"/>
            <w:vAlign w:val="bottom"/>
          </w:tcPr>
          <w:p>
            <w:pPr>
              <w:autoSpaceDN w:val="0"/>
              <w:jc w:val="left"/>
              <w:textAlignment w:val="bottom"/>
              <w:rPr>
                <w:rFonts w:ascii="Arial" w:hAnsi="宋体"/>
                <w:color w:val="auto"/>
                <w:sz w:val="20"/>
              </w:rPr>
            </w:pPr>
          </w:p>
        </w:tc>
        <w:tc>
          <w:tcPr>
            <w:tcW w:w="990" w:type="dxa"/>
            <w:vAlign w:val="bottom"/>
          </w:tcPr>
          <w:p>
            <w:pPr>
              <w:autoSpaceDN w:val="0"/>
              <w:jc w:val="left"/>
              <w:textAlignment w:val="bottom"/>
              <w:rPr>
                <w:rFonts w:ascii="Arial" w:hAnsi="宋体"/>
                <w:color w:val="auto"/>
                <w:sz w:val="20"/>
              </w:rPr>
            </w:pPr>
          </w:p>
        </w:tc>
        <w:tc>
          <w:tcPr>
            <w:tcW w:w="2415" w:type="dxa"/>
            <w:gridSpan w:val="2"/>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00" w:hRule="atLeast"/>
        </w:trPr>
        <w:tc>
          <w:tcPr>
            <w:tcW w:w="5295"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收     入</w:t>
            </w:r>
          </w:p>
        </w:tc>
        <w:tc>
          <w:tcPr>
            <w:tcW w:w="822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支     出</w:t>
            </w:r>
          </w:p>
        </w:tc>
      </w:tr>
      <w:tr>
        <w:tblPrEx>
          <w:tblCellMar>
            <w:top w:w="0" w:type="dxa"/>
            <w:left w:w="15" w:type="dxa"/>
            <w:bottom w:w="0" w:type="dxa"/>
            <w:right w:w="15" w:type="dxa"/>
          </w:tblCellMar>
        </w:tblPrEx>
        <w:trPr>
          <w:trHeight w:val="312" w:hRule="atLeast"/>
        </w:trPr>
        <w:tc>
          <w:tcPr>
            <w:tcW w:w="235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行次</w:t>
            </w:r>
          </w:p>
        </w:tc>
        <w:tc>
          <w:tcPr>
            <w:tcW w:w="234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金额</w:t>
            </w:r>
          </w:p>
        </w:tc>
        <w:tc>
          <w:tcPr>
            <w:tcW w:w="289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行次</w:t>
            </w:r>
          </w:p>
        </w:tc>
        <w:tc>
          <w:tcPr>
            <w:tcW w:w="132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合计</w:t>
            </w:r>
          </w:p>
        </w:tc>
        <w:tc>
          <w:tcPr>
            <w:tcW w:w="99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一般公共预算财政拨款</w:t>
            </w:r>
          </w:p>
        </w:tc>
        <w:tc>
          <w:tcPr>
            <w:tcW w:w="123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政府性基金预算财政拨款</w:t>
            </w:r>
          </w:p>
        </w:tc>
        <w:tc>
          <w:tcPr>
            <w:tcW w:w="118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国有资本经营预算财政拨款</w:t>
            </w:r>
          </w:p>
        </w:tc>
      </w:tr>
      <w:tr>
        <w:tblPrEx>
          <w:tblCellMar>
            <w:top w:w="0" w:type="dxa"/>
            <w:left w:w="15" w:type="dxa"/>
            <w:bottom w:w="0" w:type="dxa"/>
            <w:right w:w="15" w:type="dxa"/>
          </w:tblCellMar>
        </w:tblPrEx>
        <w:trPr>
          <w:trHeight w:val="615" w:hRule="atLeast"/>
        </w:trPr>
        <w:tc>
          <w:tcPr>
            <w:tcW w:w="2355" w:type="dxa"/>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600" w:type="dxa"/>
            <w:vMerge w:val="continue"/>
            <w:tcBorders>
              <w:bottom w:val="single" w:color="000000" w:sz="4" w:space="0"/>
              <w:right w:val="single" w:color="000000" w:sz="4" w:space="0"/>
            </w:tcBorders>
            <w:vAlign w:val="center"/>
          </w:tcPr>
          <w:p>
            <w:pPr>
              <w:rPr>
                <w:rFonts w:ascii="宋体" w:hAnsi="宋体"/>
                <w:color w:val="auto"/>
                <w:sz w:val="24"/>
              </w:rPr>
            </w:pPr>
          </w:p>
        </w:tc>
        <w:tc>
          <w:tcPr>
            <w:tcW w:w="2340" w:type="dxa"/>
            <w:vMerge w:val="continue"/>
            <w:tcBorders>
              <w:bottom w:val="single" w:color="000000" w:sz="4" w:space="0"/>
              <w:right w:val="single" w:color="000000" w:sz="4" w:space="0"/>
            </w:tcBorders>
            <w:vAlign w:val="center"/>
          </w:tcPr>
          <w:p>
            <w:pPr>
              <w:rPr>
                <w:rFonts w:ascii="宋体" w:hAnsi="宋体"/>
                <w:color w:val="auto"/>
                <w:sz w:val="24"/>
              </w:rPr>
            </w:pPr>
          </w:p>
        </w:tc>
        <w:tc>
          <w:tcPr>
            <w:tcW w:w="2895" w:type="dxa"/>
            <w:vMerge w:val="continue"/>
            <w:tcBorders>
              <w:bottom w:val="single" w:color="000000" w:sz="4" w:space="0"/>
              <w:right w:val="single" w:color="000000" w:sz="4" w:space="0"/>
            </w:tcBorders>
            <w:vAlign w:val="center"/>
          </w:tcPr>
          <w:p>
            <w:pPr>
              <w:rPr>
                <w:rFonts w:ascii="宋体" w:hAnsi="宋体"/>
                <w:color w:val="auto"/>
                <w:sz w:val="24"/>
              </w:rPr>
            </w:pPr>
          </w:p>
        </w:tc>
        <w:tc>
          <w:tcPr>
            <w:tcW w:w="600" w:type="dxa"/>
            <w:vMerge w:val="continue"/>
            <w:tcBorders>
              <w:bottom w:val="single" w:color="000000" w:sz="4" w:space="0"/>
              <w:right w:val="single" w:color="000000" w:sz="4" w:space="0"/>
            </w:tcBorders>
            <w:vAlign w:val="center"/>
          </w:tcPr>
          <w:p>
            <w:pPr>
              <w:rPr>
                <w:rFonts w:ascii="宋体" w:hAnsi="宋体"/>
                <w:color w:val="auto"/>
                <w:sz w:val="24"/>
              </w:rPr>
            </w:pPr>
          </w:p>
        </w:tc>
        <w:tc>
          <w:tcPr>
            <w:tcW w:w="1320" w:type="dxa"/>
            <w:vMerge w:val="continue"/>
            <w:tcBorders>
              <w:bottom w:val="single" w:color="000000" w:sz="4" w:space="0"/>
              <w:right w:val="single" w:color="000000" w:sz="4" w:space="0"/>
            </w:tcBorders>
            <w:vAlign w:val="center"/>
          </w:tcPr>
          <w:p>
            <w:pPr>
              <w:rPr>
                <w:rFonts w:ascii="宋体" w:hAnsi="宋体"/>
                <w:color w:val="auto"/>
                <w:sz w:val="24"/>
              </w:rPr>
            </w:pPr>
          </w:p>
        </w:tc>
        <w:tc>
          <w:tcPr>
            <w:tcW w:w="990" w:type="dxa"/>
            <w:vMerge w:val="continue"/>
            <w:tcBorders>
              <w:bottom w:val="single" w:color="000000" w:sz="4" w:space="0"/>
              <w:right w:val="single" w:color="000000" w:sz="4" w:space="0"/>
            </w:tcBorders>
            <w:vAlign w:val="center"/>
          </w:tcPr>
          <w:p>
            <w:pPr>
              <w:rPr>
                <w:rFonts w:ascii="宋体" w:hAnsi="宋体"/>
                <w:color w:val="auto"/>
                <w:sz w:val="24"/>
              </w:rPr>
            </w:pPr>
          </w:p>
        </w:tc>
        <w:tc>
          <w:tcPr>
            <w:tcW w:w="1230" w:type="dxa"/>
            <w:vMerge w:val="continue"/>
            <w:tcBorders>
              <w:bottom w:val="single" w:color="000000" w:sz="4" w:space="0"/>
              <w:right w:val="single" w:color="000000" w:sz="4" w:space="0"/>
            </w:tcBorders>
            <w:vAlign w:val="center"/>
          </w:tcPr>
          <w:p>
            <w:pPr>
              <w:rPr>
                <w:rFonts w:ascii="宋体" w:hAnsi="宋体"/>
                <w:color w:val="auto"/>
                <w:sz w:val="24"/>
              </w:rPr>
            </w:pPr>
          </w:p>
        </w:tc>
        <w:tc>
          <w:tcPr>
            <w:tcW w:w="1185" w:type="dxa"/>
            <w:vMerge w:val="continue"/>
            <w:tcBorders>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p>
        </w:tc>
        <w:tc>
          <w:tcPr>
            <w:tcW w:w="234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289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p>
        </w:tc>
        <w:tc>
          <w:tcPr>
            <w:tcW w:w="132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99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c>
          <w:tcPr>
            <w:tcW w:w="123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w:t>
            </w:r>
          </w:p>
        </w:tc>
        <w:tc>
          <w:tcPr>
            <w:tcW w:w="118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w:t>
            </w: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一、一般公共预算财政拨款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1,649.87</w:t>
            </w: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一、一般公共服务支出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二、政府性基金预算财政拨款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二、外交支出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三、国有资本经营财政拨款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三、国防支出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35</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四、公共安全支出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36</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五、教育支出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37</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六、科学技术支出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38</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7</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七、文化旅游体育与传媒支出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39</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8</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八、社会保障和就业支出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40</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478.51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478.51</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9</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九、卫生健康支出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41</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10</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十、节能环保支出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42</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十一、城乡社区支出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十二、农林水支出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2,078.21</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2,078.21</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13</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十三、交通运输支出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45</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14</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十四、资源勘探工业信息等支出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46</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15</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十五、商业服务业等支出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47</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16</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十六、金融支出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48</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17</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十七、援助其他地区支出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49</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18</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十八、自然资源海洋气象等支出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50</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19</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十九、住房保障支出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51</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20</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二十、粮油物资储备支出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52</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二十一、国有资本经营预算支出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二十二、灾害防治及应急管理支出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23</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二十三、其他支出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55</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auto"/>
                <w:sz w:val="20"/>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24</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二十四、债务还本支出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56</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0"/>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25</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二十五、债务付息支出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57</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0"/>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26</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二十六、抗疫特别国债安排的支出</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58</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本年收入合计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27</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1,649.87</w:t>
            </w:r>
          </w:p>
        </w:tc>
        <w:tc>
          <w:tcPr>
            <w:tcW w:w="2895" w:type="dxa"/>
            <w:tcBorders>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本年支出合计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59</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年初财政拨款结转和结余</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28</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969.06</w:t>
            </w: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年末财政拨款结转和结余</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60</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一般公共预算财政拨款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29</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969.06</w:t>
            </w: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61</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政府性基金预算财政拨款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30</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62</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国有资本经营预算财政拨款</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31</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89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63</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355"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总计</w:t>
            </w:r>
          </w:p>
        </w:tc>
        <w:tc>
          <w:tcPr>
            <w:tcW w:w="600" w:type="dxa"/>
            <w:tcBorders>
              <w:bottom w:val="single" w:color="000000" w:sz="8"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32</w:t>
            </w:r>
          </w:p>
        </w:tc>
        <w:tc>
          <w:tcPr>
            <w:tcW w:w="234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c>
          <w:tcPr>
            <w:tcW w:w="2895" w:type="dxa"/>
            <w:tcBorders>
              <w:bottom w:val="single" w:color="000000" w:sz="4" w:space="0"/>
              <w:right w:val="single" w:color="000000" w:sz="4" w:space="0"/>
            </w:tcBorders>
            <w:vAlign w:val="center"/>
          </w:tcPr>
          <w:p>
            <w:pPr>
              <w:autoSpaceDN w:val="0"/>
              <w:jc w:val="center"/>
              <w:textAlignment w:val="center"/>
              <w:rPr>
                <w:rFonts w:ascii="宋体" w:hAnsi="宋体"/>
                <w:b/>
                <w:color w:val="auto"/>
                <w:sz w:val="22"/>
              </w:rPr>
            </w:pPr>
            <w:r>
              <w:rPr>
                <w:rFonts w:ascii="宋体" w:hAnsi="宋体"/>
                <w:b/>
                <w:color w:val="auto"/>
                <w:sz w:val="22"/>
              </w:rPr>
              <w:t>总计</w:t>
            </w:r>
          </w:p>
        </w:tc>
        <w:tc>
          <w:tcPr>
            <w:tcW w:w="600"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64</w:t>
            </w:r>
          </w:p>
        </w:tc>
        <w:tc>
          <w:tcPr>
            <w:tcW w:w="132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c>
          <w:tcPr>
            <w:tcW w:w="9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c>
          <w:tcPr>
            <w:tcW w:w="123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585" w:hRule="atLeast"/>
        </w:trPr>
        <w:tc>
          <w:tcPr>
            <w:tcW w:w="13515" w:type="dxa"/>
            <w:gridSpan w:val="9"/>
            <w:vAlign w:val="center"/>
          </w:tcPr>
          <w:p>
            <w:pPr>
              <w:autoSpaceDN w:val="0"/>
              <w:jc w:val="left"/>
              <w:textAlignment w:val="center"/>
              <w:rPr>
                <w:rFonts w:ascii="宋体" w:hAnsi="宋体"/>
                <w:color w:val="auto"/>
                <w:sz w:val="22"/>
              </w:rPr>
            </w:pPr>
            <w:r>
              <w:rPr>
                <w:rFonts w:ascii="宋体" w:hAnsi="宋体"/>
                <w:color w:val="auto"/>
                <w:sz w:val="22"/>
              </w:rPr>
              <w:t>注：本表反映单位本年度一般公共预算财政拨款、政府性基金预算财政拨款和国有资本经营预算财政拨款的总收支和年末结转结余情况。本表金额转换为万元时，因四舍五入可能存在尾差。</w:t>
            </w:r>
          </w:p>
        </w:tc>
      </w:tr>
    </w:tbl>
    <w:p>
      <w:pPr>
        <w:rPr>
          <w:color w:val="auto"/>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600" w:type="dxa"/>
        <w:tblInd w:w="0" w:type="dxa"/>
        <w:tblLayout w:type="fixed"/>
        <w:tblCellMar>
          <w:top w:w="0" w:type="dxa"/>
          <w:left w:w="15" w:type="dxa"/>
          <w:bottom w:w="0" w:type="dxa"/>
          <w:right w:w="15" w:type="dxa"/>
        </w:tblCellMar>
      </w:tblPr>
      <w:tblGrid>
        <w:gridCol w:w="431"/>
        <w:gridCol w:w="1140"/>
        <w:gridCol w:w="1139"/>
        <w:gridCol w:w="4556"/>
        <w:gridCol w:w="2623"/>
        <w:gridCol w:w="1139"/>
        <w:gridCol w:w="2572"/>
      </w:tblGrid>
      <w:tr>
        <w:tblPrEx>
          <w:tblCellMar>
            <w:top w:w="0" w:type="dxa"/>
            <w:left w:w="15" w:type="dxa"/>
            <w:bottom w:w="0" w:type="dxa"/>
            <w:right w:w="15" w:type="dxa"/>
          </w:tblCellMar>
        </w:tblPrEx>
        <w:trPr>
          <w:trHeight w:val="727" w:hRule="atLeast"/>
        </w:trPr>
        <w:tc>
          <w:tcPr>
            <w:tcW w:w="13600" w:type="dxa"/>
            <w:gridSpan w:val="7"/>
            <w:vAlign w:val="bottom"/>
          </w:tcPr>
          <w:p>
            <w:pPr>
              <w:autoSpaceDN w:val="0"/>
              <w:jc w:val="center"/>
              <w:textAlignment w:val="bottom"/>
              <w:rPr>
                <w:rFonts w:ascii="宋体" w:hAnsi="宋体"/>
                <w:color w:val="auto"/>
                <w:sz w:val="32"/>
              </w:rPr>
            </w:pPr>
            <w:r>
              <w:rPr>
                <w:rFonts w:ascii="宋体" w:hAnsi="宋体"/>
                <w:color w:val="auto"/>
                <w:sz w:val="32"/>
              </w:rPr>
              <w:t>一般公共预算财政拨款支出决算表</w:t>
            </w:r>
          </w:p>
        </w:tc>
      </w:tr>
      <w:tr>
        <w:tblPrEx>
          <w:tblCellMar>
            <w:top w:w="0" w:type="dxa"/>
            <w:left w:w="15" w:type="dxa"/>
            <w:bottom w:w="0" w:type="dxa"/>
            <w:right w:w="15" w:type="dxa"/>
          </w:tblCellMar>
        </w:tblPrEx>
        <w:trPr>
          <w:trHeight w:val="363" w:hRule="atLeast"/>
        </w:trPr>
        <w:tc>
          <w:tcPr>
            <w:tcW w:w="431" w:type="dxa"/>
            <w:vAlign w:val="bottom"/>
          </w:tcPr>
          <w:p>
            <w:pPr>
              <w:autoSpaceDN w:val="0"/>
              <w:jc w:val="left"/>
              <w:textAlignment w:val="bottom"/>
              <w:rPr>
                <w:rFonts w:ascii="Arial" w:hAnsi="宋体"/>
                <w:color w:val="auto"/>
                <w:sz w:val="20"/>
              </w:rPr>
            </w:pPr>
          </w:p>
        </w:tc>
        <w:tc>
          <w:tcPr>
            <w:tcW w:w="1140" w:type="dxa"/>
            <w:vAlign w:val="bottom"/>
          </w:tcPr>
          <w:p>
            <w:pPr>
              <w:autoSpaceDN w:val="0"/>
              <w:jc w:val="left"/>
              <w:textAlignment w:val="bottom"/>
              <w:rPr>
                <w:rFonts w:ascii="Arial" w:hAnsi="宋体"/>
                <w:color w:val="auto"/>
                <w:sz w:val="20"/>
              </w:rPr>
            </w:pPr>
          </w:p>
        </w:tc>
        <w:tc>
          <w:tcPr>
            <w:tcW w:w="1139" w:type="dxa"/>
            <w:vAlign w:val="bottom"/>
          </w:tcPr>
          <w:p>
            <w:pPr>
              <w:autoSpaceDN w:val="0"/>
              <w:jc w:val="left"/>
              <w:textAlignment w:val="bottom"/>
              <w:rPr>
                <w:rFonts w:ascii="Arial" w:hAnsi="宋体"/>
                <w:color w:val="auto"/>
                <w:sz w:val="20"/>
              </w:rPr>
            </w:pPr>
          </w:p>
        </w:tc>
        <w:tc>
          <w:tcPr>
            <w:tcW w:w="4556" w:type="dxa"/>
            <w:vAlign w:val="bottom"/>
          </w:tcPr>
          <w:p>
            <w:pPr>
              <w:autoSpaceDN w:val="0"/>
              <w:jc w:val="left"/>
              <w:textAlignment w:val="bottom"/>
              <w:rPr>
                <w:rFonts w:ascii="Arial" w:hAnsi="宋体"/>
                <w:color w:val="auto"/>
                <w:sz w:val="20"/>
              </w:rPr>
            </w:pPr>
          </w:p>
        </w:tc>
        <w:tc>
          <w:tcPr>
            <w:tcW w:w="2623" w:type="dxa"/>
            <w:vAlign w:val="bottom"/>
          </w:tcPr>
          <w:p>
            <w:pPr>
              <w:autoSpaceDN w:val="0"/>
              <w:jc w:val="left"/>
              <w:textAlignment w:val="bottom"/>
              <w:rPr>
                <w:rFonts w:ascii="Arial" w:hAnsi="宋体"/>
                <w:color w:val="auto"/>
                <w:sz w:val="20"/>
              </w:rPr>
            </w:pPr>
          </w:p>
        </w:tc>
        <w:tc>
          <w:tcPr>
            <w:tcW w:w="1139" w:type="dxa"/>
            <w:vAlign w:val="bottom"/>
          </w:tcPr>
          <w:p>
            <w:pPr>
              <w:autoSpaceDN w:val="0"/>
              <w:jc w:val="left"/>
              <w:textAlignment w:val="bottom"/>
              <w:rPr>
                <w:rFonts w:ascii="Arial" w:hAnsi="宋体"/>
                <w:color w:val="auto"/>
                <w:sz w:val="20"/>
              </w:rPr>
            </w:pPr>
          </w:p>
        </w:tc>
        <w:tc>
          <w:tcPr>
            <w:tcW w:w="2572" w:type="dxa"/>
            <w:vAlign w:val="bottom"/>
          </w:tcPr>
          <w:p>
            <w:pPr>
              <w:autoSpaceDN w:val="0"/>
              <w:jc w:val="right"/>
              <w:textAlignment w:val="bottom"/>
              <w:rPr>
                <w:rFonts w:ascii="宋体" w:hAnsi="宋体"/>
                <w:color w:val="auto"/>
                <w:sz w:val="20"/>
              </w:rPr>
            </w:pPr>
            <w:r>
              <w:rPr>
                <w:rFonts w:ascii="宋体" w:hAnsi="宋体"/>
                <w:color w:val="auto"/>
                <w:sz w:val="20"/>
              </w:rPr>
              <w:t>公开05表</w:t>
            </w:r>
          </w:p>
        </w:tc>
      </w:tr>
      <w:tr>
        <w:tblPrEx>
          <w:tblCellMar>
            <w:top w:w="0" w:type="dxa"/>
            <w:left w:w="15" w:type="dxa"/>
            <w:bottom w:w="0" w:type="dxa"/>
            <w:right w:w="15" w:type="dxa"/>
          </w:tblCellMar>
        </w:tblPrEx>
        <w:trPr>
          <w:trHeight w:val="363" w:hRule="atLeast"/>
        </w:trPr>
        <w:tc>
          <w:tcPr>
            <w:tcW w:w="7266" w:type="dxa"/>
            <w:gridSpan w:val="4"/>
            <w:vAlign w:val="bottom"/>
          </w:tcPr>
          <w:p>
            <w:pPr>
              <w:autoSpaceDN w:val="0"/>
              <w:jc w:val="left"/>
              <w:textAlignment w:val="bottom"/>
              <w:rPr>
                <w:rFonts w:ascii="宋体" w:hAnsi="宋体"/>
                <w:color w:val="auto"/>
                <w:sz w:val="20"/>
              </w:rPr>
            </w:pPr>
            <w:r>
              <w:rPr>
                <w:rFonts w:ascii="宋体" w:hAnsi="宋体"/>
                <w:color w:val="auto"/>
                <w:sz w:val="20"/>
              </w:rPr>
              <w:t>单位：许昌市农业农村局(本级）</w:t>
            </w:r>
          </w:p>
        </w:tc>
        <w:tc>
          <w:tcPr>
            <w:tcW w:w="2623" w:type="dxa"/>
            <w:vAlign w:val="bottom"/>
          </w:tcPr>
          <w:p>
            <w:pPr>
              <w:autoSpaceDN w:val="0"/>
              <w:jc w:val="left"/>
              <w:textAlignment w:val="bottom"/>
              <w:rPr>
                <w:rFonts w:ascii="Arial" w:hAnsi="宋体"/>
                <w:color w:val="auto"/>
                <w:sz w:val="20"/>
              </w:rPr>
            </w:pPr>
          </w:p>
        </w:tc>
        <w:tc>
          <w:tcPr>
            <w:tcW w:w="1139" w:type="dxa"/>
            <w:vAlign w:val="bottom"/>
          </w:tcPr>
          <w:p>
            <w:pPr>
              <w:autoSpaceDN w:val="0"/>
              <w:jc w:val="left"/>
              <w:textAlignment w:val="bottom"/>
              <w:rPr>
                <w:rFonts w:ascii="Arial" w:hAnsi="宋体"/>
                <w:color w:val="auto"/>
                <w:sz w:val="20"/>
              </w:rPr>
            </w:pPr>
          </w:p>
        </w:tc>
        <w:tc>
          <w:tcPr>
            <w:tcW w:w="2572" w:type="dxa"/>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75" w:hRule="atLeast"/>
        </w:trPr>
        <w:tc>
          <w:tcPr>
            <w:tcW w:w="7266"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6334"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本年支出</w:t>
            </w:r>
          </w:p>
        </w:tc>
      </w:tr>
      <w:tr>
        <w:tblPrEx>
          <w:tblCellMar>
            <w:top w:w="0" w:type="dxa"/>
            <w:left w:w="15" w:type="dxa"/>
            <w:bottom w:w="0" w:type="dxa"/>
            <w:right w:w="15" w:type="dxa"/>
          </w:tblCellMar>
        </w:tblPrEx>
        <w:trPr>
          <w:trHeight w:val="361" w:hRule="atLeast"/>
        </w:trPr>
        <w:tc>
          <w:tcPr>
            <w:tcW w:w="271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功能分类科目编码</w:t>
            </w:r>
          </w:p>
        </w:tc>
        <w:tc>
          <w:tcPr>
            <w:tcW w:w="4556"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科目名称</w:t>
            </w:r>
          </w:p>
        </w:tc>
        <w:tc>
          <w:tcPr>
            <w:tcW w:w="262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小计</w:t>
            </w:r>
          </w:p>
        </w:tc>
        <w:tc>
          <w:tcPr>
            <w:tcW w:w="1139"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基本支出</w:t>
            </w:r>
          </w:p>
        </w:tc>
        <w:tc>
          <w:tcPr>
            <w:tcW w:w="2572"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项目支出</w:t>
            </w:r>
          </w:p>
        </w:tc>
      </w:tr>
      <w:tr>
        <w:tblPrEx>
          <w:tblCellMar>
            <w:top w:w="0" w:type="dxa"/>
            <w:left w:w="15" w:type="dxa"/>
            <w:bottom w:w="0" w:type="dxa"/>
            <w:right w:w="15" w:type="dxa"/>
          </w:tblCellMar>
        </w:tblPrEx>
        <w:trPr>
          <w:trHeight w:val="326" w:hRule="atLeast"/>
        </w:trPr>
        <w:tc>
          <w:tcPr>
            <w:tcW w:w="2710"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4556" w:type="dxa"/>
            <w:vMerge w:val="continue"/>
            <w:tcBorders>
              <w:bottom w:val="single" w:color="000000" w:sz="4" w:space="0"/>
              <w:right w:val="single" w:color="000000" w:sz="4" w:space="0"/>
            </w:tcBorders>
            <w:vAlign w:val="center"/>
          </w:tcPr>
          <w:p>
            <w:pPr>
              <w:rPr>
                <w:rFonts w:ascii="宋体" w:hAnsi="宋体"/>
                <w:color w:val="auto"/>
                <w:sz w:val="24"/>
              </w:rPr>
            </w:pPr>
          </w:p>
        </w:tc>
        <w:tc>
          <w:tcPr>
            <w:tcW w:w="2623" w:type="dxa"/>
            <w:vMerge w:val="continue"/>
            <w:tcBorders>
              <w:bottom w:val="single" w:color="000000" w:sz="4" w:space="0"/>
              <w:right w:val="single" w:color="000000" w:sz="4" w:space="0"/>
            </w:tcBorders>
            <w:vAlign w:val="center"/>
          </w:tcPr>
          <w:p>
            <w:pPr>
              <w:rPr>
                <w:rFonts w:ascii="宋体" w:hAnsi="宋体"/>
                <w:color w:val="auto"/>
                <w:sz w:val="24"/>
              </w:rPr>
            </w:pPr>
          </w:p>
        </w:tc>
        <w:tc>
          <w:tcPr>
            <w:tcW w:w="1139" w:type="dxa"/>
            <w:vMerge w:val="continue"/>
            <w:tcBorders>
              <w:bottom w:val="single" w:color="000000" w:sz="4" w:space="0"/>
              <w:right w:val="single" w:color="000000" w:sz="4" w:space="0"/>
            </w:tcBorders>
            <w:vAlign w:val="center"/>
          </w:tcPr>
          <w:p>
            <w:pPr>
              <w:rPr>
                <w:rFonts w:ascii="宋体" w:hAnsi="宋体"/>
                <w:color w:val="auto"/>
                <w:sz w:val="24"/>
              </w:rPr>
            </w:pPr>
          </w:p>
        </w:tc>
        <w:tc>
          <w:tcPr>
            <w:tcW w:w="2572" w:type="dxa"/>
            <w:vMerge w:val="continue"/>
            <w:tcBorders>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61" w:hRule="atLeast"/>
        </w:trPr>
        <w:tc>
          <w:tcPr>
            <w:tcW w:w="2710"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4556" w:type="dxa"/>
            <w:vMerge w:val="continue"/>
            <w:tcBorders>
              <w:bottom w:val="single" w:color="000000" w:sz="4" w:space="0"/>
              <w:right w:val="single" w:color="000000" w:sz="4" w:space="0"/>
            </w:tcBorders>
            <w:vAlign w:val="center"/>
          </w:tcPr>
          <w:p>
            <w:pPr>
              <w:rPr>
                <w:rFonts w:ascii="宋体" w:hAnsi="宋体"/>
                <w:color w:val="auto"/>
                <w:sz w:val="24"/>
              </w:rPr>
            </w:pPr>
          </w:p>
        </w:tc>
        <w:tc>
          <w:tcPr>
            <w:tcW w:w="2623" w:type="dxa"/>
            <w:vMerge w:val="continue"/>
            <w:tcBorders>
              <w:bottom w:val="single" w:color="000000" w:sz="4" w:space="0"/>
              <w:right w:val="single" w:color="000000" w:sz="4" w:space="0"/>
            </w:tcBorders>
            <w:vAlign w:val="center"/>
          </w:tcPr>
          <w:p>
            <w:pPr>
              <w:rPr>
                <w:rFonts w:ascii="宋体" w:hAnsi="宋体"/>
                <w:color w:val="auto"/>
                <w:sz w:val="24"/>
              </w:rPr>
            </w:pPr>
          </w:p>
        </w:tc>
        <w:tc>
          <w:tcPr>
            <w:tcW w:w="1139" w:type="dxa"/>
            <w:vMerge w:val="continue"/>
            <w:tcBorders>
              <w:bottom w:val="single" w:color="000000" w:sz="4" w:space="0"/>
              <w:right w:val="single" w:color="000000" w:sz="4" w:space="0"/>
            </w:tcBorders>
            <w:vAlign w:val="center"/>
          </w:tcPr>
          <w:p>
            <w:pPr>
              <w:rPr>
                <w:rFonts w:ascii="宋体" w:hAnsi="宋体"/>
                <w:color w:val="auto"/>
                <w:sz w:val="24"/>
              </w:rPr>
            </w:pPr>
          </w:p>
        </w:tc>
        <w:tc>
          <w:tcPr>
            <w:tcW w:w="2572" w:type="dxa"/>
            <w:vMerge w:val="continue"/>
            <w:tcBorders>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75" w:hRule="atLeast"/>
        </w:trPr>
        <w:tc>
          <w:tcPr>
            <w:tcW w:w="726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262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1139"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257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r>
      <w:tr>
        <w:tblPrEx>
          <w:tblCellMar>
            <w:top w:w="0" w:type="dxa"/>
            <w:left w:w="15" w:type="dxa"/>
            <w:bottom w:w="0" w:type="dxa"/>
            <w:right w:w="15" w:type="dxa"/>
          </w:tblCellMar>
        </w:tblPrEx>
        <w:trPr>
          <w:trHeight w:val="375" w:hRule="atLeast"/>
        </w:trPr>
        <w:tc>
          <w:tcPr>
            <w:tcW w:w="726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合计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2,618.93</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1,806.58</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812.35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一般公共服务支出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20129</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群众团体事务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2012906</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工会事务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社会保障和就业支出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478.51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478.51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行政事业单位养老支出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410.22</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410.22</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行政单位离退休</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347.56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347.56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2080505</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机关事业单位基本养老保险缴费支出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62.66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62.66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20808</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抚恤</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2080801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死亡抚恤</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卫生健康支出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行政事业单位医疗</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56.90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行政单位医疗</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28.81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28.81</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2101103</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公务员医疗补助</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28.10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28.10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农林水支出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2,078.21</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1,265.86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812.35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农业农村</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2,077.95</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1,265.60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812.35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行政运行</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1,290.74</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1,265.60</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25.14</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2130102</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一般行政管理事务</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46.35</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46.35</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2130108</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病虫害控制</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721.83</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721.83</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2130135</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农业资源保护修复与利用</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1.80</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1.80</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2130199</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其他农业农村支出</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17.24</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17.24</w:t>
            </w: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21303</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水利</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271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2130301</w:t>
            </w:r>
          </w:p>
        </w:tc>
        <w:tc>
          <w:tcPr>
            <w:tcW w:w="4556"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行政运行</w:t>
            </w:r>
          </w:p>
        </w:tc>
        <w:tc>
          <w:tcPr>
            <w:tcW w:w="262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1139"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0.26</w:t>
            </w:r>
          </w:p>
        </w:tc>
        <w:tc>
          <w:tcPr>
            <w:tcW w:w="257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75" w:hRule="atLeast"/>
        </w:trPr>
        <w:tc>
          <w:tcPr>
            <w:tcW w:w="13600" w:type="dxa"/>
            <w:gridSpan w:val="7"/>
            <w:vAlign w:val="center"/>
          </w:tcPr>
          <w:p>
            <w:pPr>
              <w:autoSpaceDN w:val="0"/>
              <w:jc w:val="left"/>
              <w:textAlignment w:val="center"/>
              <w:rPr>
                <w:rFonts w:ascii="宋体" w:hAnsi="宋体"/>
                <w:color w:val="auto"/>
                <w:sz w:val="22"/>
              </w:rPr>
            </w:pPr>
            <w:r>
              <w:rPr>
                <w:rFonts w:ascii="宋体" w:hAnsi="宋体"/>
                <w:color w:val="auto"/>
                <w:sz w:val="22"/>
              </w:rPr>
              <w:t>注：本表反映单位本年度一般公共预算财政拨款支出情况。本套报表金额单位转换时可能存在尾数误差。</w:t>
            </w:r>
          </w:p>
        </w:tc>
      </w:tr>
    </w:tbl>
    <w:p>
      <w:pPr>
        <w:rPr>
          <w:color w:val="auto"/>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950" w:type="dxa"/>
        <w:tblInd w:w="0" w:type="dxa"/>
        <w:tblLayout w:type="fixed"/>
        <w:tblCellMar>
          <w:top w:w="0" w:type="dxa"/>
          <w:left w:w="15" w:type="dxa"/>
          <w:bottom w:w="0" w:type="dxa"/>
          <w:right w:w="15" w:type="dxa"/>
        </w:tblCellMar>
      </w:tblPr>
      <w:tblGrid>
        <w:gridCol w:w="780"/>
        <w:gridCol w:w="2115"/>
        <w:gridCol w:w="1305"/>
        <w:gridCol w:w="765"/>
        <w:gridCol w:w="2145"/>
        <w:gridCol w:w="1290"/>
        <w:gridCol w:w="765"/>
        <w:gridCol w:w="2400"/>
        <w:gridCol w:w="2385"/>
      </w:tblGrid>
      <w:tr>
        <w:tblPrEx>
          <w:tblCellMar>
            <w:top w:w="0" w:type="dxa"/>
            <w:left w:w="15" w:type="dxa"/>
            <w:bottom w:w="0" w:type="dxa"/>
            <w:right w:w="15" w:type="dxa"/>
          </w:tblCellMar>
        </w:tblPrEx>
        <w:trPr>
          <w:trHeight w:val="405" w:hRule="atLeast"/>
        </w:trPr>
        <w:tc>
          <w:tcPr>
            <w:tcW w:w="13950" w:type="dxa"/>
            <w:gridSpan w:val="9"/>
            <w:vAlign w:val="bottom"/>
          </w:tcPr>
          <w:p>
            <w:pPr>
              <w:autoSpaceDN w:val="0"/>
              <w:jc w:val="center"/>
              <w:textAlignment w:val="bottom"/>
              <w:rPr>
                <w:rFonts w:ascii="宋体" w:hAnsi="宋体"/>
                <w:color w:val="auto"/>
                <w:sz w:val="32"/>
              </w:rPr>
            </w:pPr>
            <w:r>
              <w:rPr>
                <w:rFonts w:ascii="宋体" w:hAnsi="宋体"/>
                <w:color w:val="auto"/>
                <w:sz w:val="32"/>
              </w:rPr>
              <w:t>一般公共预算财政拨款基本支出决算表</w:t>
            </w:r>
          </w:p>
        </w:tc>
      </w:tr>
      <w:tr>
        <w:tblPrEx>
          <w:tblCellMar>
            <w:top w:w="0" w:type="dxa"/>
            <w:left w:w="15" w:type="dxa"/>
            <w:bottom w:w="0" w:type="dxa"/>
            <w:right w:w="15" w:type="dxa"/>
          </w:tblCellMar>
        </w:tblPrEx>
        <w:trPr>
          <w:trHeight w:val="300" w:hRule="atLeast"/>
        </w:trPr>
        <w:tc>
          <w:tcPr>
            <w:tcW w:w="780" w:type="dxa"/>
            <w:vAlign w:val="bottom"/>
          </w:tcPr>
          <w:p>
            <w:pPr>
              <w:autoSpaceDN w:val="0"/>
              <w:jc w:val="left"/>
              <w:textAlignment w:val="bottom"/>
              <w:rPr>
                <w:rFonts w:ascii="宋体" w:hAnsi="宋体"/>
                <w:color w:val="auto"/>
                <w:sz w:val="20"/>
              </w:rPr>
            </w:pPr>
          </w:p>
        </w:tc>
        <w:tc>
          <w:tcPr>
            <w:tcW w:w="2115" w:type="dxa"/>
            <w:vAlign w:val="bottom"/>
          </w:tcPr>
          <w:p>
            <w:pPr>
              <w:autoSpaceDN w:val="0"/>
              <w:jc w:val="left"/>
              <w:textAlignment w:val="bottom"/>
              <w:rPr>
                <w:rFonts w:ascii="宋体" w:hAnsi="宋体"/>
                <w:color w:val="auto"/>
                <w:sz w:val="20"/>
              </w:rPr>
            </w:pPr>
          </w:p>
        </w:tc>
        <w:tc>
          <w:tcPr>
            <w:tcW w:w="1305" w:type="dxa"/>
            <w:vAlign w:val="bottom"/>
          </w:tcPr>
          <w:p>
            <w:pPr>
              <w:autoSpaceDN w:val="0"/>
              <w:jc w:val="left"/>
              <w:textAlignment w:val="bottom"/>
              <w:rPr>
                <w:rFonts w:ascii="宋体" w:hAnsi="宋体"/>
                <w:color w:val="auto"/>
                <w:sz w:val="20"/>
              </w:rPr>
            </w:pPr>
          </w:p>
        </w:tc>
        <w:tc>
          <w:tcPr>
            <w:tcW w:w="765" w:type="dxa"/>
            <w:vAlign w:val="bottom"/>
          </w:tcPr>
          <w:p>
            <w:pPr>
              <w:autoSpaceDN w:val="0"/>
              <w:jc w:val="left"/>
              <w:textAlignment w:val="bottom"/>
              <w:rPr>
                <w:rFonts w:ascii="宋体" w:hAnsi="宋体"/>
                <w:color w:val="auto"/>
                <w:sz w:val="20"/>
              </w:rPr>
            </w:pPr>
          </w:p>
        </w:tc>
        <w:tc>
          <w:tcPr>
            <w:tcW w:w="2145" w:type="dxa"/>
            <w:vAlign w:val="bottom"/>
          </w:tcPr>
          <w:p>
            <w:pPr>
              <w:autoSpaceDN w:val="0"/>
              <w:jc w:val="left"/>
              <w:textAlignment w:val="bottom"/>
              <w:rPr>
                <w:rFonts w:ascii="宋体" w:hAnsi="宋体"/>
                <w:color w:val="auto"/>
                <w:sz w:val="20"/>
              </w:rPr>
            </w:pPr>
          </w:p>
        </w:tc>
        <w:tc>
          <w:tcPr>
            <w:tcW w:w="1290" w:type="dxa"/>
            <w:vAlign w:val="bottom"/>
          </w:tcPr>
          <w:p>
            <w:pPr>
              <w:autoSpaceDN w:val="0"/>
              <w:jc w:val="left"/>
              <w:textAlignment w:val="bottom"/>
              <w:rPr>
                <w:rFonts w:ascii="宋体" w:hAnsi="宋体"/>
                <w:color w:val="auto"/>
                <w:sz w:val="20"/>
              </w:rPr>
            </w:pPr>
          </w:p>
        </w:tc>
        <w:tc>
          <w:tcPr>
            <w:tcW w:w="765" w:type="dxa"/>
            <w:vAlign w:val="bottom"/>
          </w:tcPr>
          <w:p>
            <w:pPr>
              <w:autoSpaceDN w:val="0"/>
              <w:jc w:val="left"/>
              <w:textAlignment w:val="bottom"/>
              <w:rPr>
                <w:rFonts w:ascii="宋体" w:hAnsi="宋体"/>
                <w:color w:val="auto"/>
                <w:sz w:val="20"/>
              </w:rPr>
            </w:pPr>
          </w:p>
        </w:tc>
        <w:tc>
          <w:tcPr>
            <w:tcW w:w="4785" w:type="dxa"/>
            <w:gridSpan w:val="2"/>
            <w:vAlign w:val="bottom"/>
          </w:tcPr>
          <w:p>
            <w:pPr>
              <w:autoSpaceDN w:val="0"/>
              <w:jc w:val="right"/>
              <w:textAlignment w:val="bottom"/>
              <w:rPr>
                <w:rFonts w:ascii="宋体" w:hAnsi="宋体"/>
                <w:color w:val="auto"/>
                <w:sz w:val="20"/>
              </w:rPr>
            </w:pPr>
            <w:r>
              <w:rPr>
                <w:rFonts w:ascii="宋体" w:hAnsi="宋体"/>
                <w:color w:val="auto"/>
                <w:sz w:val="20"/>
              </w:rPr>
              <w:t>公开06表</w:t>
            </w:r>
          </w:p>
        </w:tc>
      </w:tr>
      <w:tr>
        <w:tblPrEx>
          <w:tblCellMar>
            <w:top w:w="0" w:type="dxa"/>
            <w:left w:w="15" w:type="dxa"/>
            <w:bottom w:w="0" w:type="dxa"/>
            <w:right w:w="15" w:type="dxa"/>
          </w:tblCellMar>
        </w:tblPrEx>
        <w:trPr>
          <w:trHeight w:val="300" w:hRule="atLeast"/>
        </w:trPr>
        <w:tc>
          <w:tcPr>
            <w:tcW w:w="2895" w:type="dxa"/>
            <w:gridSpan w:val="2"/>
            <w:vAlign w:val="bottom"/>
          </w:tcPr>
          <w:p>
            <w:pPr>
              <w:autoSpaceDN w:val="0"/>
              <w:jc w:val="left"/>
              <w:textAlignment w:val="bottom"/>
              <w:rPr>
                <w:rFonts w:ascii="宋体" w:hAnsi="宋体"/>
                <w:color w:val="auto"/>
                <w:sz w:val="20"/>
              </w:rPr>
            </w:pPr>
            <w:r>
              <w:rPr>
                <w:rFonts w:ascii="宋体" w:hAnsi="宋体"/>
                <w:color w:val="auto"/>
                <w:sz w:val="20"/>
              </w:rPr>
              <w:t>单位：许昌市农业农村局(本级）</w:t>
            </w:r>
          </w:p>
        </w:tc>
        <w:tc>
          <w:tcPr>
            <w:tcW w:w="1305" w:type="dxa"/>
            <w:vAlign w:val="bottom"/>
          </w:tcPr>
          <w:p>
            <w:pPr>
              <w:autoSpaceDN w:val="0"/>
              <w:jc w:val="left"/>
              <w:textAlignment w:val="bottom"/>
              <w:rPr>
                <w:rFonts w:ascii="宋体" w:hAnsi="宋体"/>
                <w:color w:val="auto"/>
                <w:sz w:val="20"/>
              </w:rPr>
            </w:pPr>
          </w:p>
        </w:tc>
        <w:tc>
          <w:tcPr>
            <w:tcW w:w="765" w:type="dxa"/>
            <w:vAlign w:val="bottom"/>
          </w:tcPr>
          <w:p>
            <w:pPr>
              <w:autoSpaceDN w:val="0"/>
              <w:jc w:val="left"/>
              <w:textAlignment w:val="bottom"/>
              <w:rPr>
                <w:rFonts w:ascii="宋体" w:hAnsi="宋体"/>
                <w:color w:val="auto"/>
                <w:sz w:val="20"/>
              </w:rPr>
            </w:pPr>
          </w:p>
        </w:tc>
        <w:tc>
          <w:tcPr>
            <w:tcW w:w="2145" w:type="dxa"/>
            <w:vAlign w:val="bottom"/>
          </w:tcPr>
          <w:p>
            <w:pPr>
              <w:autoSpaceDN w:val="0"/>
              <w:jc w:val="left"/>
              <w:textAlignment w:val="bottom"/>
              <w:rPr>
                <w:rFonts w:ascii="宋体" w:hAnsi="宋体"/>
                <w:color w:val="auto"/>
                <w:sz w:val="20"/>
              </w:rPr>
            </w:pPr>
          </w:p>
        </w:tc>
        <w:tc>
          <w:tcPr>
            <w:tcW w:w="1290" w:type="dxa"/>
            <w:vAlign w:val="bottom"/>
          </w:tcPr>
          <w:p>
            <w:pPr>
              <w:autoSpaceDN w:val="0"/>
              <w:jc w:val="left"/>
              <w:textAlignment w:val="bottom"/>
              <w:rPr>
                <w:rFonts w:ascii="宋体" w:hAnsi="宋体"/>
                <w:color w:val="auto"/>
                <w:sz w:val="20"/>
              </w:rPr>
            </w:pPr>
          </w:p>
        </w:tc>
        <w:tc>
          <w:tcPr>
            <w:tcW w:w="765" w:type="dxa"/>
            <w:vAlign w:val="bottom"/>
          </w:tcPr>
          <w:p>
            <w:pPr>
              <w:autoSpaceDN w:val="0"/>
              <w:jc w:val="left"/>
              <w:textAlignment w:val="bottom"/>
              <w:rPr>
                <w:rFonts w:ascii="宋体" w:hAnsi="宋体"/>
                <w:color w:val="auto"/>
                <w:sz w:val="20"/>
              </w:rPr>
            </w:pPr>
          </w:p>
        </w:tc>
        <w:tc>
          <w:tcPr>
            <w:tcW w:w="4785" w:type="dxa"/>
            <w:gridSpan w:val="2"/>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00" w:hRule="atLeast"/>
        </w:trPr>
        <w:tc>
          <w:tcPr>
            <w:tcW w:w="420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人员经费</w:t>
            </w:r>
          </w:p>
        </w:tc>
        <w:tc>
          <w:tcPr>
            <w:tcW w:w="975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公用经费</w:t>
            </w:r>
          </w:p>
        </w:tc>
      </w:tr>
      <w:tr>
        <w:tblPrEx>
          <w:tblCellMar>
            <w:top w:w="0" w:type="dxa"/>
            <w:left w:w="15" w:type="dxa"/>
            <w:bottom w:w="0" w:type="dxa"/>
            <w:right w:w="15" w:type="dxa"/>
          </w:tblCellMar>
        </w:tblPrEx>
        <w:trPr>
          <w:trHeight w:val="312" w:hRule="atLeast"/>
        </w:trPr>
        <w:tc>
          <w:tcPr>
            <w:tcW w:w="780"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科目编码</w:t>
            </w:r>
          </w:p>
        </w:tc>
        <w:tc>
          <w:tcPr>
            <w:tcW w:w="211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科目名称</w:t>
            </w:r>
          </w:p>
        </w:tc>
        <w:tc>
          <w:tcPr>
            <w:tcW w:w="130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决算数</w:t>
            </w:r>
          </w:p>
        </w:tc>
        <w:tc>
          <w:tcPr>
            <w:tcW w:w="76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科目编码</w:t>
            </w:r>
          </w:p>
        </w:tc>
        <w:tc>
          <w:tcPr>
            <w:tcW w:w="214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科目名称</w:t>
            </w:r>
          </w:p>
        </w:tc>
        <w:tc>
          <w:tcPr>
            <w:tcW w:w="129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决算数</w:t>
            </w:r>
          </w:p>
        </w:tc>
        <w:tc>
          <w:tcPr>
            <w:tcW w:w="76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科目编码</w:t>
            </w:r>
          </w:p>
        </w:tc>
        <w:tc>
          <w:tcPr>
            <w:tcW w:w="2400"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科目名称</w:t>
            </w:r>
          </w:p>
        </w:tc>
        <w:tc>
          <w:tcPr>
            <w:tcW w:w="2385"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决算数</w:t>
            </w:r>
          </w:p>
        </w:tc>
      </w:tr>
      <w:tr>
        <w:tblPrEx>
          <w:tblCellMar>
            <w:top w:w="0" w:type="dxa"/>
            <w:left w:w="15" w:type="dxa"/>
            <w:bottom w:w="0" w:type="dxa"/>
            <w:right w:w="15" w:type="dxa"/>
          </w:tblCellMar>
        </w:tblPrEx>
        <w:trPr>
          <w:trHeight w:val="312" w:hRule="atLeast"/>
        </w:trPr>
        <w:tc>
          <w:tcPr>
            <w:tcW w:w="780" w:type="dxa"/>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2115" w:type="dxa"/>
            <w:vMerge w:val="continue"/>
            <w:tcBorders>
              <w:bottom w:val="single" w:color="000000" w:sz="4" w:space="0"/>
              <w:right w:val="single" w:color="000000" w:sz="4" w:space="0"/>
            </w:tcBorders>
            <w:vAlign w:val="center"/>
          </w:tcPr>
          <w:p>
            <w:pPr>
              <w:rPr>
                <w:rFonts w:ascii="宋体" w:hAnsi="宋体"/>
                <w:color w:val="auto"/>
                <w:sz w:val="24"/>
              </w:rPr>
            </w:pPr>
          </w:p>
        </w:tc>
        <w:tc>
          <w:tcPr>
            <w:tcW w:w="1305" w:type="dxa"/>
            <w:vMerge w:val="continue"/>
            <w:tcBorders>
              <w:bottom w:val="single" w:color="000000" w:sz="4" w:space="0"/>
              <w:right w:val="single" w:color="000000" w:sz="4" w:space="0"/>
            </w:tcBorders>
            <w:vAlign w:val="center"/>
          </w:tcPr>
          <w:p>
            <w:pPr>
              <w:rPr>
                <w:rFonts w:ascii="宋体" w:hAnsi="宋体"/>
                <w:color w:val="auto"/>
                <w:sz w:val="24"/>
              </w:rPr>
            </w:pPr>
          </w:p>
        </w:tc>
        <w:tc>
          <w:tcPr>
            <w:tcW w:w="765" w:type="dxa"/>
            <w:vMerge w:val="continue"/>
            <w:tcBorders>
              <w:bottom w:val="single" w:color="000000" w:sz="4" w:space="0"/>
              <w:right w:val="single" w:color="000000" w:sz="4" w:space="0"/>
            </w:tcBorders>
            <w:vAlign w:val="center"/>
          </w:tcPr>
          <w:p>
            <w:pPr>
              <w:rPr>
                <w:rFonts w:ascii="宋体" w:hAnsi="宋体"/>
                <w:color w:val="auto"/>
                <w:sz w:val="24"/>
              </w:rPr>
            </w:pPr>
          </w:p>
        </w:tc>
        <w:tc>
          <w:tcPr>
            <w:tcW w:w="2145" w:type="dxa"/>
            <w:vMerge w:val="continue"/>
            <w:tcBorders>
              <w:bottom w:val="single" w:color="000000" w:sz="4" w:space="0"/>
              <w:right w:val="single" w:color="000000" w:sz="4" w:space="0"/>
            </w:tcBorders>
            <w:vAlign w:val="center"/>
          </w:tcPr>
          <w:p>
            <w:pPr>
              <w:rPr>
                <w:rFonts w:ascii="宋体" w:hAnsi="宋体"/>
                <w:color w:val="auto"/>
                <w:sz w:val="24"/>
              </w:rPr>
            </w:pPr>
          </w:p>
        </w:tc>
        <w:tc>
          <w:tcPr>
            <w:tcW w:w="1290" w:type="dxa"/>
            <w:vMerge w:val="continue"/>
            <w:tcBorders>
              <w:bottom w:val="single" w:color="000000" w:sz="4" w:space="0"/>
              <w:right w:val="single" w:color="000000" w:sz="4" w:space="0"/>
            </w:tcBorders>
            <w:vAlign w:val="center"/>
          </w:tcPr>
          <w:p>
            <w:pPr>
              <w:rPr>
                <w:rFonts w:ascii="宋体" w:hAnsi="宋体"/>
                <w:color w:val="auto"/>
                <w:sz w:val="24"/>
              </w:rPr>
            </w:pPr>
          </w:p>
        </w:tc>
        <w:tc>
          <w:tcPr>
            <w:tcW w:w="765" w:type="dxa"/>
            <w:vMerge w:val="continue"/>
            <w:tcBorders>
              <w:bottom w:val="single" w:color="000000" w:sz="4" w:space="0"/>
              <w:right w:val="single" w:color="000000" w:sz="4" w:space="0"/>
            </w:tcBorders>
            <w:vAlign w:val="center"/>
          </w:tcPr>
          <w:p>
            <w:pPr>
              <w:rPr>
                <w:rFonts w:ascii="宋体" w:hAnsi="宋体"/>
                <w:color w:val="auto"/>
                <w:sz w:val="24"/>
              </w:rPr>
            </w:pPr>
          </w:p>
        </w:tc>
        <w:tc>
          <w:tcPr>
            <w:tcW w:w="2400" w:type="dxa"/>
            <w:vMerge w:val="continue"/>
            <w:tcBorders>
              <w:bottom w:val="single" w:color="000000" w:sz="4" w:space="0"/>
              <w:right w:val="single" w:color="000000" w:sz="4" w:space="0"/>
            </w:tcBorders>
            <w:vAlign w:val="center"/>
          </w:tcPr>
          <w:p>
            <w:pPr>
              <w:rPr>
                <w:rFonts w:ascii="宋体" w:hAnsi="宋体"/>
                <w:color w:val="auto"/>
                <w:sz w:val="24"/>
              </w:rPr>
            </w:pPr>
          </w:p>
        </w:tc>
        <w:tc>
          <w:tcPr>
            <w:tcW w:w="2385" w:type="dxa"/>
            <w:vMerge w:val="continue"/>
            <w:tcBorders>
              <w:bottom w:val="single" w:color="000000" w:sz="4" w:space="0"/>
              <w:right w:val="single" w:color="000000" w:sz="4" w:space="0"/>
            </w:tcBorders>
            <w:vAlign w:val="center"/>
          </w:tcPr>
          <w:p>
            <w:pPr>
              <w:rPr>
                <w:rFonts w:ascii="宋体" w:hAnsi="宋体"/>
                <w:color w:val="auto"/>
                <w:sz w:val="24"/>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工资福利支出</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1,242.20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商品和服务支出</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133.58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307</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债务利息及费用支出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30101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基本工资</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438.58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30201</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办公费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15.88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30701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国内债务付息</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30102</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津贴补贴</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108.88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30202</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印刷费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3.78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30702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国外债务付息</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30103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奖金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502.14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30203</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咨询费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资本性支出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0.35</w:t>
            </w: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30106</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伙食补助费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30204</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手续费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房屋建筑物购建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30107</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绩效工资</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30205</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水费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办公设备购置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0.35</w:t>
            </w: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30108</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机关事业单位基本养老保险缴费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65.52</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30206</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电费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31003</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专用设备购置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30109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职业年金缴费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30207</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邮电费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1.26</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31005</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基础设施建设</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30110</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职工基本医疗保险缴费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31.60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30208</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取暖费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31006</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大型修缮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30111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公务员医疗补助缴费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29.99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30209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物业管理费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31007</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信息网络及软件购置更新</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30112</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其他社会保障缴费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0.49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30211</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差旅费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6.56</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31008</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物资储备</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30113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住房公积金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64.14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30212</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因公出国（境）费用</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31009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土地补偿</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30114</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医疗费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30213</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维修（护）费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0.09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31010</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安置补助</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30199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其他工资福利支出</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0.84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30214</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租赁费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0.10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31011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地上附着物和青苗补偿</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对个人和家庭的补助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430.46</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30215</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会议费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31012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拆迁补偿</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离休费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31.07</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30216</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培训费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31013</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公务用车购置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30302</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退休费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307.17</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30217</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公务接待费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31019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其他交通工具购置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30303</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退职（役）费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30218</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专用材料费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31021</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文物和陈列品购置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30304</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抚恤金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68.29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30224</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被装购置费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31022</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无形资产购置</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30305</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生活补助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7.67</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30225</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专用燃料费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31099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其他资本性支出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30306</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救济费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30226</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劳务费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3.48</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399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其他支出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30307</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医疗费补助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9.32</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30227</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委托业务费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9.50</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39906</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赠与</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30308</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助学金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30228</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工会经费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5.31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39907</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国家赔偿费用支出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30309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奖励金</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30229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福利费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7.81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39908</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对民间非营利组织和群众性自治组织补贴</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30310</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个人农业生产补贴</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30231</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公务用车运行维护费</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8.51</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39999</w:t>
            </w: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其他支出</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30311</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代缴社会保险费</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30239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其他交通费用</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68.39</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30399</w:t>
            </w: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其他对个人和家庭的补助</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6.94</w:t>
            </w: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30240</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税金及附加费用</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780"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11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30299</w:t>
            </w:r>
          </w:p>
        </w:tc>
        <w:tc>
          <w:tcPr>
            <w:tcW w:w="214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r>
              <w:rPr>
                <w:rFonts w:ascii="宋体" w:hAnsi="宋体"/>
                <w:color w:val="auto"/>
                <w:sz w:val="22"/>
              </w:rPr>
              <w:t xml:space="preserve">  其他商品和服务支出</w:t>
            </w:r>
          </w:p>
        </w:tc>
        <w:tc>
          <w:tcPr>
            <w:tcW w:w="1290"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765"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400"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00" w:hRule="atLeast"/>
        </w:trPr>
        <w:tc>
          <w:tcPr>
            <w:tcW w:w="2895"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人员经费合计</w:t>
            </w:r>
          </w:p>
        </w:tc>
        <w:tc>
          <w:tcPr>
            <w:tcW w:w="130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1,672.66</w:t>
            </w:r>
          </w:p>
        </w:tc>
        <w:tc>
          <w:tcPr>
            <w:tcW w:w="7365" w:type="dxa"/>
            <w:gridSpan w:val="5"/>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公用经费合计</w:t>
            </w:r>
          </w:p>
        </w:tc>
        <w:tc>
          <w:tcPr>
            <w:tcW w:w="238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133.92</w:t>
            </w:r>
          </w:p>
        </w:tc>
      </w:tr>
      <w:tr>
        <w:tblPrEx>
          <w:tblCellMar>
            <w:top w:w="0" w:type="dxa"/>
            <w:left w:w="15" w:type="dxa"/>
            <w:bottom w:w="0" w:type="dxa"/>
            <w:right w:w="15" w:type="dxa"/>
          </w:tblCellMar>
        </w:tblPrEx>
        <w:trPr>
          <w:trHeight w:val="300" w:hRule="atLeast"/>
        </w:trPr>
        <w:tc>
          <w:tcPr>
            <w:tcW w:w="13950" w:type="dxa"/>
            <w:gridSpan w:val="9"/>
            <w:vAlign w:val="center"/>
          </w:tcPr>
          <w:p>
            <w:pPr>
              <w:autoSpaceDN w:val="0"/>
              <w:jc w:val="left"/>
              <w:textAlignment w:val="center"/>
              <w:rPr>
                <w:rFonts w:ascii="宋体" w:hAnsi="宋体"/>
                <w:color w:val="auto"/>
                <w:sz w:val="22"/>
              </w:rPr>
            </w:pPr>
            <w:r>
              <w:rPr>
                <w:rFonts w:ascii="宋体" w:hAnsi="宋体"/>
                <w:color w:val="auto"/>
                <w:sz w:val="22"/>
              </w:rPr>
              <w:t>注：本表反映单位本年度一般公共预算财政拨款基本支出明细情况。本表金额转换为万元时，因四舍五入可能存在尾差。</w:t>
            </w:r>
          </w:p>
        </w:tc>
      </w:tr>
    </w:tbl>
    <w:p>
      <w:pPr>
        <w:rPr>
          <w:color w:val="auto"/>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782" w:type="dxa"/>
        <w:tblInd w:w="0" w:type="dxa"/>
        <w:tblLayout w:type="fixed"/>
        <w:tblCellMar>
          <w:top w:w="0" w:type="dxa"/>
          <w:left w:w="15" w:type="dxa"/>
          <w:bottom w:w="0" w:type="dxa"/>
          <w:right w:w="15" w:type="dxa"/>
        </w:tblCellMar>
      </w:tblPr>
      <w:tblGrid>
        <w:gridCol w:w="1269"/>
        <w:gridCol w:w="1287"/>
        <w:gridCol w:w="1253"/>
        <w:gridCol w:w="1103"/>
        <w:gridCol w:w="1102"/>
        <w:gridCol w:w="1102"/>
        <w:gridCol w:w="1103"/>
        <w:gridCol w:w="1103"/>
        <w:gridCol w:w="1103"/>
        <w:gridCol w:w="1102"/>
        <w:gridCol w:w="1102"/>
        <w:gridCol w:w="1153"/>
      </w:tblGrid>
      <w:tr>
        <w:tblPrEx>
          <w:tblCellMar>
            <w:top w:w="0" w:type="dxa"/>
            <w:left w:w="15" w:type="dxa"/>
            <w:bottom w:w="0" w:type="dxa"/>
            <w:right w:w="15" w:type="dxa"/>
          </w:tblCellMar>
        </w:tblPrEx>
        <w:trPr>
          <w:trHeight w:val="754" w:hRule="atLeast"/>
        </w:trPr>
        <w:tc>
          <w:tcPr>
            <w:tcW w:w="13782" w:type="dxa"/>
            <w:gridSpan w:val="12"/>
            <w:vAlign w:val="bottom"/>
          </w:tcPr>
          <w:p>
            <w:pPr>
              <w:autoSpaceDN w:val="0"/>
              <w:jc w:val="center"/>
              <w:textAlignment w:val="bottom"/>
              <w:rPr>
                <w:rFonts w:ascii="宋体" w:hAnsi="宋体"/>
                <w:color w:val="auto"/>
                <w:sz w:val="32"/>
              </w:rPr>
            </w:pPr>
            <w:r>
              <w:rPr>
                <w:rFonts w:ascii="宋体" w:hAnsi="宋体"/>
                <w:color w:val="auto"/>
                <w:sz w:val="32"/>
              </w:rPr>
              <w:t>一般公共预算财政拨款“三公”经费支出决算表</w:t>
            </w:r>
          </w:p>
        </w:tc>
      </w:tr>
      <w:tr>
        <w:tblPrEx>
          <w:tblCellMar>
            <w:top w:w="0" w:type="dxa"/>
            <w:left w:w="15" w:type="dxa"/>
            <w:bottom w:w="0" w:type="dxa"/>
            <w:right w:w="15" w:type="dxa"/>
          </w:tblCellMar>
        </w:tblPrEx>
        <w:trPr>
          <w:trHeight w:val="377" w:hRule="atLeast"/>
        </w:trPr>
        <w:tc>
          <w:tcPr>
            <w:tcW w:w="1269" w:type="dxa"/>
            <w:vAlign w:val="bottom"/>
          </w:tcPr>
          <w:p>
            <w:pPr>
              <w:autoSpaceDN w:val="0"/>
              <w:jc w:val="left"/>
              <w:textAlignment w:val="bottom"/>
              <w:rPr>
                <w:rFonts w:ascii="Arial" w:hAnsi="宋体"/>
                <w:color w:val="auto"/>
                <w:sz w:val="20"/>
              </w:rPr>
            </w:pPr>
          </w:p>
        </w:tc>
        <w:tc>
          <w:tcPr>
            <w:tcW w:w="1287" w:type="dxa"/>
            <w:vAlign w:val="bottom"/>
          </w:tcPr>
          <w:p>
            <w:pPr>
              <w:autoSpaceDN w:val="0"/>
              <w:jc w:val="left"/>
              <w:textAlignment w:val="bottom"/>
              <w:rPr>
                <w:rFonts w:ascii="Arial" w:hAnsi="宋体"/>
                <w:color w:val="auto"/>
                <w:sz w:val="20"/>
              </w:rPr>
            </w:pPr>
          </w:p>
        </w:tc>
        <w:tc>
          <w:tcPr>
            <w:tcW w:w="1253" w:type="dxa"/>
            <w:vAlign w:val="bottom"/>
          </w:tcPr>
          <w:p>
            <w:pPr>
              <w:autoSpaceDN w:val="0"/>
              <w:jc w:val="left"/>
              <w:textAlignment w:val="bottom"/>
              <w:rPr>
                <w:rFonts w:ascii="Arial" w:hAnsi="宋体"/>
                <w:color w:val="auto"/>
                <w:sz w:val="20"/>
              </w:rPr>
            </w:pPr>
          </w:p>
        </w:tc>
        <w:tc>
          <w:tcPr>
            <w:tcW w:w="1103" w:type="dxa"/>
            <w:vAlign w:val="bottom"/>
          </w:tcPr>
          <w:p>
            <w:pPr>
              <w:autoSpaceDN w:val="0"/>
              <w:jc w:val="left"/>
              <w:textAlignment w:val="bottom"/>
              <w:rPr>
                <w:rFonts w:ascii="Arial" w:hAnsi="宋体"/>
                <w:color w:val="auto"/>
                <w:sz w:val="20"/>
              </w:rPr>
            </w:pPr>
          </w:p>
        </w:tc>
        <w:tc>
          <w:tcPr>
            <w:tcW w:w="1102" w:type="dxa"/>
            <w:vAlign w:val="bottom"/>
          </w:tcPr>
          <w:p>
            <w:pPr>
              <w:autoSpaceDN w:val="0"/>
              <w:jc w:val="left"/>
              <w:textAlignment w:val="bottom"/>
              <w:rPr>
                <w:rFonts w:ascii="Arial" w:hAnsi="宋体"/>
                <w:color w:val="auto"/>
                <w:sz w:val="20"/>
              </w:rPr>
            </w:pPr>
          </w:p>
        </w:tc>
        <w:tc>
          <w:tcPr>
            <w:tcW w:w="1102" w:type="dxa"/>
            <w:vAlign w:val="bottom"/>
          </w:tcPr>
          <w:p>
            <w:pPr>
              <w:autoSpaceDN w:val="0"/>
              <w:jc w:val="left"/>
              <w:textAlignment w:val="bottom"/>
              <w:rPr>
                <w:rFonts w:ascii="Arial" w:hAnsi="宋体"/>
                <w:color w:val="auto"/>
                <w:sz w:val="20"/>
              </w:rPr>
            </w:pPr>
          </w:p>
        </w:tc>
        <w:tc>
          <w:tcPr>
            <w:tcW w:w="1103" w:type="dxa"/>
            <w:vAlign w:val="bottom"/>
          </w:tcPr>
          <w:p>
            <w:pPr>
              <w:autoSpaceDN w:val="0"/>
              <w:jc w:val="left"/>
              <w:textAlignment w:val="bottom"/>
              <w:rPr>
                <w:rFonts w:ascii="Arial" w:hAnsi="宋体"/>
                <w:color w:val="auto"/>
                <w:sz w:val="20"/>
              </w:rPr>
            </w:pPr>
          </w:p>
        </w:tc>
        <w:tc>
          <w:tcPr>
            <w:tcW w:w="1103" w:type="dxa"/>
            <w:vAlign w:val="bottom"/>
          </w:tcPr>
          <w:p>
            <w:pPr>
              <w:autoSpaceDN w:val="0"/>
              <w:jc w:val="left"/>
              <w:textAlignment w:val="bottom"/>
              <w:rPr>
                <w:rFonts w:ascii="Arial" w:hAnsi="宋体"/>
                <w:color w:val="auto"/>
                <w:sz w:val="20"/>
              </w:rPr>
            </w:pPr>
          </w:p>
        </w:tc>
        <w:tc>
          <w:tcPr>
            <w:tcW w:w="1103" w:type="dxa"/>
            <w:vAlign w:val="bottom"/>
          </w:tcPr>
          <w:p>
            <w:pPr>
              <w:autoSpaceDN w:val="0"/>
              <w:jc w:val="left"/>
              <w:textAlignment w:val="bottom"/>
              <w:rPr>
                <w:rFonts w:ascii="Arial" w:hAnsi="宋体"/>
                <w:color w:val="auto"/>
                <w:sz w:val="20"/>
              </w:rPr>
            </w:pPr>
          </w:p>
        </w:tc>
        <w:tc>
          <w:tcPr>
            <w:tcW w:w="1102" w:type="dxa"/>
            <w:vAlign w:val="bottom"/>
          </w:tcPr>
          <w:p>
            <w:pPr>
              <w:autoSpaceDN w:val="0"/>
              <w:jc w:val="left"/>
              <w:textAlignment w:val="bottom"/>
              <w:rPr>
                <w:rFonts w:ascii="Arial" w:hAnsi="宋体"/>
                <w:color w:val="auto"/>
                <w:sz w:val="20"/>
              </w:rPr>
            </w:pPr>
          </w:p>
        </w:tc>
        <w:tc>
          <w:tcPr>
            <w:tcW w:w="2255" w:type="dxa"/>
            <w:gridSpan w:val="2"/>
            <w:vAlign w:val="bottom"/>
          </w:tcPr>
          <w:p>
            <w:pPr>
              <w:autoSpaceDN w:val="0"/>
              <w:jc w:val="right"/>
              <w:textAlignment w:val="bottom"/>
              <w:rPr>
                <w:rFonts w:ascii="宋体" w:hAnsi="宋体"/>
                <w:color w:val="auto"/>
                <w:sz w:val="20"/>
              </w:rPr>
            </w:pPr>
            <w:r>
              <w:rPr>
                <w:rFonts w:ascii="宋体" w:hAnsi="宋体"/>
                <w:color w:val="auto"/>
                <w:sz w:val="20"/>
              </w:rPr>
              <w:t>公开07表</w:t>
            </w:r>
          </w:p>
        </w:tc>
      </w:tr>
      <w:tr>
        <w:tblPrEx>
          <w:tblCellMar>
            <w:top w:w="0" w:type="dxa"/>
            <w:left w:w="15" w:type="dxa"/>
            <w:bottom w:w="0" w:type="dxa"/>
            <w:right w:w="15" w:type="dxa"/>
          </w:tblCellMar>
        </w:tblPrEx>
        <w:trPr>
          <w:trHeight w:val="377" w:hRule="atLeast"/>
        </w:trPr>
        <w:tc>
          <w:tcPr>
            <w:tcW w:w="3809" w:type="dxa"/>
            <w:gridSpan w:val="3"/>
            <w:vAlign w:val="bottom"/>
          </w:tcPr>
          <w:p>
            <w:pPr>
              <w:autoSpaceDN w:val="0"/>
              <w:jc w:val="left"/>
              <w:textAlignment w:val="bottom"/>
              <w:rPr>
                <w:rFonts w:ascii="宋体" w:hAnsi="宋体"/>
                <w:color w:val="auto"/>
                <w:sz w:val="20"/>
              </w:rPr>
            </w:pPr>
            <w:r>
              <w:rPr>
                <w:rFonts w:ascii="宋体" w:hAnsi="宋体"/>
                <w:color w:val="auto"/>
                <w:sz w:val="20"/>
              </w:rPr>
              <w:t>单位：许昌市农业农村局(本级）</w:t>
            </w:r>
          </w:p>
        </w:tc>
        <w:tc>
          <w:tcPr>
            <w:tcW w:w="1103" w:type="dxa"/>
            <w:vAlign w:val="bottom"/>
          </w:tcPr>
          <w:p>
            <w:pPr>
              <w:autoSpaceDN w:val="0"/>
              <w:jc w:val="left"/>
              <w:textAlignment w:val="bottom"/>
              <w:rPr>
                <w:rFonts w:ascii="Arial" w:hAnsi="宋体"/>
                <w:color w:val="auto"/>
                <w:sz w:val="20"/>
              </w:rPr>
            </w:pPr>
          </w:p>
        </w:tc>
        <w:tc>
          <w:tcPr>
            <w:tcW w:w="1102" w:type="dxa"/>
            <w:vAlign w:val="bottom"/>
          </w:tcPr>
          <w:p>
            <w:pPr>
              <w:autoSpaceDN w:val="0"/>
              <w:jc w:val="left"/>
              <w:textAlignment w:val="bottom"/>
              <w:rPr>
                <w:rFonts w:ascii="Arial" w:hAnsi="宋体"/>
                <w:color w:val="auto"/>
                <w:sz w:val="20"/>
              </w:rPr>
            </w:pPr>
          </w:p>
        </w:tc>
        <w:tc>
          <w:tcPr>
            <w:tcW w:w="1102" w:type="dxa"/>
            <w:vAlign w:val="bottom"/>
          </w:tcPr>
          <w:p>
            <w:pPr>
              <w:autoSpaceDN w:val="0"/>
              <w:jc w:val="left"/>
              <w:textAlignment w:val="bottom"/>
              <w:rPr>
                <w:rFonts w:ascii="Arial" w:hAnsi="宋体"/>
                <w:color w:val="auto"/>
                <w:sz w:val="20"/>
              </w:rPr>
            </w:pPr>
          </w:p>
        </w:tc>
        <w:tc>
          <w:tcPr>
            <w:tcW w:w="1103" w:type="dxa"/>
            <w:vAlign w:val="bottom"/>
          </w:tcPr>
          <w:p>
            <w:pPr>
              <w:autoSpaceDN w:val="0"/>
              <w:jc w:val="left"/>
              <w:textAlignment w:val="bottom"/>
              <w:rPr>
                <w:rFonts w:ascii="Arial" w:hAnsi="宋体"/>
                <w:color w:val="auto"/>
                <w:sz w:val="20"/>
              </w:rPr>
            </w:pPr>
          </w:p>
        </w:tc>
        <w:tc>
          <w:tcPr>
            <w:tcW w:w="1103" w:type="dxa"/>
            <w:vAlign w:val="bottom"/>
          </w:tcPr>
          <w:p>
            <w:pPr>
              <w:autoSpaceDN w:val="0"/>
              <w:jc w:val="left"/>
              <w:textAlignment w:val="bottom"/>
              <w:rPr>
                <w:rFonts w:ascii="Arial" w:hAnsi="宋体"/>
                <w:color w:val="auto"/>
                <w:sz w:val="20"/>
              </w:rPr>
            </w:pPr>
          </w:p>
        </w:tc>
        <w:tc>
          <w:tcPr>
            <w:tcW w:w="1103" w:type="dxa"/>
            <w:vAlign w:val="bottom"/>
          </w:tcPr>
          <w:p>
            <w:pPr>
              <w:autoSpaceDN w:val="0"/>
              <w:jc w:val="left"/>
              <w:textAlignment w:val="bottom"/>
              <w:rPr>
                <w:rFonts w:ascii="Arial" w:hAnsi="宋体"/>
                <w:color w:val="auto"/>
                <w:sz w:val="20"/>
              </w:rPr>
            </w:pPr>
          </w:p>
        </w:tc>
        <w:tc>
          <w:tcPr>
            <w:tcW w:w="1102" w:type="dxa"/>
            <w:vAlign w:val="bottom"/>
          </w:tcPr>
          <w:p>
            <w:pPr>
              <w:autoSpaceDN w:val="0"/>
              <w:jc w:val="left"/>
              <w:textAlignment w:val="bottom"/>
              <w:rPr>
                <w:rFonts w:ascii="Arial" w:hAnsi="宋体"/>
                <w:color w:val="auto"/>
                <w:sz w:val="20"/>
              </w:rPr>
            </w:pPr>
          </w:p>
        </w:tc>
        <w:tc>
          <w:tcPr>
            <w:tcW w:w="2255" w:type="dxa"/>
            <w:gridSpan w:val="2"/>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89" w:hRule="atLeast"/>
        </w:trPr>
        <w:tc>
          <w:tcPr>
            <w:tcW w:w="7116"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预算数</w:t>
            </w:r>
          </w:p>
        </w:tc>
        <w:tc>
          <w:tcPr>
            <w:tcW w:w="6666"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决算数</w:t>
            </w:r>
          </w:p>
        </w:tc>
      </w:tr>
      <w:tr>
        <w:tblPrEx>
          <w:tblCellMar>
            <w:top w:w="0" w:type="dxa"/>
            <w:left w:w="15" w:type="dxa"/>
            <w:bottom w:w="0" w:type="dxa"/>
            <w:right w:w="15" w:type="dxa"/>
          </w:tblCellMar>
        </w:tblPrEx>
        <w:trPr>
          <w:trHeight w:val="389" w:hRule="atLeast"/>
        </w:trPr>
        <w:tc>
          <w:tcPr>
            <w:tcW w:w="1269"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合计</w:t>
            </w:r>
          </w:p>
        </w:tc>
        <w:tc>
          <w:tcPr>
            <w:tcW w:w="1287"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因公出国（境）费</w:t>
            </w:r>
          </w:p>
        </w:tc>
        <w:tc>
          <w:tcPr>
            <w:tcW w:w="3458" w:type="dxa"/>
            <w:gridSpan w:val="3"/>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公务用车购置及运行费</w:t>
            </w:r>
          </w:p>
        </w:tc>
        <w:tc>
          <w:tcPr>
            <w:tcW w:w="1102"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公务接待费</w:t>
            </w:r>
          </w:p>
        </w:tc>
        <w:tc>
          <w:tcPr>
            <w:tcW w:w="110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合计</w:t>
            </w:r>
          </w:p>
        </w:tc>
        <w:tc>
          <w:tcPr>
            <w:tcW w:w="110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因公出国（境）费</w:t>
            </w:r>
          </w:p>
        </w:tc>
        <w:tc>
          <w:tcPr>
            <w:tcW w:w="3307" w:type="dxa"/>
            <w:gridSpan w:val="3"/>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公务用车购置及运行费</w:t>
            </w:r>
          </w:p>
        </w:tc>
        <w:tc>
          <w:tcPr>
            <w:tcW w:w="1153"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公务接待费</w:t>
            </w:r>
          </w:p>
        </w:tc>
      </w:tr>
      <w:tr>
        <w:tblPrEx>
          <w:tblCellMar>
            <w:top w:w="0" w:type="dxa"/>
            <w:left w:w="15" w:type="dxa"/>
            <w:bottom w:w="0" w:type="dxa"/>
            <w:right w:w="15" w:type="dxa"/>
          </w:tblCellMar>
        </w:tblPrEx>
        <w:trPr>
          <w:trHeight w:val="766" w:hRule="atLeast"/>
        </w:trPr>
        <w:tc>
          <w:tcPr>
            <w:tcW w:w="1269" w:type="dxa"/>
            <w:vMerge w:val="continue"/>
            <w:tcBorders>
              <w:left w:val="single" w:color="000000" w:sz="4" w:space="0"/>
              <w:bottom w:val="single" w:color="000000" w:sz="4" w:space="0"/>
              <w:right w:val="single" w:color="000000" w:sz="4" w:space="0"/>
            </w:tcBorders>
            <w:vAlign w:val="center"/>
          </w:tcPr>
          <w:p>
            <w:pPr>
              <w:rPr>
                <w:rFonts w:ascii="宋体" w:hAnsi="宋体"/>
                <w:color w:val="auto"/>
                <w:sz w:val="24"/>
              </w:rPr>
            </w:pPr>
          </w:p>
        </w:tc>
        <w:tc>
          <w:tcPr>
            <w:tcW w:w="1287" w:type="dxa"/>
            <w:vMerge w:val="continue"/>
            <w:tcBorders>
              <w:bottom w:val="single" w:color="000000" w:sz="4" w:space="0"/>
              <w:right w:val="single" w:color="000000" w:sz="4" w:space="0"/>
            </w:tcBorders>
            <w:vAlign w:val="center"/>
          </w:tcPr>
          <w:p>
            <w:pPr>
              <w:autoSpaceDN w:val="0"/>
              <w:rPr>
                <w:rFonts w:ascii="宋体" w:hAnsi="宋体"/>
                <w:color w:val="auto"/>
                <w:sz w:val="24"/>
              </w:rPr>
            </w:pPr>
          </w:p>
        </w:tc>
        <w:tc>
          <w:tcPr>
            <w:tcW w:w="125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小计</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公务用车购置费</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公务用车运行费</w:t>
            </w:r>
          </w:p>
        </w:tc>
        <w:tc>
          <w:tcPr>
            <w:tcW w:w="1102" w:type="dxa"/>
            <w:vMerge w:val="continue"/>
            <w:tcBorders>
              <w:bottom w:val="single" w:color="000000" w:sz="4" w:space="0"/>
              <w:right w:val="single" w:color="000000" w:sz="4" w:space="0"/>
            </w:tcBorders>
            <w:vAlign w:val="center"/>
          </w:tcPr>
          <w:p>
            <w:pPr>
              <w:rPr>
                <w:rFonts w:ascii="宋体" w:hAnsi="宋体"/>
                <w:color w:val="auto"/>
                <w:sz w:val="24"/>
              </w:rPr>
            </w:pPr>
          </w:p>
        </w:tc>
        <w:tc>
          <w:tcPr>
            <w:tcW w:w="1103"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103"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小计</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公务用车购置费</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公务用车运行费</w:t>
            </w:r>
          </w:p>
        </w:tc>
        <w:tc>
          <w:tcPr>
            <w:tcW w:w="1153"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r>
      <w:tr>
        <w:tblPrEx>
          <w:tblCellMar>
            <w:top w:w="0" w:type="dxa"/>
            <w:left w:w="15" w:type="dxa"/>
            <w:bottom w:w="0" w:type="dxa"/>
            <w:right w:w="15" w:type="dxa"/>
          </w:tblCellMar>
        </w:tblPrEx>
        <w:trPr>
          <w:trHeight w:val="389" w:hRule="atLeast"/>
        </w:trPr>
        <w:tc>
          <w:tcPr>
            <w:tcW w:w="1269"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1287"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125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7</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8</w:t>
            </w:r>
          </w:p>
        </w:tc>
        <w:tc>
          <w:tcPr>
            <w:tcW w:w="110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9</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10</w:t>
            </w:r>
          </w:p>
        </w:tc>
        <w:tc>
          <w:tcPr>
            <w:tcW w:w="1102"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11</w:t>
            </w:r>
          </w:p>
        </w:tc>
        <w:tc>
          <w:tcPr>
            <w:tcW w:w="1153"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12</w:t>
            </w:r>
          </w:p>
        </w:tc>
      </w:tr>
      <w:tr>
        <w:tblPrEx>
          <w:tblCellMar>
            <w:top w:w="0" w:type="dxa"/>
            <w:left w:w="15" w:type="dxa"/>
            <w:bottom w:w="0" w:type="dxa"/>
            <w:right w:w="15" w:type="dxa"/>
          </w:tblCellMar>
        </w:tblPrEx>
        <w:trPr>
          <w:trHeight w:val="389" w:hRule="atLeast"/>
        </w:trPr>
        <w:tc>
          <w:tcPr>
            <w:tcW w:w="1269" w:type="dxa"/>
            <w:tcBorders>
              <w:left w:val="single" w:color="000000" w:sz="4" w:space="0"/>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28.00</w:t>
            </w:r>
          </w:p>
        </w:tc>
        <w:tc>
          <w:tcPr>
            <w:tcW w:w="1287"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25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24.00</w:t>
            </w: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24.00</w:t>
            </w: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4.00</w:t>
            </w: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9.72</w:t>
            </w: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0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8.51</w:t>
            </w: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102"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8.51</w:t>
            </w:r>
          </w:p>
        </w:tc>
        <w:tc>
          <w:tcPr>
            <w:tcW w:w="1153"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r>
              <w:rPr>
                <w:rFonts w:ascii="宋体" w:hAnsi="宋体"/>
                <w:color w:val="auto"/>
                <w:sz w:val="22"/>
              </w:rPr>
              <w:t>1.21</w:t>
            </w:r>
          </w:p>
        </w:tc>
      </w:tr>
      <w:tr>
        <w:tblPrEx>
          <w:tblCellMar>
            <w:top w:w="0" w:type="dxa"/>
            <w:left w:w="15" w:type="dxa"/>
            <w:bottom w:w="0" w:type="dxa"/>
            <w:right w:w="15" w:type="dxa"/>
          </w:tblCellMar>
        </w:tblPrEx>
        <w:trPr>
          <w:trHeight w:val="1144" w:hRule="atLeast"/>
        </w:trPr>
        <w:tc>
          <w:tcPr>
            <w:tcW w:w="13782" w:type="dxa"/>
            <w:gridSpan w:val="12"/>
            <w:vAlign w:val="center"/>
          </w:tcPr>
          <w:p>
            <w:pPr>
              <w:autoSpaceDN w:val="0"/>
              <w:jc w:val="left"/>
              <w:textAlignment w:val="center"/>
              <w:rPr>
                <w:rFonts w:ascii="宋体" w:hAnsi="宋体"/>
                <w:color w:val="auto"/>
                <w:sz w:val="22"/>
              </w:rPr>
            </w:pPr>
            <w:r>
              <w:rPr>
                <w:rFonts w:ascii="宋体" w:hAnsi="宋体"/>
                <w:color w:val="auto"/>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color w:val="auto"/>
        </w:rPr>
        <w:sectPr>
          <w:pgSz w:w="16838" w:h="11906" w:orient="landscape"/>
          <w:pgMar w:top="2098" w:right="1474" w:bottom="1984" w:left="1587" w:header="720" w:footer="720" w:gutter="0"/>
          <w:pgNumType w:fmt="numberInDash"/>
          <w:cols w:space="720" w:num="1"/>
          <w:docGrid w:type="lines" w:linePitch="312" w:charSpace="0"/>
        </w:sectPr>
      </w:pPr>
    </w:p>
    <w:tbl>
      <w:tblPr>
        <w:tblStyle w:val="4"/>
        <w:tblW w:w="13721" w:type="dxa"/>
        <w:tblInd w:w="0" w:type="dxa"/>
        <w:tblLayout w:type="fixed"/>
        <w:tblCellMar>
          <w:top w:w="0" w:type="dxa"/>
          <w:left w:w="15" w:type="dxa"/>
          <w:bottom w:w="0" w:type="dxa"/>
          <w:right w:w="15" w:type="dxa"/>
        </w:tblCellMar>
      </w:tblPr>
      <w:tblGrid>
        <w:gridCol w:w="502"/>
        <w:gridCol w:w="1323"/>
        <w:gridCol w:w="1324"/>
        <w:gridCol w:w="2607"/>
        <w:gridCol w:w="1325"/>
        <w:gridCol w:w="1324"/>
        <w:gridCol w:w="1324"/>
        <w:gridCol w:w="1324"/>
        <w:gridCol w:w="1324"/>
        <w:gridCol w:w="1344"/>
      </w:tblGrid>
      <w:tr>
        <w:tblPrEx>
          <w:tblCellMar>
            <w:top w:w="0" w:type="dxa"/>
            <w:left w:w="15" w:type="dxa"/>
            <w:bottom w:w="0" w:type="dxa"/>
            <w:right w:w="15" w:type="dxa"/>
          </w:tblCellMar>
        </w:tblPrEx>
        <w:trPr>
          <w:trHeight w:val="679" w:hRule="atLeast"/>
        </w:trPr>
        <w:tc>
          <w:tcPr>
            <w:tcW w:w="13721" w:type="dxa"/>
            <w:gridSpan w:val="10"/>
            <w:vAlign w:val="bottom"/>
          </w:tcPr>
          <w:p>
            <w:pPr>
              <w:autoSpaceDN w:val="0"/>
              <w:jc w:val="center"/>
              <w:textAlignment w:val="bottom"/>
              <w:rPr>
                <w:rFonts w:ascii="宋体" w:hAnsi="宋体"/>
                <w:color w:val="auto"/>
                <w:sz w:val="30"/>
              </w:rPr>
            </w:pPr>
            <w:r>
              <w:rPr>
                <w:rFonts w:ascii="宋体" w:hAnsi="宋体"/>
                <w:color w:val="auto"/>
                <w:sz w:val="32"/>
                <w:szCs w:val="32"/>
              </w:rPr>
              <w:t>政府性基金预算财政拨款收入支出决算表</w:t>
            </w:r>
          </w:p>
        </w:tc>
      </w:tr>
      <w:tr>
        <w:tblPrEx>
          <w:tblCellMar>
            <w:top w:w="0" w:type="dxa"/>
            <w:left w:w="15" w:type="dxa"/>
            <w:bottom w:w="0" w:type="dxa"/>
            <w:right w:w="15" w:type="dxa"/>
          </w:tblCellMar>
        </w:tblPrEx>
        <w:trPr>
          <w:trHeight w:val="339" w:hRule="atLeast"/>
        </w:trPr>
        <w:tc>
          <w:tcPr>
            <w:tcW w:w="502" w:type="dxa"/>
            <w:vAlign w:val="bottom"/>
          </w:tcPr>
          <w:p>
            <w:pPr>
              <w:autoSpaceDN w:val="0"/>
              <w:jc w:val="left"/>
              <w:textAlignment w:val="bottom"/>
              <w:rPr>
                <w:rFonts w:ascii="Arial" w:hAnsi="宋体"/>
                <w:color w:val="auto"/>
                <w:sz w:val="20"/>
              </w:rPr>
            </w:pPr>
          </w:p>
        </w:tc>
        <w:tc>
          <w:tcPr>
            <w:tcW w:w="1323"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2607" w:type="dxa"/>
            <w:vAlign w:val="bottom"/>
          </w:tcPr>
          <w:p>
            <w:pPr>
              <w:autoSpaceDN w:val="0"/>
              <w:jc w:val="left"/>
              <w:textAlignment w:val="bottom"/>
              <w:rPr>
                <w:rFonts w:ascii="Arial" w:hAnsi="宋体"/>
                <w:color w:val="auto"/>
                <w:sz w:val="20"/>
              </w:rPr>
            </w:pPr>
          </w:p>
        </w:tc>
        <w:tc>
          <w:tcPr>
            <w:tcW w:w="1325"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1344" w:type="dxa"/>
            <w:vAlign w:val="bottom"/>
          </w:tcPr>
          <w:p>
            <w:pPr>
              <w:autoSpaceDN w:val="0"/>
              <w:jc w:val="right"/>
              <w:textAlignment w:val="bottom"/>
              <w:rPr>
                <w:rFonts w:ascii="宋体" w:hAnsi="宋体"/>
                <w:color w:val="auto"/>
                <w:sz w:val="20"/>
              </w:rPr>
            </w:pPr>
            <w:r>
              <w:rPr>
                <w:rFonts w:ascii="宋体" w:hAnsi="宋体"/>
                <w:color w:val="auto"/>
                <w:sz w:val="20"/>
              </w:rPr>
              <w:t>公开08表</w:t>
            </w:r>
          </w:p>
        </w:tc>
      </w:tr>
      <w:tr>
        <w:tblPrEx>
          <w:tblCellMar>
            <w:top w:w="0" w:type="dxa"/>
            <w:left w:w="15" w:type="dxa"/>
            <w:bottom w:w="0" w:type="dxa"/>
            <w:right w:w="15" w:type="dxa"/>
          </w:tblCellMar>
        </w:tblPrEx>
        <w:trPr>
          <w:trHeight w:val="679" w:hRule="atLeast"/>
        </w:trPr>
        <w:tc>
          <w:tcPr>
            <w:tcW w:w="7081" w:type="dxa"/>
            <w:gridSpan w:val="5"/>
            <w:vAlign w:val="bottom"/>
          </w:tcPr>
          <w:p>
            <w:pPr>
              <w:autoSpaceDN w:val="0"/>
              <w:jc w:val="left"/>
              <w:textAlignment w:val="bottom"/>
              <w:rPr>
                <w:rFonts w:ascii="宋体" w:hAnsi="宋体"/>
                <w:color w:val="auto"/>
                <w:sz w:val="20"/>
              </w:rPr>
            </w:pPr>
            <w:r>
              <w:rPr>
                <w:rFonts w:ascii="宋体" w:hAnsi="宋体"/>
                <w:color w:val="auto"/>
                <w:sz w:val="20"/>
              </w:rPr>
              <w:t>单位：许昌市农业农村局(本级）</w:t>
            </w:r>
          </w:p>
        </w:tc>
        <w:tc>
          <w:tcPr>
            <w:tcW w:w="1324"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1324" w:type="dxa"/>
            <w:vAlign w:val="bottom"/>
          </w:tcPr>
          <w:p>
            <w:pPr>
              <w:autoSpaceDN w:val="0"/>
              <w:jc w:val="left"/>
              <w:textAlignment w:val="bottom"/>
              <w:rPr>
                <w:rFonts w:ascii="Arial" w:hAnsi="宋体"/>
                <w:color w:val="auto"/>
                <w:sz w:val="20"/>
              </w:rPr>
            </w:pPr>
          </w:p>
        </w:tc>
        <w:tc>
          <w:tcPr>
            <w:tcW w:w="1344" w:type="dxa"/>
            <w:vAlign w:val="bottom"/>
          </w:tcPr>
          <w:p>
            <w:pPr>
              <w:autoSpaceDN w:val="0"/>
              <w:jc w:val="right"/>
              <w:textAlignment w:val="bottom"/>
              <w:rPr>
                <w:rFonts w:ascii="宋体" w:hAnsi="宋体"/>
                <w:color w:val="auto"/>
                <w:sz w:val="20"/>
              </w:rPr>
            </w:pPr>
            <w:r>
              <w:rPr>
                <w:rFonts w:ascii="宋体" w:hAnsi="宋体"/>
                <w:color w:val="auto"/>
                <w:sz w:val="20"/>
              </w:rPr>
              <w:t>单位：万元</w:t>
            </w:r>
          </w:p>
        </w:tc>
      </w:tr>
      <w:tr>
        <w:tblPrEx>
          <w:tblCellMar>
            <w:top w:w="0" w:type="dxa"/>
            <w:left w:w="15" w:type="dxa"/>
            <w:bottom w:w="0" w:type="dxa"/>
            <w:right w:w="15" w:type="dxa"/>
          </w:tblCellMar>
        </w:tblPrEx>
        <w:trPr>
          <w:trHeight w:val="361" w:hRule="atLeast"/>
        </w:trPr>
        <w:tc>
          <w:tcPr>
            <w:tcW w:w="5756"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w:t>
            </w:r>
          </w:p>
        </w:tc>
        <w:tc>
          <w:tcPr>
            <w:tcW w:w="132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年初结转和结余</w:t>
            </w:r>
          </w:p>
        </w:tc>
        <w:tc>
          <w:tcPr>
            <w:tcW w:w="1324"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本年收入</w:t>
            </w:r>
          </w:p>
        </w:tc>
        <w:tc>
          <w:tcPr>
            <w:tcW w:w="3972"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本年支出</w:t>
            </w:r>
          </w:p>
        </w:tc>
        <w:tc>
          <w:tcPr>
            <w:tcW w:w="1344"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年末结转和结余</w:t>
            </w:r>
          </w:p>
        </w:tc>
      </w:tr>
      <w:tr>
        <w:tblPrEx>
          <w:tblCellMar>
            <w:top w:w="0" w:type="dxa"/>
            <w:left w:w="15" w:type="dxa"/>
            <w:bottom w:w="0" w:type="dxa"/>
            <w:right w:w="15" w:type="dxa"/>
          </w:tblCellMar>
        </w:tblPrEx>
        <w:trPr>
          <w:trHeight w:val="347" w:hRule="atLeast"/>
        </w:trPr>
        <w:tc>
          <w:tcPr>
            <w:tcW w:w="3149"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功能分类科目编码</w:t>
            </w:r>
          </w:p>
        </w:tc>
        <w:tc>
          <w:tcPr>
            <w:tcW w:w="2607"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科目名称</w:t>
            </w:r>
          </w:p>
        </w:tc>
        <w:tc>
          <w:tcPr>
            <w:tcW w:w="1325"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324" w:type="dxa"/>
            <w:vMerge w:val="continue"/>
            <w:tcBorders>
              <w:top w:val="single" w:color="000000" w:sz="4" w:space="0"/>
              <w:bottom w:val="single" w:color="000000" w:sz="4" w:space="0"/>
              <w:right w:val="single" w:color="000000" w:sz="4" w:space="0"/>
            </w:tcBorders>
            <w:vAlign w:val="center"/>
          </w:tcPr>
          <w:p>
            <w:pPr>
              <w:rPr>
                <w:rFonts w:ascii="宋体" w:hAnsi="宋体"/>
                <w:color w:val="auto"/>
                <w:sz w:val="24"/>
              </w:rPr>
            </w:pPr>
          </w:p>
        </w:tc>
        <w:tc>
          <w:tcPr>
            <w:tcW w:w="1324"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小计</w:t>
            </w:r>
          </w:p>
        </w:tc>
        <w:tc>
          <w:tcPr>
            <w:tcW w:w="1324"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基本支出</w:t>
            </w:r>
          </w:p>
        </w:tc>
        <w:tc>
          <w:tcPr>
            <w:tcW w:w="1324" w:type="dxa"/>
            <w:vMerge w:val="restart"/>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项目支出</w:t>
            </w:r>
          </w:p>
        </w:tc>
        <w:tc>
          <w:tcPr>
            <w:tcW w:w="134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rPr>
            </w:pPr>
          </w:p>
        </w:tc>
      </w:tr>
      <w:tr>
        <w:tblPrEx>
          <w:tblCellMar>
            <w:top w:w="0" w:type="dxa"/>
            <w:left w:w="15" w:type="dxa"/>
            <w:bottom w:w="0" w:type="dxa"/>
            <w:right w:w="15" w:type="dxa"/>
          </w:tblCellMar>
        </w:tblPrEx>
        <w:trPr>
          <w:trHeight w:val="347" w:hRule="atLeast"/>
        </w:trPr>
        <w:tc>
          <w:tcPr>
            <w:tcW w:w="3149"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2607"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4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rPr>
            </w:pPr>
          </w:p>
        </w:tc>
      </w:tr>
      <w:tr>
        <w:tblPrEx>
          <w:tblCellMar>
            <w:top w:w="0" w:type="dxa"/>
            <w:left w:w="15" w:type="dxa"/>
            <w:bottom w:w="0" w:type="dxa"/>
            <w:right w:w="15" w:type="dxa"/>
          </w:tblCellMar>
        </w:tblPrEx>
        <w:trPr>
          <w:trHeight w:val="347" w:hRule="atLeast"/>
        </w:trPr>
        <w:tc>
          <w:tcPr>
            <w:tcW w:w="3149" w:type="dxa"/>
            <w:gridSpan w:val="3"/>
            <w:vMerge w:val="continue"/>
            <w:tcBorders>
              <w:left w:val="single" w:color="000000" w:sz="4" w:space="0"/>
              <w:bottom w:val="single" w:color="000000" w:sz="4" w:space="0"/>
              <w:right w:val="single" w:color="000000" w:sz="4" w:space="0"/>
            </w:tcBorders>
            <w:vAlign w:val="center"/>
          </w:tcPr>
          <w:p>
            <w:pPr>
              <w:autoSpaceDN w:val="0"/>
              <w:rPr>
                <w:rFonts w:ascii="宋体" w:hAnsi="宋体"/>
                <w:color w:val="auto"/>
                <w:sz w:val="24"/>
              </w:rPr>
            </w:pPr>
          </w:p>
        </w:tc>
        <w:tc>
          <w:tcPr>
            <w:tcW w:w="2607"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5"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24" w:type="dxa"/>
            <w:vMerge w:val="continue"/>
            <w:tcBorders>
              <w:bottom w:val="single" w:color="000000" w:sz="4" w:space="0"/>
              <w:right w:val="single" w:color="000000" w:sz="4" w:space="0"/>
            </w:tcBorders>
            <w:vAlign w:val="center"/>
          </w:tcPr>
          <w:p>
            <w:pPr>
              <w:autoSpaceDN w:val="0"/>
              <w:jc w:val="center"/>
              <w:textAlignment w:val="center"/>
              <w:rPr>
                <w:rFonts w:ascii="宋体" w:hAnsi="宋体"/>
                <w:color w:val="auto"/>
                <w:sz w:val="24"/>
              </w:rPr>
            </w:pPr>
          </w:p>
        </w:tc>
        <w:tc>
          <w:tcPr>
            <w:tcW w:w="1344"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rPr>
            </w:pPr>
          </w:p>
        </w:tc>
      </w:tr>
      <w:tr>
        <w:tblPrEx>
          <w:tblCellMar>
            <w:top w:w="0" w:type="dxa"/>
            <w:left w:w="15" w:type="dxa"/>
            <w:bottom w:w="0" w:type="dxa"/>
            <w:right w:w="15" w:type="dxa"/>
          </w:tblCellMar>
        </w:tblPrEx>
        <w:trPr>
          <w:trHeight w:val="361" w:hRule="atLeast"/>
        </w:trPr>
        <w:tc>
          <w:tcPr>
            <w:tcW w:w="575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栏次</w:t>
            </w:r>
          </w:p>
        </w:tc>
        <w:tc>
          <w:tcPr>
            <w:tcW w:w="1325"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1</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2</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3</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4</w:t>
            </w:r>
          </w:p>
        </w:tc>
        <w:tc>
          <w:tcPr>
            <w:tcW w:w="1324"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5</w:t>
            </w:r>
          </w:p>
        </w:tc>
        <w:tc>
          <w:tcPr>
            <w:tcW w:w="1344" w:type="dxa"/>
            <w:tcBorders>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6</w:t>
            </w:r>
          </w:p>
        </w:tc>
      </w:tr>
      <w:tr>
        <w:tblPrEx>
          <w:tblCellMar>
            <w:top w:w="0" w:type="dxa"/>
            <w:left w:w="15" w:type="dxa"/>
            <w:bottom w:w="0" w:type="dxa"/>
            <w:right w:w="15" w:type="dxa"/>
          </w:tblCellMar>
        </w:tblPrEx>
        <w:trPr>
          <w:trHeight w:val="361" w:hRule="atLeast"/>
        </w:trPr>
        <w:tc>
          <w:tcPr>
            <w:tcW w:w="575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2"/>
              </w:rPr>
            </w:pPr>
            <w:r>
              <w:rPr>
                <w:rFonts w:ascii="宋体" w:hAnsi="宋体"/>
                <w:color w:val="auto"/>
                <w:sz w:val="22"/>
              </w:rPr>
              <w:t>合计</w:t>
            </w: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b/>
                <w:color w:val="auto"/>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361" w:hRule="atLeast"/>
        </w:trPr>
        <w:tc>
          <w:tcPr>
            <w:tcW w:w="314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2607" w:type="dxa"/>
            <w:tcBorders>
              <w:bottom w:val="single" w:color="000000" w:sz="4" w:space="0"/>
              <w:right w:val="single" w:color="000000" w:sz="4" w:space="0"/>
            </w:tcBorders>
            <w:vAlign w:val="center"/>
          </w:tcPr>
          <w:p>
            <w:pPr>
              <w:autoSpaceDN w:val="0"/>
              <w:jc w:val="left"/>
              <w:textAlignment w:val="center"/>
              <w:rPr>
                <w:rFonts w:ascii="宋体" w:hAnsi="宋体"/>
                <w:color w:val="auto"/>
                <w:sz w:val="22"/>
              </w:rPr>
            </w:pPr>
          </w:p>
        </w:tc>
        <w:tc>
          <w:tcPr>
            <w:tcW w:w="1325"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2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c>
          <w:tcPr>
            <w:tcW w:w="1344" w:type="dxa"/>
            <w:tcBorders>
              <w:bottom w:val="single" w:color="000000" w:sz="4" w:space="0"/>
              <w:right w:val="single" w:color="000000" w:sz="4" w:space="0"/>
            </w:tcBorders>
            <w:vAlign w:val="center"/>
          </w:tcPr>
          <w:p>
            <w:pPr>
              <w:autoSpaceDN w:val="0"/>
              <w:jc w:val="right"/>
              <w:textAlignment w:val="center"/>
              <w:rPr>
                <w:rFonts w:ascii="宋体" w:hAnsi="宋体"/>
                <w:color w:val="auto"/>
                <w:sz w:val="22"/>
              </w:rPr>
            </w:pPr>
          </w:p>
        </w:tc>
      </w:tr>
      <w:tr>
        <w:tblPrEx>
          <w:tblCellMar>
            <w:top w:w="0" w:type="dxa"/>
            <w:left w:w="15" w:type="dxa"/>
            <w:bottom w:w="0" w:type="dxa"/>
            <w:right w:w="15" w:type="dxa"/>
          </w:tblCellMar>
        </w:tblPrEx>
        <w:trPr>
          <w:trHeight w:val="700" w:hRule="atLeast"/>
        </w:trPr>
        <w:tc>
          <w:tcPr>
            <w:tcW w:w="13721" w:type="dxa"/>
            <w:gridSpan w:val="10"/>
            <w:vAlign w:val="center"/>
          </w:tcPr>
          <w:p>
            <w:pPr>
              <w:autoSpaceDN w:val="0"/>
              <w:jc w:val="left"/>
              <w:textAlignment w:val="center"/>
              <w:rPr>
                <w:rFonts w:ascii="宋体" w:hAnsi="宋体"/>
                <w:color w:val="auto"/>
                <w:sz w:val="22"/>
              </w:rPr>
            </w:pPr>
            <w:r>
              <w:rPr>
                <w:rFonts w:ascii="宋体" w:hAnsi="宋体"/>
                <w:color w:val="auto"/>
                <w:sz w:val="22"/>
              </w:rPr>
              <w:t>注：本表反映单位本年度政府性基金预算财政拨款收入、支出及结转和结余情况。本表金额转换为万元时，因四舍五入可能存在尾差。</w:t>
            </w:r>
          </w:p>
        </w:tc>
      </w:tr>
    </w:tbl>
    <w:p>
      <w:pPr>
        <w:spacing w:line="360"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rPr>
        <w:t>说明：我单位没有政府性基金收入，也没有使用政府性基金安排的支出，故本表无数据</w:t>
      </w:r>
      <w:r>
        <w:rPr>
          <w:rFonts w:hint="eastAsia" w:ascii="仿宋_GB2312" w:hAnsi="仿宋_GB2312" w:eastAsia="仿宋_GB2312" w:cs="仿宋_GB2312"/>
          <w:color w:val="auto"/>
          <w:sz w:val="32"/>
          <w:szCs w:val="32"/>
        </w:rPr>
        <w:t>。</w:t>
      </w:r>
    </w:p>
    <w:p>
      <w:pPr>
        <w:widowControl/>
        <w:spacing w:line="590" w:lineRule="exact"/>
        <w:jc w:val="left"/>
        <w:rPr>
          <w:color w:val="auto"/>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color w:val="auto"/>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年度收、支总计均为2648.68万元。与上年度相比，收、支总计各减少1100.96万元，下降29.36%。主要原因是本年项目资金安排减少。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1649.87万元，其中：财政拨款收入1649.87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年度支出合计2618.93万元，其中：基本支出1806.58万元，占68.98%；项目支出812.35万元，占31.02%；上缴上级支出0.00万元，占0.00%；经营支出0.00万元，占0.00%；对附属单位补助支出0.00万元，占0.00%。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年度财政拨款收、支总计均为2618.93万元。与上年度相比，财政拨款收、支总计各减少1130.71万元，下降30.15%。主要原因是本年项目资金安排减少。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年度一般公共预算财政拨款支出2618.93万元，占支出合计的</w:t>
      </w:r>
      <w:r>
        <w:rPr>
          <w:rFonts w:hint="eastAsia" w:ascii="仿宋_GB2312" w:hAnsi="仿宋_GB2312" w:eastAsia="仿宋_GB2312" w:cs="仿宋_GB2312"/>
          <w:color w:val="auto"/>
          <w:sz w:val="32"/>
          <w:szCs w:val="32"/>
          <w:lang w:val="en-US" w:eastAsia="zh-CN"/>
        </w:rPr>
        <w:t>98.88</w:t>
      </w:r>
      <w:r>
        <w:rPr>
          <w:rFonts w:hint="eastAsia" w:ascii="仿宋_GB2312" w:hAnsi="仿宋_GB2312" w:eastAsia="仿宋_GB2312" w:cs="仿宋_GB2312"/>
          <w:color w:val="auto"/>
          <w:sz w:val="32"/>
          <w:szCs w:val="32"/>
        </w:rPr>
        <w:t>%。与上年度相比，一般公共预算财政拨款支出增加61.40万元，增长2.40%。主要原因是人员工资及社保基数等调整导致人员经费增加。</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2618.93万元，主要用于以下方面：一般公共服务（类）支出5.31万元，占0.21%；社会保障和就业支出（类）支出478.51万元，占18.27%；卫生健康支出（类）支出56.9万元，占2.17%；农林水支出（类）支出2078.21万元，占79.35%。</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年度一般公共预算财政拨款支出年初预算为2364.01万元，支出决算为2618.93万元，完成年初预算的110.78%。其中：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年初预算为5.31万元，支出决算为5.31万元，完成年初预算的100%。决算数与年初预算数不存在差异。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2．社会保障和就业支出（类）行政事业单位养老支出（款）行政单位离退休（项）。</w:t>
      </w:r>
      <w:r>
        <w:rPr>
          <w:rFonts w:hint="eastAsia" w:ascii="仿宋_GB2312" w:hAnsi="仿宋_GB2312" w:eastAsia="仿宋_GB2312" w:cs="仿宋_GB2312"/>
          <w:color w:val="auto"/>
          <w:sz w:val="32"/>
          <w:szCs w:val="32"/>
        </w:rPr>
        <w:t>年初预算为301.18万元，支出决算为347.56万元，完成年初预算的115.39%。决算数与年初预算数存在差异的主要原因是人员工资调整导致人员经费增加。</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年初预算为63.74万元，支出决算为62.66万元，完成年初预算的98.31%。决算数与年初预算数存在差异的主要原因是本年度需缴纳基本养老保险缴费人员减少。</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4．社会保障和就业支出（类）抚恤（款）死亡抚恤（项）。</w:t>
      </w:r>
      <w:r>
        <w:rPr>
          <w:rFonts w:hint="eastAsia" w:ascii="仿宋_GB2312" w:hAnsi="仿宋_GB2312" w:eastAsia="仿宋_GB2312" w:cs="仿宋_GB2312"/>
          <w:color w:val="auto"/>
          <w:sz w:val="32"/>
          <w:szCs w:val="32"/>
        </w:rPr>
        <w:t>年初预算为0.00万元，支出决算为68.29万元。决算数与年初预算数存在差异的主要原因是人员去世为不可预计事项，故此项年初无预算。</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5．卫生健康支出（类）行政事业单位医疗（款）行政单位医疗（项）。</w:t>
      </w:r>
      <w:r>
        <w:rPr>
          <w:rFonts w:hint="eastAsia" w:ascii="仿宋_GB2312" w:hAnsi="仿宋_GB2312" w:eastAsia="仿宋_GB2312" w:cs="仿宋_GB2312"/>
          <w:color w:val="auto"/>
          <w:sz w:val="32"/>
          <w:szCs w:val="32"/>
        </w:rPr>
        <w:t>年初预算为32.90万元，支出决算为28.81万元，完成年初预算的87.57%。决算数与年初预算数存在差异的主要原因是本年度需缴纳基本医疗保险缴费人员减少。</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6．卫生健康支出（类）行政事业单位医疗（款）公务员医疗补助（项）。</w:t>
      </w:r>
      <w:r>
        <w:rPr>
          <w:rFonts w:hint="eastAsia" w:ascii="仿宋_GB2312" w:hAnsi="仿宋_GB2312" w:eastAsia="仿宋_GB2312" w:cs="仿宋_GB2312"/>
          <w:color w:val="auto"/>
          <w:sz w:val="32"/>
          <w:szCs w:val="32"/>
        </w:rPr>
        <w:t>年初预算为31.33万元，支出决算为28.10万元，完成年初预算的89.69%。决算数与年初预算数存在差异的主要原因是本年度需缴纳公务员医疗补助的人员减少。</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7．农林水支出（类）农业农村（款）行政运行（项）。</w:t>
      </w:r>
      <w:r>
        <w:rPr>
          <w:rFonts w:hint="eastAsia" w:ascii="仿宋_GB2312" w:hAnsi="仿宋_GB2312" w:eastAsia="仿宋_GB2312" w:cs="仿宋_GB2312"/>
          <w:color w:val="auto"/>
          <w:sz w:val="32"/>
          <w:szCs w:val="32"/>
        </w:rPr>
        <w:t>年初预算为1032.55万元，支出决算为1290.74万元，完成年初预算的125.00%。决算数与年初预算数存在差异的主要原因是本年度使用部分上年度结转资金。</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8．农林水支出（类）农业农村（款）一般行政管理事务（项）。</w:t>
      </w:r>
      <w:r>
        <w:rPr>
          <w:rFonts w:hint="eastAsia" w:ascii="仿宋_GB2312" w:hAnsi="仿宋_GB2312" w:eastAsia="仿宋_GB2312" w:cs="仿宋_GB2312"/>
          <w:color w:val="auto"/>
          <w:sz w:val="32"/>
          <w:szCs w:val="32"/>
        </w:rPr>
        <w:t>年初预算为0.00万元，支出决算为46.35万元。决算数与年初预算数存在差异的主要原因是本项目主要为年中追加的秸秆禁烧工作经费，年初无预算。</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9．农林水支出（类）农业农村（款）病虫害控制（项）。</w:t>
      </w:r>
      <w:r>
        <w:rPr>
          <w:rFonts w:hint="eastAsia" w:ascii="仿宋_GB2312" w:hAnsi="仿宋_GB2312" w:eastAsia="仿宋_GB2312" w:cs="仿宋_GB2312"/>
          <w:color w:val="auto"/>
          <w:sz w:val="32"/>
          <w:szCs w:val="32"/>
        </w:rPr>
        <w:t>年初预算为895.00万元，支出决算为721.83万元，完成年初预算的80.65%。决算数与年初预算数存在差异的主要原因是该项目主要用于动物防疫支出，根据实际疫苗用量据实结算，结算金额比年初预算数降低。</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10．农林水支出（类）农业农村（款）农业资源保护修复与利用（项）。</w:t>
      </w:r>
      <w:r>
        <w:rPr>
          <w:rFonts w:hint="eastAsia" w:ascii="仿宋_GB2312" w:hAnsi="仿宋_GB2312" w:eastAsia="仿宋_GB2312" w:cs="仿宋_GB2312"/>
          <w:color w:val="auto"/>
          <w:sz w:val="32"/>
          <w:szCs w:val="32"/>
        </w:rPr>
        <w:t>年初预算为2.00万元，支出决算为1.80万元，完成年初预算的90.00%。决算数与年初预算数存在差异的主要原因是中标委托评价公司报价低于年初预算。</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11．农林水支出（类）农业农村（款）其他农业农村支出（项）。</w:t>
      </w:r>
      <w:r>
        <w:rPr>
          <w:rFonts w:hint="eastAsia" w:ascii="仿宋_GB2312" w:hAnsi="仿宋_GB2312" w:eastAsia="仿宋_GB2312" w:cs="仿宋_GB2312"/>
          <w:color w:val="auto"/>
          <w:sz w:val="32"/>
          <w:szCs w:val="32"/>
        </w:rPr>
        <w:t>年初预算为0.00万元，支出决算为17.24万元。决算数与年初预算数存在差异的主要原因是年初重大动物疫情储备物资支出未列入预算。</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12．农林水支出（类）水利（款）行政运行（项）。</w:t>
      </w:r>
      <w:r>
        <w:rPr>
          <w:rFonts w:hint="eastAsia" w:ascii="仿宋_GB2312" w:hAnsi="仿宋_GB2312" w:eastAsia="仿宋_GB2312" w:cs="仿宋_GB2312"/>
          <w:color w:val="auto"/>
          <w:sz w:val="32"/>
          <w:szCs w:val="32"/>
        </w:rPr>
        <w:t>年初预算为0.00万元，支出决算为0.26万元。决算数与年初预算数存在差异的主要原因是使用上年度结转的人员经费，年初无预算。</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1806.58万元。其中：人员经费1672.66万元，主要包括：基本工资、津贴补贴、机关事业单位基本养老保险缴费、职工基本医疗保险缴费、公务员医疗补助缴费、其他社会保障缴费、住房公积金、医疗费、其他工资福利支出、离休费、退休费、抚恤金、生活补助、医疗费补助、其他对个人和家庭的补助；公用经费133.92万元，主要包括：办公费、印刷费、邮电费、差旅费、维修（护）费、租赁费、会议费、公务接待费、劳务费、委托业务费、工会经费、福利费、公务用车运行维护费、其他交通费用、办公设备购置。</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年度“三公”经费财政拨款支出预算为28.00万元，支出决算为9.72万元，完成预算的34.71%。</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年度“三公”经费支出决算数与预算数存在差异的主要原因是厉行节约，严格控制三公经费支出。</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0.00万元；公务用车购置及运行费支出决算8.51万元，完成预算的35.46%，占87.55%；公务接待费支出决算1.21万元，完成预算的30.25%，占12.45%。具体情况如下：</w:t>
      </w:r>
    </w:p>
    <w:p>
      <w:pPr>
        <w:widowControl/>
        <w:numPr>
          <w:ilvl w:val="0"/>
          <w:numId w:val="2"/>
        </w:num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预算为24.00万元，支出决算为8.51万元，完成预算的35.46%。决算数与预算数存在差异的主要原因是厉行节约，严格控制公车运行维护费支出。其中：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为0.00万元，购置车辆0台。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8.51万元。主要用于燃油费、车辆维修费等。</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年期末，单位开支财政拨款的公务用车保有量为6</w:t>
      </w:r>
      <w:r>
        <w:rPr>
          <w:rFonts w:hint="eastAsia" w:ascii="仿宋_GB2312" w:hAnsi="仿宋_GB2312" w:eastAsia="仿宋_GB2312" w:cs="仿宋_GB2312"/>
          <w:color w:val="auto"/>
          <w:sz w:val="32"/>
          <w:szCs w:val="32"/>
          <w:lang w:eastAsia="zh-CN"/>
        </w:rPr>
        <w:t>辆</w:t>
      </w:r>
      <w:r>
        <w:rPr>
          <w:rFonts w:hint="eastAsia" w:ascii="仿宋_GB2312" w:hAnsi="仿宋_GB2312" w:eastAsia="仿宋_GB2312" w:cs="仿宋_GB2312"/>
          <w:color w:val="auto"/>
          <w:sz w:val="32"/>
          <w:szCs w:val="32"/>
        </w:rPr>
        <w:t>。</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预算为4.00万元，支出决算为1.21万元，完成预算的30.25%。决算数与预算数存在差异的主要原因是厉行节约，严格控制公务接待费支出。其中：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1.21万元。主要用于餐费。</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年共接待国内来访团组35个、来宾136人次（不包括陪同人员）。</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2021年度政府性基金预算财政拨款支出年初预算为0.00万元，支出决算为0.00万元。不存在项目年末结转和结余资金数额较大。</w:t>
      </w:r>
    </w:p>
    <w:p>
      <w:pPr>
        <w:widowControl/>
        <w:spacing w:line="590" w:lineRule="exact"/>
        <w:ind w:firstLine="640"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年度机关运行经费年初预算为168.69万元，支出决算为133.92万元，完成年初预算的79.39%。决算数与年初预算数存在差异的主要原因是厉行节约，严格控制机关运行经费支出。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6辆，其中：省级领导干部用车0辆、主要领导干部用车0辆、机要通信用车2辆、应急保障车0辆、执法执勤用车2辆、特种专业技术用车0辆、离退休干部用车2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590" w:lineRule="exact"/>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 xml:space="preserve">    （一）绩效管理工作开展情况。</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我单位认真贯彻落实预算绩效管理方面的规定，基本构建起“预算编制有目标、预算执行有监控、预算完成有评价、评价结果有反馈、反馈结果有应用”的预算绩效管理机制和覆盖预算管理事前、事中、事后全过程的预算绩效管理体系，有效促进了财政资金使用效益的提高。</w:t>
      </w:r>
      <w:r>
        <w:rPr>
          <w:rFonts w:hint="eastAsia" w:ascii="仿宋_GB2312" w:hAnsi="仿宋" w:eastAsia="仿宋_GB2312" w:cs="仿宋"/>
          <w:color w:val="auto"/>
          <w:sz w:val="32"/>
          <w:szCs w:val="32"/>
        </w:rPr>
        <w:t>组织财务人员及项目负责人等学习绩效管理实施意见文件，宣传到涉及绩效管理的各个业务科室。预算编制完整并严格按照计划执行，按时完成预算上报和公开。</w:t>
      </w:r>
    </w:p>
    <w:p>
      <w:pPr>
        <w:widowControl/>
        <w:spacing w:line="590" w:lineRule="exact"/>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 xml:space="preserve">    （二）单位整体和项目绩效自评结果。</w:t>
      </w:r>
    </w:p>
    <w:p>
      <w:pPr>
        <w:widowControl/>
        <w:autoSpaceDE w:val="0"/>
        <w:spacing w:line="360" w:lineRule="auto"/>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号）等文件精神，我单位对本单位整体绩效目标和项目支出绩效目标进行了自评。一是单位整体绩效自评情况。2021年单位整体工作均达到设置的绩效目标。其中，预算管理方面：预算编制完整并按计划执行，财政资金结转结余率为0，预算项目款编制完整，单位决算编报质量符合要求；收支管理方面：收入和支出管理合理合规；财务管理方面：财务管理制度完备，银行账户管理规范，严格按规定进行政府采购；并按时完成预算上报和公开，绩效管理工作正常开展。二是项目绩效自评情况。我单位共有8个项目批复了绩效目标，</w:t>
      </w:r>
      <w:r>
        <w:rPr>
          <w:rFonts w:ascii="仿宋_GB2312" w:hAnsi="仿宋_GB2312" w:eastAsia="仿宋_GB2312" w:cs="仿宋_GB2312"/>
          <w:color w:val="auto"/>
          <w:sz w:val="32"/>
          <w:szCs w:val="32"/>
        </w:rPr>
        <w:t>项目金额</w:t>
      </w:r>
      <w:r>
        <w:rPr>
          <w:rFonts w:hint="eastAsia" w:ascii="仿宋_GB2312" w:hAnsi="仿宋_GB2312" w:eastAsia="仿宋_GB2312" w:cs="仿宋_GB2312"/>
          <w:color w:val="auto"/>
          <w:sz w:val="32"/>
          <w:szCs w:val="32"/>
        </w:rPr>
        <w:t>976.49</w:t>
      </w:r>
      <w:r>
        <w:rPr>
          <w:rFonts w:ascii="仿宋_GB2312" w:hAnsi="仿宋_GB2312" w:eastAsia="仿宋_GB2312" w:cs="仿宋_GB2312"/>
          <w:color w:val="auto"/>
          <w:sz w:val="32"/>
          <w:szCs w:val="32"/>
        </w:rPr>
        <w:t>万元。</w:t>
      </w:r>
    </w:p>
    <w:p>
      <w:pPr>
        <w:widowControl/>
        <w:spacing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基于项目预期目标的实现程度，对2021年度项目支出绩效进行自评，绩效自评平均得分为97.28分。其中：8个项目评价等级为“优”、0个项目评价等级为“良”、0个项目评价等级为“中”、0个项目评价等级为“差”。</w:t>
      </w:r>
    </w:p>
    <w:p>
      <w:pPr>
        <w:widowControl/>
        <w:spacing w:line="590" w:lineRule="exact"/>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 xml:space="preserve">    （三）重点绩效评价结果。</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2021年度我单位没有开展重点绩效评价的项目。</w:t>
      </w: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widowControl/>
        <w:spacing w:line="590" w:lineRule="exact"/>
        <w:jc w:val="left"/>
        <w:rPr>
          <w:rFonts w:ascii="黑体" w:hAnsi="宋体" w:eastAsia="黑体" w:cs="宋体"/>
          <w:color w:val="auto"/>
          <w:kern w:val="0"/>
          <w:sz w:val="28"/>
          <w:szCs w:val="28"/>
        </w:rPr>
      </w:pPr>
    </w:p>
    <w:p>
      <w:pPr>
        <w:spacing w:line="590" w:lineRule="exact"/>
        <w:jc w:val="center"/>
        <w:outlineLvl w:val="0"/>
        <w:rPr>
          <w:rFonts w:ascii="黑体" w:hAnsi="黑体" w:eastAsia="黑体" w:cs="黑体"/>
          <w:color w:val="auto"/>
          <w:sz w:val="48"/>
          <w:szCs w:val="48"/>
        </w:rPr>
      </w:pPr>
    </w:p>
    <w:p>
      <w:pPr>
        <w:spacing w:line="590" w:lineRule="exact"/>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第四部分  名词解释</w:t>
      </w:r>
    </w:p>
    <w:p>
      <w:pPr>
        <w:spacing w:line="590" w:lineRule="exact"/>
        <w:jc w:val="center"/>
        <w:rPr>
          <w:rFonts w:ascii="黑体" w:hAnsi="黑体" w:eastAsia="黑体" w:cs="黑体"/>
          <w:color w:val="auto"/>
          <w:sz w:val="48"/>
          <w:szCs w:val="48"/>
        </w:rPr>
      </w:pPr>
    </w:p>
    <w:p>
      <w:pPr>
        <w:spacing w:line="590" w:lineRule="exact"/>
        <w:jc w:val="center"/>
        <w:outlineLvl w:val="0"/>
        <w:rPr>
          <w:color w:val="auto"/>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一、财政拨款收入：单位从同级政府财政单位取得的财政预算资金。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三、上级补助收入：事业单位从主管单位和上级单位取得的非财政补助收入。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6" o:spid="_x0000_s4097"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- 5 -</w:t>
                </w:r>
                <w:r>
                  <w:rPr>
                    <w:rFonts w:hint="eastAsia"/>
                    <w:sz w:val="18"/>
                  </w:rPr>
                  <w:fldChar w:fldCharType="end"/>
                </w:r>
              </w:p>
            </w:txbxContent>
          </v:textbox>
        </v:shape>
      </w:pict>
    </w:r>
    <w:r>
      <w:pict>
        <v:shape id="文本框 1027" o:spid="_x0000_s4098"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7" o:spid="_x0000_s4099" o:spt="202" type="#_x0000_t202"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lvl>
  </w:abstractNum>
  <w:abstractNum w:abstractNumId="1">
    <w:nsid w:val="0000000A"/>
    <w:multiLevelType w:val="singleLevel"/>
    <w:tmpl w:val="0000000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zMmNhMmI2OGM1NmNkZjBmOGIxOWRhMjk5NzcyYmUifQ=="/>
  </w:docVars>
  <w:rsids>
    <w:rsidRoot w:val="002C58DE"/>
    <w:rsid w:val="0002044B"/>
    <w:rsid w:val="002C58DE"/>
    <w:rsid w:val="0043031C"/>
    <w:rsid w:val="005B7A4B"/>
    <w:rsid w:val="00B3722D"/>
    <w:rsid w:val="0FB931B4"/>
    <w:rsid w:val="4AA51885"/>
    <w:rsid w:val="5E2E663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qFormat/>
    <w:uiPriority w:val="0"/>
    <w:rPr>
      <w:color w:val="800080"/>
      <w:u w:val="single"/>
    </w:rPr>
  </w:style>
  <w:style w:type="character" w:styleId="7">
    <w:name w:val="Hyperlink"/>
    <w:qFormat/>
    <w:uiPriority w:val="0"/>
    <w:rPr>
      <w:color w:val="0000FF"/>
      <w:u w:val="single"/>
    </w:rPr>
  </w:style>
  <w:style w:type="paragraph" w:customStyle="1" w:styleId="8">
    <w:name w:val="批注框文本 Char Char"/>
    <w:basedOn w:val="1"/>
    <w:link w:val="11"/>
    <w:qFormat/>
    <w:uiPriority w:val="0"/>
    <w:rPr>
      <w:sz w:val="18"/>
      <w:szCs w:val="18"/>
    </w:rPr>
  </w:style>
  <w:style w:type="character" w:customStyle="1" w:styleId="9">
    <w:name w:val="页脚 Char"/>
    <w:link w:val="2"/>
    <w:qFormat/>
    <w:uiPriority w:val="0"/>
    <w:rPr>
      <w:kern w:val="2"/>
      <w:sz w:val="18"/>
      <w:szCs w:val="18"/>
    </w:rPr>
  </w:style>
  <w:style w:type="character" w:customStyle="1" w:styleId="10">
    <w:name w:val="页眉 Char"/>
    <w:link w:val="3"/>
    <w:qFormat/>
    <w:uiPriority w:val="0"/>
    <w:rPr>
      <w:kern w:val="2"/>
      <w:sz w:val="18"/>
      <w:szCs w:val="18"/>
    </w:rPr>
  </w:style>
  <w:style w:type="character" w:customStyle="1" w:styleId="11">
    <w:name w:val="批注框文本 Char Char Char Char"/>
    <w:link w:val="8"/>
    <w:semiHidden/>
    <w:qFormat/>
    <w:uiPriority w:val="0"/>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码1"/>
    <w:basedOn w:val="5"/>
    <w:qFormat/>
    <w:uiPriority w:val="0"/>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9076</Words>
  <Characters>11338</Characters>
  <Lines>96</Lines>
  <Paragraphs>27</Paragraphs>
  <TotalTime>22</TotalTime>
  <ScaleCrop>false</ScaleCrop>
  <LinksUpToDate>false</LinksUpToDate>
  <CharactersWithSpaces>11600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2022-09-08T19:56:00Z</cp:lastPrinted>
  <dcterms:modified xsi:type="dcterms:W3CDTF">2023-09-17T11:11:18Z</dcterms:modified>
  <dc:title>2021年度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67A398B41A5B459DAAD4B86833B9760C</vt:lpwstr>
  </property>
</Properties>
</file>