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许昌市公路服务</w:t>
      </w:r>
      <w:r>
        <w:rPr>
          <w:rFonts w:hint="eastAsia" w:ascii="黑体" w:hAnsi="黑体" w:eastAsia="黑体" w:cs="黑体"/>
          <w:color w:val="auto"/>
          <w:sz w:val="52"/>
          <w:szCs w:val="52"/>
          <w:highlight w:val="none"/>
          <w:lang w:eastAsia="zh-CN"/>
        </w:rPr>
        <w:t>中心单位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许昌市公路服务</w:t>
      </w:r>
      <w:r>
        <w:rPr>
          <w:rFonts w:hint="eastAsia" w:ascii="黑体" w:hAnsi="黑体" w:eastAsia="黑体" w:cs="黑体"/>
          <w:color w:val="auto"/>
          <w:sz w:val="32"/>
          <w:szCs w:val="32"/>
          <w:highlight w:val="none"/>
          <w:lang w:eastAsia="zh-CN"/>
        </w:rPr>
        <w:t>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2"/>
        </w:numPr>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 xml:space="preserve"> </w:t>
      </w:r>
      <w:r>
        <w:rPr>
          <w:rFonts w:hint="eastAsia" w:ascii="黑体" w:hAnsi="黑体" w:eastAsia="黑体" w:cs="黑体"/>
          <w:color w:val="auto"/>
          <w:sz w:val="48"/>
          <w:szCs w:val="48"/>
          <w:highlight w:val="none"/>
        </w:rPr>
        <w:t>许昌市公路服务</w:t>
      </w:r>
      <w:r>
        <w:rPr>
          <w:rFonts w:hint="eastAsia" w:ascii="黑体" w:hAnsi="黑体" w:eastAsia="黑体" w:cs="黑体"/>
          <w:color w:val="auto"/>
          <w:sz w:val="48"/>
          <w:szCs w:val="48"/>
          <w:highlight w:val="none"/>
          <w:lang w:eastAsia="zh-CN"/>
        </w:rPr>
        <w:t>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3" w:firstLineChars="200"/>
        <w:jc w:val="left"/>
        <w:outlineLvl w:val="1"/>
        <w:rPr>
          <w:rFonts w:hint="eastAsia" w:ascii="仿宋_GB2312" w:hAnsi="宋体" w:eastAsia="仿宋_GB2312" w:cs="黑体"/>
          <w:color w:val="auto"/>
          <w:kern w:val="0"/>
          <w:sz w:val="32"/>
          <w:szCs w:val="32"/>
          <w:highlight w:val="none"/>
        </w:rPr>
      </w:pPr>
      <w:r>
        <w:rPr>
          <w:rFonts w:hint="eastAsia" w:ascii="仿宋_GB2312" w:hAnsi="宋体" w:eastAsia="仿宋_GB2312" w:cs="楷体_GB2312"/>
          <w:b/>
          <w:bCs/>
          <w:color w:val="auto"/>
          <w:sz w:val="32"/>
          <w:szCs w:val="32"/>
          <w:highlight w:val="none"/>
        </w:rPr>
        <w:t>（一）</w:t>
      </w:r>
      <w:r>
        <w:rPr>
          <w:rFonts w:hint="eastAsia" w:ascii="仿宋_GB2312" w:hAnsi="宋体" w:eastAsia="仿宋_GB2312" w:cs="楷体_GB2312"/>
          <w:color w:val="auto"/>
          <w:sz w:val="32"/>
          <w:szCs w:val="32"/>
          <w:highlight w:val="none"/>
        </w:rPr>
        <w:t>依法保护路产，负责对公路用地、建筑控制区、公路安全保护区、集镇规划控制区、服务区等进行巡查、制止侵害路产路权行为。</w:t>
      </w:r>
    </w:p>
    <w:p>
      <w:pPr>
        <w:widowControl/>
        <w:ind w:firstLine="643" w:firstLineChars="200"/>
        <w:jc w:val="left"/>
        <w:outlineLvl w:val="1"/>
        <w:rPr>
          <w:rFonts w:hint="eastAsia" w:ascii="仿宋_GB2312" w:hAnsi="宋体" w:eastAsia="仿宋_GB2312" w:cs="黑体"/>
          <w:color w:val="auto"/>
          <w:kern w:val="0"/>
          <w:sz w:val="32"/>
          <w:szCs w:val="32"/>
          <w:highlight w:val="none"/>
        </w:rPr>
      </w:pPr>
      <w:r>
        <w:rPr>
          <w:rFonts w:hint="eastAsia" w:ascii="仿宋_GB2312" w:hAnsi="宋体" w:eastAsia="仿宋_GB2312" w:cs="楷体_GB2312"/>
          <w:b/>
          <w:bCs/>
          <w:color w:val="auto"/>
          <w:sz w:val="32"/>
          <w:szCs w:val="32"/>
          <w:highlight w:val="none"/>
        </w:rPr>
        <w:t>（二）</w:t>
      </w:r>
      <w:r>
        <w:rPr>
          <w:rFonts w:hint="eastAsia" w:ascii="仿宋_GB2312" w:hAnsi="宋体" w:eastAsia="仿宋_GB2312" w:cs="楷体_GB2312"/>
          <w:color w:val="auto"/>
          <w:sz w:val="32"/>
          <w:szCs w:val="32"/>
          <w:highlight w:val="none"/>
        </w:rPr>
        <w:t>负责损坏公路、桥梁、隧道及其附属设施的赔（补）偿案件，受理公路行政许可证和行政确认事项，参与公路养护和大中修工程保通工作。</w:t>
      </w:r>
    </w:p>
    <w:p>
      <w:pPr>
        <w:adjustRightInd w:val="0"/>
        <w:snapToGrid w:val="0"/>
        <w:spacing w:line="620" w:lineRule="exact"/>
        <w:ind w:firstLine="472" w:firstLineChars="147"/>
        <w:rPr>
          <w:rFonts w:hint="eastAsia" w:ascii="仿宋_GB2312" w:hAnsi="宋体" w:eastAsia="仿宋_GB2312" w:cs="楷体_GB2312"/>
          <w:color w:val="auto"/>
          <w:sz w:val="32"/>
          <w:szCs w:val="32"/>
          <w:highlight w:val="none"/>
        </w:rPr>
      </w:pPr>
      <w:r>
        <w:rPr>
          <w:rFonts w:hint="eastAsia" w:ascii="仿宋_GB2312" w:hAnsi="宋体" w:eastAsia="仿宋_GB2312" w:cs="楷体_GB2312"/>
          <w:b/>
          <w:bCs/>
          <w:color w:val="auto"/>
          <w:sz w:val="32"/>
          <w:szCs w:val="32"/>
          <w:highlight w:val="none"/>
        </w:rPr>
        <w:t>（三）</w:t>
      </w:r>
      <w:r>
        <w:rPr>
          <w:rFonts w:hint="eastAsia" w:ascii="仿宋_GB2312" w:hAnsi="宋体" w:eastAsia="仿宋_GB2312" w:cs="楷体_GB2312"/>
          <w:bCs/>
          <w:color w:val="auto"/>
          <w:sz w:val="32"/>
          <w:szCs w:val="32"/>
          <w:highlight w:val="none"/>
        </w:rPr>
        <w:t>负责外环周边区域的大气污染防治巡查、督导等工作。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adjustRightInd w:val="0"/>
        <w:snapToGrid w:val="0"/>
        <w:spacing w:line="620" w:lineRule="exact"/>
        <w:ind w:firstLine="640" w:firstLineChars="200"/>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许昌市公路服务中心内设机构6个，包括：办公室、财务室、人事室、路政室、党务室、工会。</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宋体" w:eastAsia="仿宋_GB2312" w:cs="仿宋_GB2312"/>
          <w:color w:val="auto"/>
          <w:sz w:val="32"/>
          <w:szCs w:val="32"/>
          <w:highlight w:val="none"/>
        </w:rPr>
        <w:t>许昌市公路服务中心</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2021年度</w:t>
      </w:r>
      <w:r>
        <w:rPr>
          <w:rFonts w:hint="eastAsia" w:ascii="仿宋_GB2312" w:hAnsi="仿宋_GB2312" w:eastAsia="仿宋_GB2312" w:cs="仿宋_GB2312"/>
          <w:color w:val="auto"/>
          <w:kern w:val="0"/>
          <w:sz w:val="32"/>
          <w:szCs w:val="32"/>
          <w:highlight w:val="none"/>
        </w:rPr>
        <w:t>决算编制范围的单位共</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宋体" w:eastAsia="仿宋_GB2312" w:cs="仿宋_GB2312"/>
          <w:color w:val="auto"/>
          <w:sz w:val="32"/>
          <w:szCs w:val="32"/>
          <w:highlight w:val="none"/>
        </w:rPr>
        <w:t>许昌市公路服务中心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4"/>
        <w:gridCol w:w="835"/>
        <w:gridCol w:w="1115"/>
        <w:gridCol w:w="4475"/>
        <w:gridCol w:w="83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83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1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47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3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05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：许昌市公路服务中心</w:t>
            </w:r>
          </w:p>
        </w:tc>
        <w:tc>
          <w:tcPr>
            <w:tcW w:w="83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1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47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3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05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7366"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169.47</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169.47</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0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3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178.90</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6"/>
        <w:gridCol w:w="222"/>
        <w:gridCol w:w="222"/>
        <w:gridCol w:w="3956"/>
        <w:gridCol w:w="1034"/>
        <w:gridCol w:w="1239"/>
        <w:gridCol w:w="816"/>
        <w:gridCol w:w="816"/>
        <w:gridCol w:w="816"/>
        <w:gridCol w:w="820"/>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3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3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2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：许昌市公路服务中心</w:t>
            </w: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3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3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2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0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23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8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6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0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6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169.47</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169.47</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公路和运输安全</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147.26</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147.26</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公路运输管理</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0"/>
        <w:gridCol w:w="222"/>
        <w:gridCol w:w="226"/>
        <w:gridCol w:w="3980"/>
        <w:gridCol w:w="1290"/>
        <w:gridCol w:w="1018"/>
        <w:gridCol w:w="845"/>
        <w:gridCol w:w="1117"/>
        <w:gridCol w:w="845"/>
        <w:gridCol w:w="2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30"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98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9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1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1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00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30"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：许昌市公路服务中心</w:t>
            </w: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98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9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1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1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00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5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0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8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1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8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20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8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5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0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5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178.90</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178.90</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2140110</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公路和运输安全</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150.75</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150.75</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2140112</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公路运输管理</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576" w:right="1440" w:bottom="1576"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7"/>
        <w:gridCol w:w="507"/>
        <w:gridCol w:w="1298"/>
        <w:gridCol w:w="3640"/>
        <w:gridCol w:w="507"/>
        <w:gridCol w:w="887"/>
        <w:gridCol w:w="1296"/>
        <w:gridCol w:w="1072"/>
        <w:gridCol w:w="1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17"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50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9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64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50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8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9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7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7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17"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：许昌市公路服务中心</w:t>
            </w:r>
          </w:p>
        </w:tc>
        <w:tc>
          <w:tcPr>
            <w:tcW w:w="50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9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64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50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8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9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7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7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15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6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88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0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7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0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0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169.47</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169.47</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178.90</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178.90</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36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07"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178.90</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178.90</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178.90</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83"/>
        <w:gridCol w:w="240"/>
        <w:gridCol w:w="240"/>
        <w:gridCol w:w="4584"/>
        <w:gridCol w:w="2414"/>
        <w:gridCol w:w="1548"/>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83"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4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4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58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41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4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5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8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：许昌市公路服务中心</w:t>
            </w:r>
          </w:p>
        </w:tc>
        <w:tc>
          <w:tcPr>
            <w:tcW w:w="24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4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58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41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4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5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4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652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58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4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5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5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06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5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5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4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5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4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178.90</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178.90</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165.03</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2140110</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公路和运输安全</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150.75</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150.75</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2140112</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公路运输管理</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633" w:right="1440" w:bottom="1633"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2957"/>
        <w:gridCol w:w="1069"/>
        <w:gridCol w:w="924"/>
        <w:gridCol w:w="2572"/>
        <w:gridCol w:w="1050"/>
        <w:gridCol w:w="793"/>
        <w:gridCol w:w="3214"/>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7"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95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6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2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57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9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02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44" w:type="dxa"/>
            <w:gridSpan w:val="2"/>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：许昌市公路服务中心</w:t>
            </w:r>
          </w:p>
        </w:tc>
        <w:tc>
          <w:tcPr>
            <w:tcW w:w="106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2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57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9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02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361"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9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5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2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169.17</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9.26</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24.36</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4.55</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56.50</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16.95</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0.05</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33.75</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5.59</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0.45</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17.99</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1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0.45</w:t>
            </w:r>
          </w:p>
        </w:tc>
        <w:tc>
          <w:tcPr>
            <w:tcW w:w="7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1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1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4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169.17</w:t>
            </w:r>
          </w:p>
        </w:tc>
        <w:tc>
          <w:tcPr>
            <w:tcW w:w="855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1088"/>
        <w:gridCol w:w="1033"/>
        <w:gridCol w:w="795"/>
        <w:gridCol w:w="1041"/>
        <w:gridCol w:w="812"/>
        <w:gridCol w:w="1033"/>
        <w:gridCol w:w="1089"/>
        <w:gridCol w:w="1033"/>
        <w:gridCol w:w="795"/>
        <w:gridCol w:w="1041"/>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3"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3"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108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3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9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1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3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8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3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9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2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：许昌市公路服务中心</w:t>
            </w:r>
          </w:p>
        </w:tc>
        <w:tc>
          <w:tcPr>
            <w:tcW w:w="108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3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9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1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3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8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3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9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2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8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611"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286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8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0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286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6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61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8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6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7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8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1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7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16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9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9"/>
        <w:gridCol w:w="281"/>
        <w:gridCol w:w="286"/>
        <w:gridCol w:w="1400"/>
        <w:gridCol w:w="1349"/>
        <w:gridCol w:w="1349"/>
        <w:gridCol w:w="1349"/>
        <w:gridCol w:w="1349"/>
        <w:gridCol w:w="135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39"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8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8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0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1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39"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：许昌市公路服务中心</w:t>
            </w:r>
          </w:p>
        </w:tc>
        <w:tc>
          <w:tcPr>
            <w:tcW w:w="28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8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0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1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0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3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05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1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40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3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0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3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0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590" w:lineRule="exact"/>
        <w:ind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178.90</w:t>
      </w:r>
      <w:r>
        <w:rPr>
          <w:rFonts w:hint="eastAsia" w:ascii="仿宋_GB2312" w:hAnsi="仿宋_GB2312" w:eastAsia="仿宋_GB2312" w:cs="仿宋_GB2312"/>
          <w:color w:val="auto"/>
          <w:sz w:val="32"/>
          <w:szCs w:val="32"/>
          <w:highlight w:val="none"/>
        </w:rPr>
        <w:t>万元。与上年度相比，收、支总计各</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28.92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19.28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2021年度追加单位改革职业年金、平时考核奖等资金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169.47</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169.47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178.90</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178.90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178.90</w:t>
      </w:r>
      <w:r>
        <w:rPr>
          <w:rFonts w:hint="eastAsia" w:ascii="仿宋_GB2312" w:hAnsi="仿宋_GB2312" w:eastAsia="仿宋_GB2312" w:cs="仿宋_GB2312"/>
          <w:color w:val="auto"/>
          <w:sz w:val="32"/>
          <w:szCs w:val="32"/>
          <w:highlight w:val="none"/>
        </w:rPr>
        <w:t>万元。与上年度相比，财政拨款收、支总计各</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28.92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19.28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2021年度追加单位改革职业年金、平时考核奖等资金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178.90</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28.92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19.28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2021年度追加单位改革职业年金、平时考核奖等资金。</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178.90</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0.71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社会保障和就业（类）支出9.08万元，占5.07%；卫生健康（类）支出4.07万元，占2.28%；交通运输（类）支出165.03万元，占92.25%。</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138.82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178.90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128.87</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年初预算为0.71万元，支出决算为0.71万元，完成年初预算的100.00%。决算数与年初预算数不存在差异。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年初预算为9.53万元，支出决算为9.08万元，完成年初预算的95.27%。决算数与年初预算数存在差异的主要原因是使用以往年度结转资金。</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年初预算为4.28万元，支出决算为4.07万元，完成年初预算的95.09%。决算数与年初预算数存在差异的主要原因是使用以往年度结转资金。</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4．交通运输支出（类）公路水路运输（款）行政运行（项）。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年初预算为0.00万元，支出决算为1.80万元。决算数与年初预算数存在差异的主要原因是追加平时考核奖。</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5．交通运输支出（类）公路水路运输（款）一般行政管理事务（项）。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年初预算为0.00万元，支出决算为0.78万元。决算数与年初预算数存在差异的主要原因是本年度调整拨款科目。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6．交通运输支出（类）公路水路运输（款）公路和运输安全（项）。</w:t>
      </w:r>
      <w:r>
        <w:rPr>
          <w:rFonts w:hint="eastAsia" w:ascii="仿宋_GB2312" w:hAnsi="仿宋_GB2312" w:eastAsia="仿宋_GB2312" w:cs="仿宋_GB2312"/>
          <w:color w:val="auto"/>
          <w:sz w:val="32"/>
          <w:szCs w:val="32"/>
          <w:highlight w:val="none"/>
          <w:lang w:val="en-US" w:eastAsia="zh-CN"/>
        </w:rPr>
        <w:t>年初预算为118.44万元，支出决算为150.75万元，完成年初预算的127.28%。决算数与年初预算数存在差异的主要原因一是使用以往年度结转资金，二是追加单位改革职业年金。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7．交通运输支出（类）公路水路运输（款）公路运输管理（项）。</w:t>
      </w:r>
      <w:r>
        <w:rPr>
          <w:rFonts w:hint="eastAsia" w:ascii="仿宋_GB2312" w:hAnsi="仿宋_GB2312" w:eastAsia="仿宋_GB2312" w:cs="仿宋_GB2312"/>
          <w:color w:val="auto"/>
          <w:sz w:val="32"/>
          <w:szCs w:val="32"/>
          <w:highlight w:val="none"/>
          <w:lang w:val="en-US" w:eastAsia="zh-CN"/>
        </w:rPr>
        <w:t>年初预算为5.86万元，支出决算为7.38万元，完成年初预算的125.94%。决算数与年初预算数存在差异的主要原因是使用以往年度结转资金。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黑体" w:hAnsi="黑体" w:eastAsia="黑体" w:cs="黑体"/>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8．交通运输支出（类）公路水路运输（款）其他公路水路运输支出（项）。</w:t>
      </w:r>
      <w:r>
        <w:rPr>
          <w:rFonts w:hint="eastAsia" w:ascii="仿宋_GB2312" w:hAnsi="仿宋_GB2312" w:eastAsia="仿宋_GB2312" w:cs="仿宋_GB2312"/>
          <w:color w:val="auto"/>
          <w:sz w:val="32"/>
          <w:szCs w:val="32"/>
          <w:highlight w:val="none"/>
          <w:lang w:val="en-US" w:eastAsia="zh-CN"/>
        </w:rPr>
        <w:t>年初预算为0.00万元，支出决算为4.33万元。决算数与年初预算数存在差异的主要原因是本年度收到拨入未休假工资。</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178.90</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169.17</w:t>
      </w:r>
      <w:r>
        <w:rPr>
          <w:rFonts w:hint="eastAsia" w:ascii="仿宋_GB2312" w:hAnsi="仿宋_GB2312" w:eastAsia="仿宋_GB2312" w:cs="仿宋_GB2312"/>
          <w:color w:val="auto"/>
          <w:sz w:val="32"/>
          <w:szCs w:val="32"/>
          <w:highlight w:val="none"/>
        </w:rPr>
        <w:t>万元，主要包括：基本工资、津贴补贴、绩效工资、机关事业单位基本养老保险缴费、职业年金缴费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9.73</w:t>
      </w:r>
      <w:r>
        <w:rPr>
          <w:rFonts w:hint="eastAsia" w:ascii="仿宋_GB2312" w:hAnsi="仿宋_GB2312" w:eastAsia="仿宋_GB2312" w:cs="仿宋_GB2312"/>
          <w:color w:val="auto"/>
          <w:sz w:val="32"/>
          <w:szCs w:val="32"/>
          <w:highlight w:val="none"/>
        </w:rPr>
        <w:t>万元，主要包括：办公费、</w:t>
      </w:r>
      <w:r>
        <w:rPr>
          <w:rFonts w:hint="eastAsia" w:ascii="仿宋_GB2312" w:hAnsi="仿宋_GB2312" w:eastAsia="仿宋_GB2312" w:cs="仿宋_GB2312"/>
          <w:color w:val="auto"/>
          <w:sz w:val="32"/>
          <w:szCs w:val="32"/>
          <w:highlight w:val="none"/>
          <w:lang w:eastAsia="zh-CN"/>
        </w:rPr>
        <w:t>水</w:t>
      </w:r>
      <w:r>
        <w:rPr>
          <w:rFonts w:hint="eastAsia" w:ascii="仿宋_GB2312" w:hAnsi="仿宋_GB2312" w:eastAsia="仿宋_GB2312" w:cs="仿宋_GB2312"/>
          <w:color w:val="auto"/>
          <w:sz w:val="32"/>
          <w:szCs w:val="32"/>
          <w:highlight w:val="none"/>
        </w:rPr>
        <w:t>费、工会经费、福利费、公务用车运行维护费</w:t>
      </w:r>
      <w:r>
        <w:rPr>
          <w:rFonts w:hint="eastAsia" w:ascii="仿宋_GB2312" w:hAnsi="仿宋_GB2312" w:eastAsia="仿宋_GB2312" w:cs="仿宋_GB2312"/>
          <w:color w:val="auto"/>
          <w:sz w:val="32"/>
          <w:szCs w:val="32"/>
          <w:highlight w:val="none"/>
          <w:lang w:eastAsia="zh-CN"/>
        </w:rPr>
        <w:t>、税金及附加费用、办公设备购置。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2.50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96.00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w:t>
      </w:r>
      <w:r>
        <w:rPr>
          <w:rFonts w:hint="eastAsia" w:ascii="仿宋_GB2312" w:hAnsi="仿宋_GB2312" w:eastAsia="仿宋_GB2312" w:cs="仿宋_GB2312"/>
          <w:color w:val="auto"/>
          <w:sz w:val="32"/>
          <w:szCs w:val="32"/>
          <w:highlight w:val="none"/>
          <w:lang w:eastAsia="zh-CN"/>
        </w:rPr>
        <w:t>的主要原因是严格控制经费支出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2.40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96.00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numPr>
          <w:ilvl w:val="0"/>
          <w:numId w:val="3"/>
        </w:numPr>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2021年度因公出国（境）费</w:t>
      </w:r>
      <w:r>
        <w:rPr>
          <w:rFonts w:hint="eastAsia" w:ascii="仿宋_GB2312" w:hAnsi="仿宋_GB2312" w:eastAsia="仿宋_GB2312" w:cs="仿宋_GB2312"/>
          <w:color w:val="auto"/>
          <w:sz w:val="32"/>
          <w:szCs w:val="32"/>
          <w:highlight w:val="none"/>
          <w:lang w:val="en-US" w:eastAsia="zh-CN"/>
        </w:rPr>
        <w:t>决算数与预算数不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val="en-US" w:eastAsia="zh-CN"/>
        </w:rPr>
        <w:t>。因公出国（境）团组数0个，因公出国（境）人次累计0人次。</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2.50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96.00</w:t>
      </w:r>
      <w:r>
        <w:rPr>
          <w:rFonts w:hint="eastAsia" w:ascii="仿宋_GB2312" w:hAnsi="仿宋_GB2312" w:eastAsia="仿宋_GB2312" w:cs="仿宋_GB2312"/>
          <w:color w:val="auto"/>
          <w:sz w:val="32"/>
          <w:szCs w:val="32"/>
          <w:highlight w:val="none"/>
        </w:rPr>
        <w:t>%。决算数与预算数存在差异</w:t>
      </w:r>
      <w:r>
        <w:rPr>
          <w:rFonts w:hint="eastAsia" w:ascii="仿宋_GB2312" w:hAnsi="仿宋_GB2312" w:eastAsia="仿宋_GB2312" w:cs="仿宋_GB2312"/>
          <w:color w:val="auto"/>
          <w:sz w:val="32"/>
          <w:szCs w:val="32"/>
          <w:highlight w:val="none"/>
          <w:lang w:eastAsia="zh-CN"/>
        </w:rPr>
        <w:t>的主要原因是严格控制经费支出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val="0"/>
          <w:bCs w:val="0"/>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2.40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主要用于公务车辆的油修及保险费用。2021年期末，单位开支财政拨款的公务用车保有量为2辆。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lang w:val="en-US" w:eastAsia="zh-CN"/>
        </w:rPr>
        <w:t>预算为0.00万元，支出决算为0.00万元。2021年公务接待费决算数与预算数不存在差异。其中：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val="0"/>
          <w:bCs w:val="0"/>
          <w:color w:val="auto"/>
          <w:sz w:val="32"/>
          <w:szCs w:val="32"/>
          <w:highlight w:val="none"/>
          <w:lang w:val="en-US" w:eastAsia="zh-CN"/>
        </w:rPr>
        <w:t>0.00</w:t>
      </w:r>
      <w:r>
        <w:rPr>
          <w:rFonts w:hint="eastAsia" w:ascii="仿宋_GB2312" w:hAnsi="仿宋_GB2312" w:eastAsia="仿宋_GB2312" w:cs="仿宋_GB2312"/>
          <w:color w:val="auto"/>
          <w:sz w:val="32"/>
          <w:szCs w:val="32"/>
          <w:highlight w:val="none"/>
          <w:lang w:val="en-US" w:eastAsia="zh-CN"/>
        </w:rPr>
        <w:t>万元。2021年共接待国（境）外来访团组0个、来访外宾0人次（不包括陪同人员）。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不存在项目年末结转和结余资金数额较大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情况说明：我单位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178.90万元，其中：基本支出178.90万元；支出项目0个，支出金额0.00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lang w:val="en-US" w:eastAsia="zh-CN"/>
        </w:rPr>
        <w:t>单位本着清晰明确可量化、可实现的原则，切实结合我单位工作实际，使单位整体绩效评价指标具有较强的针对性，充分体现出我单位的工作的性质、工作内容和特点。根据绩效评价结果来看，绩效指标设定较为科学、合理，体现了针对性和可实现性。总体评价结果等次为“优”。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531" w:bottom="1440" w:left="1587" w:header="850" w:footer="992" w:gutter="0"/>
          <w:pgNumType w:fmt="numberInDash"/>
          <w:cols w:space="720" w:num="1"/>
          <w:docGrid w:type="lines" w:linePitch="317"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B390D"/>
    <w:multiLevelType w:val="singleLevel"/>
    <w:tmpl w:val="83EB390D"/>
    <w:lvl w:ilvl="0" w:tentative="0">
      <w:start w:val="1"/>
      <w:numFmt w:val="decimal"/>
      <w:suff w:val="nothing"/>
      <w:lvlText w:val="%1．"/>
      <w:lvlJc w:val="left"/>
    </w:lvl>
  </w:abstractNum>
  <w:abstractNum w:abstractNumId="1">
    <w:nsid w:val="D804E4CC"/>
    <w:multiLevelType w:val="singleLevel"/>
    <w:tmpl w:val="D804E4CC"/>
    <w:lvl w:ilvl="0" w:tentative="0">
      <w:start w:val="1"/>
      <w:numFmt w:val="chineseCounting"/>
      <w:suff w:val="space"/>
      <w:lvlText w:val="第%1部分"/>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3901"/>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942DEF"/>
    <w:rsid w:val="051F5763"/>
    <w:rsid w:val="05286D1D"/>
    <w:rsid w:val="053D4C0D"/>
    <w:rsid w:val="0557532E"/>
    <w:rsid w:val="06C47634"/>
    <w:rsid w:val="0799329C"/>
    <w:rsid w:val="07DB478B"/>
    <w:rsid w:val="08143ED1"/>
    <w:rsid w:val="08397436"/>
    <w:rsid w:val="086F16A7"/>
    <w:rsid w:val="09D92B0A"/>
    <w:rsid w:val="09FC6C3A"/>
    <w:rsid w:val="0A0F7225"/>
    <w:rsid w:val="0A2B7D82"/>
    <w:rsid w:val="0A411361"/>
    <w:rsid w:val="0ADC40E9"/>
    <w:rsid w:val="0AE607F4"/>
    <w:rsid w:val="0B386127"/>
    <w:rsid w:val="0B451598"/>
    <w:rsid w:val="0B755889"/>
    <w:rsid w:val="0BEC73F4"/>
    <w:rsid w:val="0C392698"/>
    <w:rsid w:val="0C565D56"/>
    <w:rsid w:val="0E257951"/>
    <w:rsid w:val="0E4D5CB6"/>
    <w:rsid w:val="0EE17A34"/>
    <w:rsid w:val="0F4E618A"/>
    <w:rsid w:val="0FDA0607"/>
    <w:rsid w:val="10BD36F6"/>
    <w:rsid w:val="115B363F"/>
    <w:rsid w:val="11BF0649"/>
    <w:rsid w:val="123E3E08"/>
    <w:rsid w:val="125971C6"/>
    <w:rsid w:val="133212F4"/>
    <w:rsid w:val="135A4DB1"/>
    <w:rsid w:val="13D22E22"/>
    <w:rsid w:val="15830A80"/>
    <w:rsid w:val="161C2DFF"/>
    <w:rsid w:val="16373578"/>
    <w:rsid w:val="16D3336B"/>
    <w:rsid w:val="16D508D5"/>
    <w:rsid w:val="17200028"/>
    <w:rsid w:val="17255407"/>
    <w:rsid w:val="17806C36"/>
    <w:rsid w:val="17A74F62"/>
    <w:rsid w:val="17E73651"/>
    <w:rsid w:val="18A47774"/>
    <w:rsid w:val="1A3D3083"/>
    <w:rsid w:val="1A8D28EB"/>
    <w:rsid w:val="1A9F2D78"/>
    <w:rsid w:val="1B2E6FD8"/>
    <w:rsid w:val="1B877D21"/>
    <w:rsid w:val="1C4319A9"/>
    <w:rsid w:val="1C472056"/>
    <w:rsid w:val="1E443B4B"/>
    <w:rsid w:val="1E994F4A"/>
    <w:rsid w:val="1EAF0224"/>
    <w:rsid w:val="1F2230A4"/>
    <w:rsid w:val="20210932"/>
    <w:rsid w:val="202448E0"/>
    <w:rsid w:val="20F614FE"/>
    <w:rsid w:val="21302EEA"/>
    <w:rsid w:val="21ED5A5C"/>
    <w:rsid w:val="22376FB5"/>
    <w:rsid w:val="23E152D7"/>
    <w:rsid w:val="23EE2489"/>
    <w:rsid w:val="254C2D14"/>
    <w:rsid w:val="255D43C8"/>
    <w:rsid w:val="26445D9F"/>
    <w:rsid w:val="26714EF8"/>
    <w:rsid w:val="26876BDD"/>
    <w:rsid w:val="2714632A"/>
    <w:rsid w:val="274E0699"/>
    <w:rsid w:val="27541E73"/>
    <w:rsid w:val="27B0539E"/>
    <w:rsid w:val="287C56BE"/>
    <w:rsid w:val="29365CF8"/>
    <w:rsid w:val="299469B3"/>
    <w:rsid w:val="29DB25DC"/>
    <w:rsid w:val="2A7D5D20"/>
    <w:rsid w:val="2A805789"/>
    <w:rsid w:val="2ADC0D75"/>
    <w:rsid w:val="2B4A0E52"/>
    <w:rsid w:val="2C975890"/>
    <w:rsid w:val="2D3A3104"/>
    <w:rsid w:val="2DEF21BB"/>
    <w:rsid w:val="2E3D229E"/>
    <w:rsid w:val="2E4A2F05"/>
    <w:rsid w:val="2ECC1061"/>
    <w:rsid w:val="2EF45E9D"/>
    <w:rsid w:val="2F662DFD"/>
    <w:rsid w:val="2FA476AD"/>
    <w:rsid w:val="303F7540"/>
    <w:rsid w:val="31DD00BF"/>
    <w:rsid w:val="328A18D7"/>
    <w:rsid w:val="3293174C"/>
    <w:rsid w:val="32BB38D4"/>
    <w:rsid w:val="32C9376D"/>
    <w:rsid w:val="33780472"/>
    <w:rsid w:val="33AF0905"/>
    <w:rsid w:val="34070227"/>
    <w:rsid w:val="34142430"/>
    <w:rsid w:val="355932F4"/>
    <w:rsid w:val="35611882"/>
    <w:rsid w:val="36746FC3"/>
    <w:rsid w:val="368763AE"/>
    <w:rsid w:val="36B67FED"/>
    <w:rsid w:val="37361DCD"/>
    <w:rsid w:val="38C31D1B"/>
    <w:rsid w:val="391F36F7"/>
    <w:rsid w:val="395D59E7"/>
    <w:rsid w:val="39A93932"/>
    <w:rsid w:val="3A915562"/>
    <w:rsid w:val="3B8D4765"/>
    <w:rsid w:val="3BDA1928"/>
    <w:rsid w:val="3C000DBA"/>
    <w:rsid w:val="3DC045D3"/>
    <w:rsid w:val="3E504FFB"/>
    <w:rsid w:val="3E615CD0"/>
    <w:rsid w:val="3E9C47F6"/>
    <w:rsid w:val="3F876A17"/>
    <w:rsid w:val="3F8B0112"/>
    <w:rsid w:val="3FAB3095"/>
    <w:rsid w:val="3FE45947"/>
    <w:rsid w:val="41242965"/>
    <w:rsid w:val="435671EA"/>
    <w:rsid w:val="440809E9"/>
    <w:rsid w:val="442407A6"/>
    <w:rsid w:val="44805EA1"/>
    <w:rsid w:val="45710696"/>
    <w:rsid w:val="46142B1B"/>
    <w:rsid w:val="47105A75"/>
    <w:rsid w:val="47723ABC"/>
    <w:rsid w:val="47E60DD0"/>
    <w:rsid w:val="48735039"/>
    <w:rsid w:val="48AD6DC4"/>
    <w:rsid w:val="492C684B"/>
    <w:rsid w:val="49500594"/>
    <w:rsid w:val="49BE03D5"/>
    <w:rsid w:val="49E7604E"/>
    <w:rsid w:val="4BC02F51"/>
    <w:rsid w:val="4BF67CDD"/>
    <w:rsid w:val="4D173441"/>
    <w:rsid w:val="4D5048A0"/>
    <w:rsid w:val="4D603DD6"/>
    <w:rsid w:val="4D8D01B1"/>
    <w:rsid w:val="4EBF010F"/>
    <w:rsid w:val="4F471EB0"/>
    <w:rsid w:val="50EC6EA8"/>
    <w:rsid w:val="51331326"/>
    <w:rsid w:val="51740A7F"/>
    <w:rsid w:val="51884F79"/>
    <w:rsid w:val="51A5541E"/>
    <w:rsid w:val="51C96242"/>
    <w:rsid w:val="53906AE1"/>
    <w:rsid w:val="54DD1B5E"/>
    <w:rsid w:val="54F46F60"/>
    <w:rsid w:val="557B1094"/>
    <w:rsid w:val="55A37BEA"/>
    <w:rsid w:val="56362CD2"/>
    <w:rsid w:val="5784687B"/>
    <w:rsid w:val="57846959"/>
    <w:rsid w:val="578E6A87"/>
    <w:rsid w:val="59BF3383"/>
    <w:rsid w:val="5A845B89"/>
    <w:rsid w:val="5AC2203A"/>
    <w:rsid w:val="5B2C1375"/>
    <w:rsid w:val="5CBB3334"/>
    <w:rsid w:val="5D115FAF"/>
    <w:rsid w:val="5FC84658"/>
    <w:rsid w:val="618D137F"/>
    <w:rsid w:val="62811722"/>
    <w:rsid w:val="62E75A72"/>
    <w:rsid w:val="640051E9"/>
    <w:rsid w:val="64571880"/>
    <w:rsid w:val="649125B6"/>
    <w:rsid w:val="64D53610"/>
    <w:rsid w:val="652F4C1A"/>
    <w:rsid w:val="657D36E6"/>
    <w:rsid w:val="666D37F1"/>
    <w:rsid w:val="67087D8F"/>
    <w:rsid w:val="671F687E"/>
    <w:rsid w:val="67F415F8"/>
    <w:rsid w:val="682640D1"/>
    <w:rsid w:val="682E4F60"/>
    <w:rsid w:val="684B73E5"/>
    <w:rsid w:val="69073C41"/>
    <w:rsid w:val="6A047A2A"/>
    <w:rsid w:val="6AFC65B2"/>
    <w:rsid w:val="6E734ABB"/>
    <w:rsid w:val="6EFB7548"/>
    <w:rsid w:val="6F0773B9"/>
    <w:rsid w:val="6F3831C3"/>
    <w:rsid w:val="6F8B71C1"/>
    <w:rsid w:val="6F9F5640"/>
    <w:rsid w:val="6FF95E13"/>
    <w:rsid w:val="705E122F"/>
    <w:rsid w:val="70753482"/>
    <w:rsid w:val="707B522A"/>
    <w:rsid w:val="7085562C"/>
    <w:rsid w:val="72251052"/>
    <w:rsid w:val="73194D05"/>
    <w:rsid w:val="732A395A"/>
    <w:rsid w:val="73A83B0E"/>
    <w:rsid w:val="744D3EF9"/>
    <w:rsid w:val="74794411"/>
    <w:rsid w:val="74D42834"/>
    <w:rsid w:val="75867C40"/>
    <w:rsid w:val="75B10B26"/>
    <w:rsid w:val="76432199"/>
    <w:rsid w:val="76F44829"/>
    <w:rsid w:val="77A267C0"/>
    <w:rsid w:val="78882278"/>
    <w:rsid w:val="78B118A6"/>
    <w:rsid w:val="79135044"/>
    <w:rsid w:val="79815C5D"/>
    <w:rsid w:val="7A7D0F99"/>
    <w:rsid w:val="7C80044E"/>
    <w:rsid w:val="7E4A0E7C"/>
    <w:rsid w:val="7EFD449D"/>
    <w:rsid w:val="DEDFB9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8026</Words>
  <Characters>9742</Characters>
  <Lines>60</Lines>
  <Paragraphs>16</Paragraphs>
  <TotalTime>239</TotalTime>
  <ScaleCrop>false</ScaleCrop>
  <LinksUpToDate>false</LinksUpToDate>
  <CharactersWithSpaces>9965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2018-07-25T02:50:00Z</cp:lastPrinted>
  <dcterms:modified xsi:type="dcterms:W3CDTF">2023-09-17T11:06:31Z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43CADA1F99F04660AABC08093D15B2F2</vt:lpwstr>
  </property>
</Properties>
</file>