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bookmarkStart w:id="0" w:name="_GoBack"/>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52"/>
          <w:szCs w:val="52"/>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2021年度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许昌市公路养护中心</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许昌市公路养护中心概况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jc w:val="left"/>
        <w:rPr>
          <w:rFonts w:ascii="宋体" w:hAnsi="宋体" w:cs="宋体"/>
          <w:color w:val="auto"/>
          <w:sz w:val="32"/>
          <w:szCs w:val="32"/>
          <w:highlight w:val="none"/>
        </w:rPr>
      </w:pPr>
      <w:r>
        <w:rPr>
          <w:rFonts w:hint="eastAsia" w:ascii="宋体" w:hAnsi="宋体" w:cs="宋体"/>
          <w:color w:val="auto"/>
          <w:sz w:val="32"/>
          <w:szCs w:val="32"/>
          <w:highlight w:val="none"/>
        </w:rPr>
        <w:t xml:space="preserve">    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宋体" w:hAnsi="宋体" w:cs="宋体"/>
          <w:color w:val="auto"/>
          <w:sz w:val="32"/>
          <w:szCs w:val="32"/>
          <w:highlight w:val="none"/>
        </w:rPr>
      </w:pPr>
    </w:p>
    <w:p>
      <w:pPr>
        <w:jc w:val="left"/>
        <w:rPr>
          <w:rFonts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outlineLvl w:val="0"/>
        <w:rPr>
          <w:rFonts w:ascii="黑体" w:hAnsi="黑体" w:eastAsia="黑体" w:cs="黑体"/>
          <w:color w:val="auto"/>
          <w:sz w:val="48"/>
          <w:szCs w:val="48"/>
          <w:highlight w:val="none"/>
        </w:rPr>
      </w:pPr>
    </w:p>
    <w:p>
      <w:pPr>
        <w:widowControl/>
        <w:outlineLvl w:val="0"/>
        <w:rPr>
          <w:rFonts w:ascii="黑体" w:hAnsi="黑体" w:eastAsia="黑体" w:cs="黑体"/>
          <w:color w:val="auto"/>
          <w:sz w:val="48"/>
          <w:szCs w:val="48"/>
          <w:highlight w:val="none"/>
        </w:rPr>
      </w:pPr>
    </w:p>
    <w:p>
      <w:pPr>
        <w:widowControl/>
        <w:outlineLvl w:val="0"/>
        <w:rPr>
          <w:rFonts w:ascii="黑体" w:hAnsi="黑体" w:eastAsia="黑体" w:cs="黑体"/>
          <w:color w:val="auto"/>
          <w:sz w:val="48"/>
          <w:szCs w:val="48"/>
          <w:highlight w:val="none"/>
        </w:rPr>
      </w:pPr>
    </w:p>
    <w:p>
      <w:pPr>
        <w:widowControl/>
        <w:outlineLvl w:val="0"/>
        <w:rPr>
          <w:rFonts w:ascii="黑体" w:hAnsi="黑体" w:eastAsia="黑体" w:cs="黑体"/>
          <w:color w:val="auto"/>
          <w:sz w:val="48"/>
          <w:szCs w:val="48"/>
          <w:highlight w:val="none"/>
        </w:rPr>
      </w:pPr>
    </w:p>
    <w:p>
      <w:pPr>
        <w:widowControl/>
        <w:outlineLvl w:val="0"/>
        <w:rPr>
          <w:rFonts w:ascii="黑体" w:hAnsi="黑体" w:eastAsia="黑体" w:cs="黑体"/>
          <w:color w:val="auto"/>
          <w:sz w:val="48"/>
          <w:szCs w:val="48"/>
          <w:highlight w:val="none"/>
        </w:rPr>
      </w:pPr>
    </w:p>
    <w:p>
      <w:pPr>
        <w:widowControl/>
        <w:outlineLvl w:val="0"/>
        <w:rPr>
          <w:rFonts w:ascii="黑体" w:hAnsi="黑体" w:eastAsia="黑体" w:cs="黑体"/>
          <w:color w:val="auto"/>
          <w:sz w:val="48"/>
          <w:szCs w:val="48"/>
          <w:highlight w:val="none"/>
        </w:rPr>
      </w:pPr>
    </w:p>
    <w:p>
      <w:pPr>
        <w:widowControl/>
        <w:outlineLvl w:val="0"/>
        <w:rPr>
          <w:rFonts w:ascii="黑体" w:hAnsi="黑体" w:eastAsia="黑体" w:cs="黑体"/>
          <w:color w:val="auto"/>
          <w:sz w:val="48"/>
          <w:szCs w:val="48"/>
          <w:highlight w:val="none"/>
        </w:rPr>
      </w:pPr>
    </w:p>
    <w:p>
      <w:pPr>
        <w:widowControl/>
        <w:jc w:val="center"/>
        <w:outlineLvl w:val="0"/>
        <w:rPr>
          <w:rFonts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第一部分 许昌市公路养护中心概况</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仿宋" w:hAnsi="仿宋" w:eastAsia="仿宋" w:cs="仿宋"/>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公路养护中心是许昌市公路事业发展中心下属单位。基本职能：为公路畅通提供养护与路政保障。辖区内国及省干线公路养护与改建，公路养护质量监控与路况评定，公路灾害抢修与保通，公路绿化及公路扬尘污染防治，辖区内路产路权维护与公路巡查，公路工程项目建设管理与公路工程质量监控。</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许昌市公路养护中心内设科室12个，包括：行政办公室、党支部办公室、安全科、人劳科、财务科、设材科，路政大队、养护科、庞庄道班、机械队、路养西工区、路养东工区。</w:t>
      </w:r>
    </w:p>
    <w:p>
      <w:pPr>
        <w:widowControl/>
        <w:ind w:firstLine="640" w:firstLineChars="200"/>
        <w:jc w:val="left"/>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从决算单位构成看，许昌市公路养护中心决算包括：本级决算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widowControl/>
        <w:ind w:firstLine="640" w:firstLineChars="200"/>
        <w:jc w:val="left"/>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2021年度</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决算编制范围的单位共1个，具体是：</w:t>
      </w:r>
    </w:p>
    <w:p>
      <w:pPr>
        <w:widowControl/>
        <w:ind w:firstLine="640" w:firstLineChars="200"/>
        <w:jc w:val="left"/>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许昌市公路养护中心</w:t>
      </w:r>
    </w:p>
    <w:p>
      <w:pPr>
        <w:widowControl/>
        <w:spacing w:line="590" w:lineRule="exact"/>
        <w:ind w:firstLine="640" w:firstLineChars="200"/>
        <w:rPr>
          <w:rFonts w:ascii="仿宋_GB2312" w:hAnsi="仿宋_GB2312" w:eastAsia="仿宋_GB2312" w:cs="仿宋_GB2312"/>
          <w:color w:val="auto"/>
          <w:sz w:val="32"/>
          <w:szCs w:val="32"/>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10"/>
        <w:tblW w:w="14081" w:type="dxa"/>
        <w:tblInd w:w="93" w:type="dxa"/>
        <w:shd w:val="clear" w:color="auto" w:fill="FFFFFF" w:themeFill="background1"/>
        <w:tblLayout w:type="fixed"/>
        <w:tblCellMar>
          <w:top w:w="0" w:type="dxa"/>
          <w:left w:w="108" w:type="dxa"/>
          <w:bottom w:w="0" w:type="dxa"/>
          <w:right w:w="108" w:type="dxa"/>
        </w:tblCellMar>
      </w:tblPr>
      <w:tblGrid>
        <w:gridCol w:w="5143"/>
        <w:gridCol w:w="1192"/>
        <w:gridCol w:w="1268"/>
        <w:gridCol w:w="4221"/>
        <w:gridCol w:w="696"/>
        <w:gridCol w:w="1561"/>
      </w:tblGrid>
      <w:tr>
        <w:tblPrEx>
          <w:shd w:val="clear" w:color="auto" w:fill="FFFFFF" w:themeFill="background1"/>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shd w:val="clear" w:color="auto" w:fill="FFFFFF" w:themeFill="background1"/>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收入支出决算总表</w:t>
            </w:r>
          </w:p>
        </w:tc>
      </w:tr>
      <w:tr>
        <w:tblPrEx>
          <w:tblCellMar>
            <w:top w:w="0" w:type="dxa"/>
            <w:left w:w="108" w:type="dxa"/>
            <w:bottom w:w="0" w:type="dxa"/>
            <w:right w:w="108" w:type="dxa"/>
          </w:tblCellMar>
        </w:tblPrEx>
        <w:trPr>
          <w:trHeight w:val="182" w:hRule="atLeast"/>
        </w:trPr>
        <w:tc>
          <w:tcPr>
            <w:tcW w:w="5143"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192"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268"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4221"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696"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561" w:type="dxa"/>
            <w:tcBorders>
              <w:top w:val="nil"/>
              <w:left w:val="nil"/>
              <w:bottom w:val="nil"/>
              <w:right w:val="nil"/>
            </w:tcBorders>
            <w:shd w:val="clear" w:color="auto" w:fill="FFFFFF" w:themeFill="background1"/>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公开01表</w:t>
            </w:r>
          </w:p>
        </w:tc>
      </w:tr>
      <w:tr>
        <w:tblPrEx>
          <w:tblCellMar>
            <w:top w:w="0" w:type="dxa"/>
            <w:left w:w="108" w:type="dxa"/>
            <w:bottom w:w="0" w:type="dxa"/>
            <w:right w:w="108" w:type="dxa"/>
          </w:tblCellMar>
        </w:tblPrEx>
        <w:trPr>
          <w:trHeight w:val="90" w:hRule="atLeast"/>
        </w:trPr>
        <w:tc>
          <w:tcPr>
            <w:tcW w:w="5143" w:type="dxa"/>
            <w:tcBorders>
              <w:top w:val="nil"/>
              <w:left w:val="nil"/>
              <w:bottom w:val="nil"/>
              <w:right w:val="nil"/>
            </w:tcBorders>
            <w:shd w:val="clear" w:color="auto" w:fill="FFFFFF" w:themeFill="background1"/>
            <w:noWrap/>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：许昌市公路养护中心</w:t>
            </w:r>
          </w:p>
        </w:tc>
        <w:tc>
          <w:tcPr>
            <w:tcW w:w="1192"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268"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4221"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696"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561" w:type="dxa"/>
            <w:tcBorders>
              <w:top w:val="nil"/>
              <w:left w:val="nil"/>
              <w:bottom w:val="nil"/>
              <w:right w:val="nil"/>
            </w:tcBorders>
            <w:shd w:val="clear" w:color="auto" w:fill="FFFFFF" w:themeFill="background1"/>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308" w:hRule="atLeast"/>
        </w:trPr>
        <w:tc>
          <w:tcPr>
            <w:tcW w:w="760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收入</w:t>
            </w:r>
          </w:p>
        </w:tc>
        <w:tc>
          <w:tcPr>
            <w:tcW w:w="6478" w:type="dxa"/>
            <w:gridSpan w:val="3"/>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支出</w:t>
            </w:r>
          </w:p>
        </w:tc>
      </w:tr>
      <w:tr>
        <w:tblPrEx>
          <w:tblCellMar>
            <w:top w:w="0" w:type="dxa"/>
            <w:left w:w="108" w:type="dxa"/>
            <w:bottom w:w="0" w:type="dxa"/>
            <w:right w:w="108" w:type="dxa"/>
          </w:tblCellMar>
        </w:tblPrEx>
        <w:trPr>
          <w:trHeight w:val="241"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行次</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决算数</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w:t>
            </w:r>
            <w:r>
              <w:rPr>
                <w:rFonts w:hint="eastAsia" w:ascii="宋体" w:hAnsi="宋体" w:cs="宋体"/>
                <w:color w:val="auto"/>
                <w:kern w:val="0"/>
                <w:sz w:val="22"/>
                <w:highlight w:val="none"/>
                <w:lang w:val="en-US" w:eastAsia="zh-CN" w:bidi="ar"/>
              </w:rPr>
              <w:t xml:space="preserve">  </w:t>
            </w:r>
            <w:r>
              <w:rPr>
                <w:rFonts w:hint="eastAsia" w:ascii="宋体" w:hAnsi="宋体" w:cs="宋体"/>
                <w:color w:val="auto"/>
                <w:kern w:val="0"/>
                <w:sz w:val="22"/>
                <w:highlight w:val="none"/>
                <w:lang w:bidi="ar"/>
              </w:rPr>
              <w:t>目</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行次</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决算数</w:t>
            </w: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auto"/>
                <w:sz w:val="22"/>
                <w:highlight w:val="none"/>
              </w:rPr>
            </w:pP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w:t>
            </w:r>
            <w:r>
              <w:rPr>
                <w:rFonts w:hint="eastAsia" w:ascii="宋体" w:hAnsi="宋体" w:cs="宋体"/>
                <w:color w:val="auto"/>
                <w:kern w:val="0"/>
                <w:sz w:val="22"/>
                <w:highlight w:val="none"/>
                <w:lang w:val="en-US" w:eastAsia="zh-CN" w:bidi="ar"/>
              </w:rPr>
              <w:t xml:space="preserve">  </w:t>
            </w:r>
            <w:r>
              <w:rPr>
                <w:rFonts w:hint="eastAsia" w:ascii="宋体" w:hAnsi="宋体" w:cs="宋体"/>
                <w:color w:val="auto"/>
                <w:kern w:val="0"/>
                <w:sz w:val="22"/>
                <w:highlight w:val="none"/>
                <w:lang w:bidi="ar"/>
              </w:rPr>
              <w:t>次</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auto"/>
                <w:sz w:val="22"/>
                <w:highlight w:val="none"/>
              </w:rPr>
            </w:pP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一、一般公共预算财政拨款收入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268" w:type="dxa"/>
            <w:tcBorders>
              <w:top w:val="nil"/>
              <w:left w:val="nil"/>
              <w:bottom w:val="single" w:color="000000" w:sz="4" w:space="0"/>
              <w:right w:val="single" w:color="000000" w:sz="4" w:space="0"/>
            </w:tcBorders>
            <w:shd w:val="clear" w:color="auto" w:fill="FFFFFF" w:themeFill="background1"/>
            <w:noWrap/>
            <w:vAlign w:val="top"/>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lang w:val="en-US" w:eastAsia="zh-CN"/>
              </w:rPr>
              <w:t>1236.61</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一、一般公共服务支出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二、政府性基金预算财政拨款收入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default" w:ascii="宋体" w:hAnsi="宋体" w:eastAsia="宋体" w:cs="宋体"/>
                <w:color w:val="auto"/>
                <w:sz w:val="22"/>
                <w:highlight w:val="none"/>
                <w:lang w:val="en-US" w:eastAsia="zh-CN"/>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二、外交支出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三、国有资本经营预算财政拨款收入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三、国防支出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四、上级补助收入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四、公共安全支出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156"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五、事业收入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bidi="ar"/>
              </w:rPr>
              <w:t>5</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五、教育支出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六、经营收入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六、科学技术支出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七、附属单位上缴收入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七、文化旅游体育与传媒支出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八、其他收入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八、社会保障和就业支出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九、卫生健康支出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十、节能环保支出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十一、城乡社区支出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十二、农林水支出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十三、交通运输支出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1000.44</w:t>
            </w: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十四、资源勘探工业信息等支出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十五、商业服务业等支出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十六、金融支出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47</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十七、援助其他地区支出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48</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十八、自然资源海洋气象等支出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49</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十九、住房保障支出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50</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二十、粮油物资储备支出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51</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二十一、国有资本经营预算支出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52</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二十二、灾害防治及应急管理支出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53</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二十三、其他支出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ascii="宋体" w:hAnsi="宋体" w:cs="宋体"/>
                <w:b/>
                <w:bCs/>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二十四、债务还本支出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二十五、债务付息支出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56</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二十六、抗疫特别国债安排的支出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57</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本年收入合计</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1236.61</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本年支出合计</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58</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1481.15</w:t>
            </w: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使用非财政拨款结余</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结余分配</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年初结转和结余</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244.55</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年末结转和结余</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60</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lef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总计</w:t>
            </w:r>
          </w:p>
        </w:tc>
        <w:tc>
          <w:tcPr>
            <w:tcW w:w="1192" w:type="dxa"/>
            <w:tcBorders>
              <w:top w:val="nil"/>
              <w:left w:val="nil"/>
              <w:bottom w:val="single" w:color="000000" w:sz="8"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1481.15</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总计</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62</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1481.15</w:t>
            </w:r>
          </w:p>
        </w:tc>
      </w:tr>
      <w:tr>
        <w:tblPrEx>
          <w:tblCellMar>
            <w:top w:w="0" w:type="dxa"/>
            <w:left w:w="108" w:type="dxa"/>
            <w:bottom w:w="0" w:type="dxa"/>
            <w:right w:w="108" w:type="dxa"/>
          </w:tblCellMar>
        </w:tblPrEx>
        <w:trPr>
          <w:trHeight w:val="308" w:hRule="atLeast"/>
        </w:trPr>
        <w:tc>
          <w:tcPr>
            <w:tcW w:w="14081" w:type="dxa"/>
            <w:gridSpan w:val="6"/>
            <w:tcBorders>
              <w:top w:val="nil"/>
              <w:left w:val="nil"/>
              <w:bottom w:val="nil"/>
              <w:right w:val="nil"/>
            </w:tcBorders>
            <w:shd w:val="clear" w:color="auto" w:fill="FFFFFF" w:themeFill="background1"/>
            <w:noWrap/>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本年度的总收支和年末结转结余情况。本表金额转换为万元时，因四舍五入可能存在尾差。</w:t>
            </w:r>
          </w:p>
        </w:tc>
      </w:tr>
    </w:tbl>
    <w:p>
      <w:pP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br w:type="page"/>
      </w:r>
    </w:p>
    <w:tbl>
      <w:tblPr>
        <w:tblStyle w:val="10"/>
        <w:tblW w:w="14003" w:type="dxa"/>
        <w:tblInd w:w="93" w:type="dxa"/>
        <w:shd w:val="clear" w:color="auto" w:fill="FFFFFF" w:themeFill="background1"/>
        <w:tblLayout w:type="fixed"/>
        <w:tblCellMar>
          <w:top w:w="0" w:type="dxa"/>
          <w:left w:w="108" w:type="dxa"/>
          <w:bottom w:w="0" w:type="dxa"/>
          <w:right w:w="108" w:type="dxa"/>
        </w:tblCellMar>
      </w:tblPr>
      <w:tblGrid>
        <w:gridCol w:w="1490"/>
        <w:gridCol w:w="1125"/>
        <w:gridCol w:w="236"/>
        <w:gridCol w:w="240"/>
        <w:gridCol w:w="2325"/>
        <w:gridCol w:w="1693"/>
        <w:gridCol w:w="1712"/>
        <w:gridCol w:w="973"/>
        <w:gridCol w:w="759"/>
        <w:gridCol w:w="720"/>
        <w:gridCol w:w="1187"/>
        <w:gridCol w:w="292"/>
        <w:gridCol w:w="1251"/>
      </w:tblGrid>
      <w:tr>
        <w:tblPrEx>
          <w:shd w:val="clear" w:color="auto" w:fill="FFFFFF" w:themeFill="background1"/>
          <w:tblCellMar>
            <w:top w:w="0" w:type="dxa"/>
            <w:left w:w="108" w:type="dxa"/>
            <w:bottom w:w="0" w:type="dxa"/>
            <w:right w:w="108" w:type="dxa"/>
          </w:tblCellMar>
        </w:tblPrEx>
        <w:trPr>
          <w:trHeight w:val="443" w:hRule="atLeast"/>
        </w:trPr>
        <w:tc>
          <w:tcPr>
            <w:tcW w:w="14003" w:type="dxa"/>
            <w:gridSpan w:val="13"/>
            <w:tcBorders>
              <w:top w:val="nil"/>
              <w:left w:val="nil"/>
              <w:bottom w:val="nil"/>
              <w:right w:val="nil"/>
            </w:tcBorders>
            <w:shd w:val="clear" w:color="auto" w:fill="FFFFFF" w:themeFill="background1"/>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收入决算表</w:t>
            </w:r>
          </w:p>
        </w:tc>
      </w:tr>
      <w:tr>
        <w:tblPrEx>
          <w:tblCellMar>
            <w:top w:w="0" w:type="dxa"/>
            <w:left w:w="108" w:type="dxa"/>
            <w:bottom w:w="0" w:type="dxa"/>
            <w:right w:w="108" w:type="dxa"/>
          </w:tblCellMar>
        </w:tblPrEx>
        <w:trPr>
          <w:trHeight w:val="222" w:hRule="atLeast"/>
        </w:trPr>
        <w:tc>
          <w:tcPr>
            <w:tcW w:w="2615" w:type="dxa"/>
            <w:gridSpan w:val="2"/>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236"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240"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2325"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693"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712"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973"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759"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720"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187"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543" w:type="dxa"/>
            <w:gridSpan w:val="2"/>
            <w:tcBorders>
              <w:top w:val="nil"/>
              <w:left w:val="nil"/>
              <w:bottom w:val="nil"/>
              <w:right w:val="nil"/>
            </w:tcBorders>
            <w:shd w:val="clear" w:color="auto" w:fill="FFFFFF" w:themeFill="background1"/>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公开02表</w:t>
            </w:r>
          </w:p>
        </w:tc>
      </w:tr>
      <w:tr>
        <w:tblPrEx>
          <w:tblCellMar>
            <w:top w:w="0" w:type="dxa"/>
            <w:left w:w="108" w:type="dxa"/>
            <w:bottom w:w="0" w:type="dxa"/>
            <w:right w:w="108" w:type="dxa"/>
          </w:tblCellMar>
        </w:tblPrEx>
        <w:trPr>
          <w:trHeight w:val="222" w:hRule="atLeast"/>
        </w:trPr>
        <w:tc>
          <w:tcPr>
            <w:tcW w:w="5416" w:type="dxa"/>
            <w:gridSpan w:val="5"/>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：许昌市公路养护中心</w:t>
            </w:r>
          </w:p>
        </w:tc>
        <w:tc>
          <w:tcPr>
            <w:tcW w:w="1693"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1712"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973"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759"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720" w:type="dxa"/>
            <w:tcBorders>
              <w:top w:val="nil"/>
              <w:left w:val="nil"/>
              <w:bottom w:val="nil"/>
              <w:right w:val="nil"/>
            </w:tcBorders>
            <w:shd w:val="clear" w:color="auto" w:fill="FFFFFF" w:themeFill="background1"/>
            <w:noWrap/>
            <w:vAlign w:val="bottom"/>
          </w:tcPr>
          <w:p>
            <w:pPr>
              <w:rPr>
                <w:rFonts w:ascii="Arial" w:hAnsi="Arial" w:cs="Arial"/>
                <w:color w:val="auto"/>
                <w:sz w:val="18"/>
                <w:szCs w:val="18"/>
                <w:highlight w:val="none"/>
              </w:rPr>
            </w:pPr>
          </w:p>
        </w:tc>
        <w:tc>
          <w:tcPr>
            <w:tcW w:w="2730" w:type="dxa"/>
            <w:gridSpan w:val="3"/>
            <w:tcBorders>
              <w:top w:val="nil"/>
              <w:left w:val="nil"/>
              <w:bottom w:val="nil"/>
              <w:right w:val="nil"/>
            </w:tcBorders>
            <w:shd w:val="clear" w:color="auto" w:fill="FFFFFF" w:themeFill="background1"/>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416" w:hRule="atLeast"/>
        </w:trPr>
        <w:tc>
          <w:tcPr>
            <w:tcW w:w="5416"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          目</w:t>
            </w:r>
          </w:p>
        </w:tc>
        <w:tc>
          <w:tcPr>
            <w:tcW w:w="169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本年收入合计</w:t>
            </w:r>
          </w:p>
        </w:tc>
        <w:tc>
          <w:tcPr>
            <w:tcW w:w="1712"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财政拨款收入</w:t>
            </w:r>
          </w:p>
        </w:tc>
        <w:tc>
          <w:tcPr>
            <w:tcW w:w="97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上级补助收入</w:t>
            </w:r>
          </w:p>
        </w:tc>
        <w:tc>
          <w:tcPr>
            <w:tcW w:w="75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事业收入</w:t>
            </w:r>
          </w:p>
        </w:tc>
        <w:tc>
          <w:tcPr>
            <w:tcW w:w="72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经营收入</w:t>
            </w:r>
          </w:p>
        </w:tc>
        <w:tc>
          <w:tcPr>
            <w:tcW w:w="1479"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附属单位上缴收入</w:t>
            </w:r>
          </w:p>
        </w:tc>
        <w:tc>
          <w:tcPr>
            <w:tcW w:w="125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其他收入</w:t>
            </w:r>
          </w:p>
        </w:tc>
      </w:tr>
      <w:tr>
        <w:tblPrEx>
          <w:tblCellMar>
            <w:top w:w="0" w:type="dxa"/>
            <w:left w:w="108" w:type="dxa"/>
            <w:bottom w:w="0" w:type="dxa"/>
            <w:right w:w="108" w:type="dxa"/>
          </w:tblCellMar>
        </w:tblPrEx>
        <w:trPr>
          <w:trHeight w:val="319" w:hRule="atLeast"/>
        </w:trPr>
        <w:tc>
          <w:tcPr>
            <w:tcW w:w="1490"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功能分类</w:t>
            </w:r>
          </w:p>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科目编码</w:t>
            </w:r>
          </w:p>
        </w:tc>
        <w:tc>
          <w:tcPr>
            <w:tcW w:w="3926" w:type="dxa"/>
            <w:gridSpan w:val="4"/>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69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71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9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7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7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47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25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9" w:hRule="atLeast"/>
        </w:trPr>
        <w:tc>
          <w:tcPr>
            <w:tcW w:w="1490"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3926" w:type="dxa"/>
            <w:gridSpan w:val="4"/>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auto"/>
                <w:sz w:val="22"/>
                <w:highlight w:val="none"/>
              </w:rPr>
            </w:pPr>
          </w:p>
        </w:tc>
        <w:tc>
          <w:tcPr>
            <w:tcW w:w="169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71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9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7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7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47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25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9" w:hRule="atLeast"/>
        </w:trPr>
        <w:tc>
          <w:tcPr>
            <w:tcW w:w="1490"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3926" w:type="dxa"/>
            <w:gridSpan w:val="4"/>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auto"/>
                <w:sz w:val="22"/>
                <w:highlight w:val="none"/>
              </w:rPr>
            </w:pPr>
          </w:p>
        </w:tc>
        <w:tc>
          <w:tcPr>
            <w:tcW w:w="169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71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9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7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7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47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25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5416"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169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712"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97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759"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72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479" w:type="dxa"/>
            <w:gridSpan w:val="2"/>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125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r>
      <w:tr>
        <w:tblPrEx>
          <w:tblCellMar>
            <w:top w:w="0" w:type="dxa"/>
            <w:left w:w="108" w:type="dxa"/>
            <w:bottom w:w="0" w:type="dxa"/>
            <w:right w:w="108" w:type="dxa"/>
          </w:tblCellMar>
        </w:tblPrEx>
        <w:trPr>
          <w:trHeight w:val="229" w:hRule="atLeast"/>
        </w:trPr>
        <w:tc>
          <w:tcPr>
            <w:tcW w:w="5416"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1236.61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val="en-US" w:eastAsia="zh-CN" w:bidi="ar"/>
              </w:rPr>
              <w:t>1</w:t>
            </w:r>
            <w:r>
              <w:rPr>
                <w:rFonts w:hint="eastAsia" w:ascii="宋体" w:hAnsi="宋体" w:cs="宋体"/>
                <w:b/>
                <w:bCs/>
                <w:color w:val="auto"/>
                <w:kern w:val="0"/>
                <w:sz w:val="22"/>
                <w:highlight w:val="none"/>
                <w:lang w:bidi="ar"/>
              </w:rPr>
              <w:t>236.61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一般公共服务支出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群众团体事务</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2012906</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工会事务</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社会保障和就业支出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行政事业单位养老支出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2080502</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事业单位离退休</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138.67</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138.67</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2080505</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机关事业单位基本养老保险缴费支出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29.14</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29.14</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卫生健康支出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行政事业单位医疗</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2101102</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事业单位医疗</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节能环保支出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21103</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污染防治</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2110301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大气</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交通运输支出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755.89</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755.89</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公路水路运输</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358.68</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358.68</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2140106</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公路养护</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340.11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340.11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2140139</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取消政府还贷二级公路收费专项支出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7.64</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7.64</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2140199</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其他公路水路运输支出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10.93</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10.93</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成品油价格改革对交通运输的补贴</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397.21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397.21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2140499</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成品油价格改革补贴其他支出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397.21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397.21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29" w:hRule="atLeast"/>
        </w:trPr>
        <w:tc>
          <w:tcPr>
            <w:tcW w:w="14003" w:type="dxa"/>
            <w:gridSpan w:val="13"/>
            <w:tcBorders>
              <w:top w:val="nil"/>
              <w:left w:val="nil"/>
              <w:bottom w:val="nil"/>
              <w:right w:val="nil"/>
            </w:tcBorders>
            <w:shd w:val="clear" w:color="auto" w:fill="FFFFFF" w:themeFill="background1"/>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注：本表反映</w:t>
            </w:r>
            <w:r>
              <w:rPr>
                <w:rFonts w:hint="eastAsia" w:ascii="宋体" w:hAnsi="宋体" w:cs="宋体"/>
                <w:color w:val="auto"/>
                <w:kern w:val="0"/>
                <w:sz w:val="22"/>
                <w:highlight w:val="none"/>
                <w:lang w:eastAsia="zh-CN" w:bidi="ar"/>
              </w:rPr>
              <w:t>单位</w:t>
            </w:r>
            <w:r>
              <w:rPr>
                <w:rFonts w:hint="eastAsia" w:ascii="宋体" w:hAnsi="宋体" w:cs="宋体"/>
                <w:color w:val="auto"/>
                <w:kern w:val="0"/>
                <w:sz w:val="22"/>
                <w:highlight w:val="none"/>
                <w:lang w:bidi="ar"/>
              </w:rPr>
              <w:t>本年度取得的各项收入情况。本表金额转换为万元时，因四舍五入可能存在尾差。</w:t>
            </w:r>
          </w:p>
        </w:tc>
      </w:tr>
    </w:tbl>
    <w:p>
      <w:pP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br w:type="page"/>
      </w:r>
    </w:p>
    <w:tbl>
      <w:tblPr>
        <w:tblStyle w:val="10"/>
        <w:tblW w:w="14423" w:type="dxa"/>
        <w:tblInd w:w="93" w:type="dxa"/>
        <w:tblLayout w:type="fixed"/>
        <w:tblCellMar>
          <w:top w:w="0" w:type="dxa"/>
          <w:left w:w="108" w:type="dxa"/>
          <w:bottom w:w="0" w:type="dxa"/>
          <w:right w:w="108" w:type="dxa"/>
        </w:tblCellMar>
      </w:tblPr>
      <w:tblGrid>
        <w:gridCol w:w="1140"/>
        <w:gridCol w:w="3857"/>
        <w:gridCol w:w="1637"/>
        <w:gridCol w:w="1636"/>
        <w:gridCol w:w="1422"/>
        <w:gridCol w:w="1052"/>
        <w:gridCol w:w="1247"/>
        <w:gridCol w:w="1967"/>
        <w:gridCol w:w="465"/>
      </w:tblGrid>
      <w:tr>
        <w:tblPrEx>
          <w:tblCellMar>
            <w:top w:w="0" w:type="dxa"/>
            <w:left w:w="108" w:type="dxa"/>
            <w:bottom w:w="0" w:type="dxa"/>
            <w:right w:w="108" w:type="dxa"/>
          </w:tblCellMar>
        </w:tblPrEx>
        <w:trPr>
          <w:trHeight w:val="390" w:hRule="atLeast"/>
        </w:trPr>
        <w:tc>
          <w:tcPr>
            <w:tcW w:w="14423" w:type="dxa"/>
            <w:gridSpan w:val="9"/>
            <w:tcBorders>
              <w:top w:val="nil"/>
              <w:left w:val="nil"/>
              <w:bottom w:val="nil"/>
              <w:right w:val="nil"/>
            </w:tcBorders>
            <w:shd w:val="clear" w:color="auto" w:fill="auto"/>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支出决算表</w:t>
            </w:r>
          </w:p>
        </w:tc>
      </w:tr>
      <w:tr>
        <w:tblPrEx>
          <w:tblCellMar>
            <w:top w:w="0" w:type="dxa"/>
            <w:left w:w="108" w:type="dxa"/>
            <w:bottom w:w="0" w:type="dxa"/>
            <w:right w:w="108" w:type="dxa"/>
          </w:tblCellMar>
        </w:tblPrEx>
        <w:trPr>
          <w:gridAfter w:val="1"/>
          <w:wAfter w:w="465" w:type="dxa"/>
          <w:trHeight w:val="255" w:hRule="atLeast"/>
        </w:trPr>
        <w:tc>
          <w:tcPr>
            <w:tcW w:w="4997" w:type="dxa"/>
            <w:gridSpan w:val="2"/>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63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636"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22"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052"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4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967"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公开03表</w:t>
            </w:r>
          </w:p>
        </w:tc>
      </w:tr>
      <w:tr>
        <w:tblPrEx>
          <w:tblCellMar>
            <w:top w:w="0" w:type="dxa"/>
            <w:left w:w="108" w:type="dxa"/>
            <w:bottom w:w="0" w:type="dxa"/>
            <w:right w:w="108" w:type="dxa"/>
          </w:tblCellMar>
        </w:tblPrEx>
        <w:trPr>
          <w:gridAfter w:val="1"/>
          <w:wAfter w:w="465" w:type="dxa"/>
          <w:trHeight w:val="255" w:hRule="atLeast"/>
        </w:trPr>
        <w:tc>
          <w:tcPr>
            <w:tcW w:w="4997" w:type="dxa"/>
            <w:gridSpan w:val="2"/>
            <w:tcBorders>
              <w:top w:val="nil"/>
              <w:left w:val="nil"/>
              <w:bottom w:val="nil"/>
              <w:right w:val="nil"/>
            </w:tcBorders>
            <w:shd w:val="clear" w:color="auto" w:fill="auto"/>
            <w:noWrap/>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：许昌市公路养护中心</w:t>
            </w:r>
          </w:p>
        </w:tc>
        <w:tc>
          <w:tcPr>
            <w:tcW w:w="163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636"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22"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052"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4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967"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gridAfter w:val="1"/>
          <w:wAfter w:w="465" w:type="dxa"/>
          <w:trHeight w:val="308" w:hRule="atLeast"/>
        </w:trPr>
        <w:tc>
          <w:tcPr>
            <w:tcW w:w="4997" w:type="dxa"/>
            <w:gridSpan w:val="2"/>
            <w:tcBorders>
              <w:top w:val="single" w:color="000000" w:sz="4" w:space="0"/>
              <w:left w:val="single" w:color="000000" w:sz="4" w:space="0"/>
              <w:bottom w:val="single" w:color="000000" w:sz="4" w:space="0"/>
              <w:right w:val="single" w:color="000000" w:sz="4" w:space="0"/>
            </w:tcBorders>
            <w:shd w:val="clear" w:color="FFFFFF"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           目</w:t>
            </w:r>
          </w:p>
        </w:tc>
        <w:tc>
          <w:tcPr>
            <w:tcW w:w="1637"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本年支出合计</w:t>
            </w:r>
          </w:p>
        </w:tc>
        <w:tc>
          <w:tcPr>
            <w:tcW w:w="1636"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基本支出</w:t>
            </w:r>
          </w:p>
        </w:tc>
        <w:tc>
          <w:tcPr>
            <w:tcW w:w="1422"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项目支出</w:t>
            </w:r>
          </w:p>
        </w:tc>
        <w:tc>
          <w:tcPr>
            <w:tcW w:w="1052"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上缴上级支出</w:t>
            </w:r>
          </w:p>
        </w:tc>
        <w:tc>
          <w:tcPr>
            <w:tcW w:w="1247"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经营支出</w:t>
            </w:r>
          </w:p>
        </w:tc>
        <w:tc>
          <w:tcPr>
            <w:tcW w:w="1967"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对附属单位补助支出</w:t>
            </w:r>
          </w:p>
        </w:tc>
      </w:tr>
      <w:tr>
        <w:tblPrEx>
          <w:tblCellMar>
            <w:top w:w="0" w:type="dxa"/>
            <w:left w:w="108" w:type="dxa"/>
            <w:bottom w:w="0" w:type="dxa"/>
            <w:right w:w="108" w:type="dxa"/>
          </w:tblCellMar>
        </w:tblPrEx>
        <w:trPr>
          <w:gridAfter w:val="1"/>
          <w:wAfter w:w="465" w:type="dxa"/>
          <w:trHeight w:val="319" w:hRule="atLeast"/>
        </w:trPr>
        <w:tc>
          <w:tcPr>
            <w:tcW w:w="1140" w:type="dxa"/>
            <w:vMerge w:val="restart"/>
            <w:tcBorders>
              <w:top w:val="nil"/>
              <w:left w:val="single" w:color="000000" w:sz="4" w:space="0"/>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功能分类科目编码</w:t>
            </w:r>
          </w:p>
        </w:tc>
        <w:tc>
          <w:tcPr>
            <w:tcW w:w="3857" w:type="dxa"/>
            <w:vMerge w:val="restart"/>
            <w:tcBorders>
              <w:top w:val="nil"/>
              <w:left w:val="nil"/>
              <w:bottom w:val="single" w:color="000000" w:sz="4" w:space="0"/>
              <w:right w:val="single" w:color="000000" w:sz="4" w:space="0"/>
            </w:tcBorders>
            <w:shd w:val="clear" w:color="FFFFFF"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63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636"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42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05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24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96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19" w:hRule="atLeast"/>
        </w:trPr>
        <w:tc>
          <w:tcPr>
            <w:tcW w:w="1140" w:type="dxa"/>
            <w:vMerge w:val="continue"/>
            <w:tcBorders>
              <w:top w:val="nil"/>
              <w:left w:val="single" w:color="000000" w:sz="4" w:space="0"/>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3857" w:type="dxa"/>
            <w:vMerge w:val="continue"/>
            <w:tcBorders>
              <w:top w:val="nil"/>
              <w:left w:val="nil"/>
              <w:bottom w:val="single" w:color="000000" w:sz="4" w:space="0"/>
              <w:right w:val="single" w:color="000000" w:sz="4" w:space="0"/>
            </w:tcBorders>
            <w:shd w:val="clear" w:color="FFFFFF" w:fill="FFFFFF" w:themeFill="background1"/>
            <w:noWrap/>
            <w:vAlign w:val="center"/>
          </w:tcPr>
          <w:p>
            <w:pPr>
              <w:jc w:val="center"/>
              <w:rPr>
                <w:rFonts w:ascii="宋体" w:hAnsi="宋体" w:cs="宋体"/>
                <w:color w:val="auto"/>
                <w:sz w:val="22"/>
                <w:highlight w:val="none"/>
              </w:rPr>
            </w:pPr>
          </w:p>
        </w:tc>
        <w:tc>
          <w:tcPr>
            <w:tcW w:w="163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636"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42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05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24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96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19" w:hRule="atLeast"/>
        </w:trPr>
        <w:tc>
          <w:tcPr>
            <w:tcW w:w="1140" w:type="dxa"/>
            <w:vMerge w:val="continue"/>
            <w:tcBorders>
              <w:top w:val="nil"/>
              <w:left w:val="single" w:color="000000" w:sz="4" w:space="0"/>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3857" w:type="dxa"/>
            <w:vMerge w:val="continue"/>
            <w:tcBorders>
              <w:top w:val="nil"/>
              <w:left w:val="nil"/>
              <w:bottom w:val="single" w:color="000000" w:sz="4" w:space="0"/>
              <w:right w:val="single" w:color="000000" w:sz="4" w:space="0"/>
            </w:tcBorders>
            <w:shd w:val="clear" w:color="FFFFFF" w:fill="FFFFFF" w:themeFill="background1"/>
            <w:noWrap/>
            <w:vAlign w:val="center"/>
          </w:tcPr>
          <w:p>
            <w:pPr>
              <w:jc w:val="center"/>
              <w:rPr>
                <w:rFonts w:ascii="宋体" w:hAnsi="宋体" w:cs="宋体"/>
                <w:color w:val="auto"/>
                <w:sz w:val="22"/>
                <w:highlight w:val="none"/>
              </w:rPr>
            </w:pPr>
          </w:p>
        </w:tc>
        <w:tc>
          <w:tcPr>
            <w:tcW w:w="163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636"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42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05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24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96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4997" w:type="dxa"/>
            <w:gridSpan w:val="2"/>
            <w:tcBorders>
              <w:top w:val="nil"/>
              <w:left w:val="single" w:color="000000" w:sz="4" w:space="0"/>
              <w:bottom w:val="single" w:color="000000" w:sz="4" w:space="0"/>
              <w:right w:val="single" w:color="000000" w:sz="4" w:space="0"/>
            </w:tcBorders>
            <w:shd w:val="clear" w:color="FFFFFF"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1637"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636"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422"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052"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247"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967"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r>
      <w:tr>
        <w:tblPrEx>
          <w:tblCellMar>
            <w:top w:w="0" w:type="dxa"/>
            <w:left w:w="108" w:type="dxa"/>
            <w:bottom w:w="0" w:type="dxa"/>
            <w:right w:w="108" w:type="dxa"/>
          </w:tblCellMar>
        </w:tblPrEx>
        <w:trPr>
          <w:gridAfter w:val="1"/>
          <w:wAfter w:w="465" w:type="dxa"/>
          <w:trHeight w:val="308" w:hRule="atLeast"/>
        </w:trPr>
        <w:tc>
          <w:tcPr>
            <w:tcW w:w="4997"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1481.15</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642.75</w:t>
            </w: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838.40</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一般公共服务支出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群众团体事务</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2012906</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工会事务</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社会保障和就业支出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行政事业单位养老支出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2080502</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事业单位离退休</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138.67</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138.67</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2080505</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机关事业单位基本养老保险缴费支出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29.14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29.14</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卫生健康支出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行政事业单位医疗</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2101102</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事业单位医疗</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节能环保支出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21103</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污染防治</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2110301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大气</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交通运输支出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000.44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458.83</w:t>
            </w: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541.61</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公路水路运输</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565.58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23.96</w:t>
            </w: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541.61</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2140101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行政运行</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5.40</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2140104</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公路建设</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0.02</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0.02</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2140106</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公路养护</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354.05</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354.05</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2140139</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取消政府还贷二级公路收费专项支出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7.64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7.64</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2140199</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其他公路水路运输支出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198.47</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10.93</w:t>
            </w: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187.55</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成品油价格改革对交通运输的补贴</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434.86</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434.86</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2140499</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成品油价格改革补贴其他支出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434.86</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434.86</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14423" w:type="dxa"/>
            <w:gridSpan w:val="9"/>
            <w:tcBorders>
              <w:top w:val="nil"/>
              <w:left w:val="nil"/>
              <w:bottom w:val="nil"/>
              <w:right w:val="nil"/>
            </w:tcBorders>
            <w:shd w:val="clear" w:color="auto" w:fill="auto"/>
            <w:noWrap/>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本年度各项支出情况。本表金额转换为万元时，因四舍五入可能存在尾差。</w:t>
            </w:r>
          </w:p>
        </w:tc>
      </w:tr>
    </w:tbl>
    <w:p>
      <w:pP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br w:type="page"/>
      </w:r>
    </w:p>
    <w:tbl>
      <w:tblPr>
        <w:tblStyle w:val="10"/>
        <w:tblW w:w="14028" w:type="dxa"/>
        <w:tblInd w:w="93" w:type="dxa"/>
        <w:tblLayout w:type="fixed"/>
        <w:tblCellMar>
          <w:top w:w="0" w:type="dxa"/>
          <w:left w:w="108" w:type="dxa"/>
          <w:bottom w:w="0" w:type="dxa"/>
          <w:right w:w="108" w:type="dxa"/>
        </w:tblCellMar>
      </w:tblPr>
      <w:tblGrid>
        <w:gridCol w:w="3103"/>
        <w:gridCol w:w="439"/>
        <w:gridCol w:w="1217"/>
        <w:gridCol w:w="15"/>
        <w:gridCol w:w="3414"/>
        <w:gridCol w:w="720"/>
        <w:gridCol w:w="1247"/>
        <w:gridCol w:w="1331"/>
        <w:gridCol w:w="1283"/>
        <w:gridCol w:w="1259"/>
      </w:tblGrid>
      <w:tr>
        <w:tblPrEx>
          <w:tblCellMar>
            <w:top w:w="0" w:type="dxa"/>
            <w:left w:w="108" w:type="dxa"/>
            <w:bottom w:w="0" w:type="dxa"/>
            <w:right w:w="108" w:type="dxa"/>
          </w:tblCellMar>
        </w:tblPrEx>
        <w:trPr>
          <w:trHeight w:val="626" w:hRule="atLeast"/>
        </w:trPr>
        <w:tc>
          <w:tcPr>
            <w:tcW w:w="14028" w:type="dxa"/>
            <w:gridSpan w:val="10"/>
            <w:tcBorders>
              <w:top w:val="nil"/>
              <w:left w:val="nil"/>
              <w:bottom w:val="nil"/>
              <w:right w:val="nil"/>
            </w:tcBorders>
            <w:shd w:val="clear" w:color="auto" w:fill="auto"/>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财政拨款收入支出决算总表</w:t>
            </w:r>
          </w:p>
        </w:tc>
      </w:tr>
      <w:tr>
        <w:tblPrEx>
          <w:tblCellMar>
            <w:top w:w="0" w:type="dxa"/>
            <w:left w:w="108" w:type="dxa"/>
            <w:bottom w:w="0" w:type="dxa"/>
            <w:right w:w="108" w:type="dxa"/>
          </w:tblCellMar>
        </w:tblPrEx>
        <w:trPr>
          <w:trHeight w:val="313" w:hRule="atLeast"/>
        </w:trPr>
        <w:tc>
          <w:tcPr>
            <w:tcW w:w="310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439"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1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3429" w:type="dxa"/>
            <w:gridSpan w:val="2"/>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72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4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331"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8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59"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公开04表</w:t>
            </w:r>
          </w:p>
        </w:tc>
      </w:tr>
      <w:tr>
        <w:tblPrEx>
          <w:tblCellMar>
            <w:top w:w="0" w:type="dxa"/>
            <w:left w:w="108" w:type="dxa"/>
            <w:bottom w:w="0" w:type="dxa"/>
            <w:right w:w="108" w:type="dxa"/>
          </w:tblCellMar>
        </w:tblPrEx>
        <w:trPr>
          <w:trHeight w:val="313" w:hRule="atLeast"/>
        </w:trPr>
        <w:tc>
          <w:tcPr>
            <w:tcW w:w="3103" w:type="dxa"/>
            <w:tcBorders>
              <w:top w:val="nil"/>
              <w:left w:val="nil"/>
              <w:bottom w:val="nil"/>
              <w:right w:val="nil"/>
            </w:tcBorders>
            <w:shd w:val="clear" w:color="auto" w:fill="auto"/>
            <w:noWrap/>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：许昌市公路养护中心</w:t>
            </w:r>
          </w:p>
        </w:tc>
        <w:tc>
          <w:tcPr>
            <w:tcW w:w="439"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1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3429" w:type="dxa"/>
            <w:gridSpan w:val="2"/>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72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4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331"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542" w:type="dxa"/>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323" w:hRule="atLeast"/>
        </w:trPr>
        <w:tc>
          <w:tcPr>
            <w:tcW w:w="47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收     入</w:t>
            </w:r>
          </w:p>
        </w:tc>
        <w:tc>
          <w:tcPr>
            <w:tcW w:w="9254"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支     出</w:t>
            </w:r>
          </w:p>
        </w:tc>
      </w:tr>
      <w:tr>
        <w:tblPrEx>
          <w:tblCellMar>
            <w:top w:w="0" w:type="dxa"/>
            <w:left w:w="108" w:type="dxa"/>
            <w:bottom w:w="0" w:type="dxa"/>
            <w:right w:w="108" w:type="dxa"/>
          </w:tblCellMar>
        </w:tblPrEx>
        <w:trPr>
          <w:trHeight w:val="319" w:hRule="atLeast"/>
        </w:trPr>
        <w:tc>
          <w:tcPr>
            <w:tcW w:w="310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     目</w:t>
            </w:r>
          </w:p>
        </w:tc>
        <w:tc>
          <w:tcPr>
            <w:tcW w:w="439"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行次</w:t>
            </w:r>
          </w:p>
        </w:tc>
        <w:tc>
          <w:tcPr>
            <w:tcW w:w="1217"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金额</w:t>
            </w:r>
          </w:p>
        </w:tc>
        <w:tc>
          <w:tcPr>
            <w:tcW w:w="3429"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72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行次</w:t>
            </w:r>
          </w:p>
        </w:tc>
        <w:tc>
          <w:tcPr>
            <w:tcW w:w="1247"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33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一般公共预算财政拨款</w:t>
            </w:r>
          </w:p>
        </w:tc>
        <w:tc>
          <w:tcPr>
            <w:tcW w:w="128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政府性基金预算财政拨款</w:t>
            </w:r>
          </w:p>
        </w:tc>
        <w:tc>
          <w:tcPr>
            <w:tcW w:w="1259"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国有资本经营预算财政拨款</w:t>
            </w:r>
          </w:p>
        </w:tc>
      </w:tr>
      <w:tr>
        <w:tblPrEx>
          <w:tblCellMar>
            <w:top w:w="0" w:type="dxa"/>
            <w:left w:w="108" w:type="dxa"/>
            <w:bottom w:w="0" w:type="dxa"/>
            <w:right w:w="108" w:type="dxa"/>
          </w:tblCellMar>
        </w:tblPrEx>
        <w:trPr>
          <w:trHeight w:val="652" w:hRule="atLeast"/>
        </w:trPr>
        <w:tc>
          <w:tcPr>
            <w:tcW w:w="310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43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1217"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3429"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72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1247"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auto"/>
                <w:sz w:val="22"/>
                <w:highlight w:val="none"/>
              </w:rPr>
            </w:pPr>
          </w:p>
        </w:tc>
        <w:tc>
          <w:tcPr>
            <w:tcW w:w="133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128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125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439"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auto"/>
                <w:sz w:val="22"/>
                <w:highlight w:val="none"/>
              </w:rPr>
            </w:pPr>
          </w:p>
        </w:tc>
        <w:tc>
          <w:tcPr>
            <w:tcW w:w="121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720"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auto"/>
                <w:sz w:val="22"/>
                <w:highlight w:val="none"/>
              </w:rPr>
            </w:pPr>
          </w:p>
        </w:tc>
        <w:tc>
          <w:tcPr>
            <w:tcW w:w="124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一、一般公共预算财政拨款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1236.61</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一、一般公共服务支出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二、政府性基金预算财政拨款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二、外交支出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三、国有资本经营财政拨款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三、国防支出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四、公共安全支出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五、教育支出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六、科学技术支出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七、文化旅游体育与传媒支出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八、社会保障和就业支出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九、卫生健康支出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十、节能环保支出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十一、城乡社区支出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十二、农林水支出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十三、交通运输支出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1000.44</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1000.44</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十四、资源勘探工业信息等支出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十五、商业服务业等支出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47</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十六、金融支出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48</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十七、援助其他地区支出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49</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十八、自然资源海洋气象等支出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50</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十九、住房保障支出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51</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二十、粮油物资储备支出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52</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二十一、国有资本经营预算支出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53</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二十二、灾害防治及应急管理支出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二十三、其他支出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0"/>
                <w:szCs w:val="20"/>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二十四、债务还本支出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56</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0"/>
                <w:szCs w:val="20"/>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二十五、债务付息支出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57</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0"/>
                <w:szCs w:val="20"/>
                <w:highlight w:val="none"/>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二十六、抗疫特别国债安排的支出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58</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本年收入合计</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1236.61</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本年支出合计</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1481.15</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1481.15</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年初财政拨款结转和结余</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244.55</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年末财政拨款结转和结余</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60</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一般公共预算财政拨款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244.55</w:t>
            </w:r>
          </w:p>
        </w:tc>
        <w:tc>
          <w:tcPr>
            <w:tcW w:w="3429" w:type="dxa"/>
            <w:gridSpan w:val="2"/>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政府性基金预算财政拨款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62</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国有资本经营预算财政拨款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63</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总计</w:t>
            </w:r>
          </w:p>
        </w:tc>
        <w:tc>
          <w:tcPr>
            <w:tcW w:w="439" w:type="dxa"/>
            <w:tcBorders>
              <w:top w:val="nil"/>
              <w:left w:val="nil"/>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1481.15</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总计</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64</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1481.15</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1481.15</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646" w:hRule="atLeast"/>
        </w:trPr>
        <w:tc>
          <w:tcPr>
            <w:tcW w:w="14028" w:type="dxa"/>
            <w:gridSpan w:val="10"/>
            <w:tcBorders>
              <w:top w:val="nil"/>
              <w:left w:val="nil"/>
              <w:bottom w:val="nil"/>
              <w:right w:val="nil"/>
            </w:tcBorders>
            <w:shd w:val="clear" w:color="auto" w:fill="auto"/>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r>
    </w:tbl>
    <w:p>
      <w:pP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br w:type="page"/>
      </w:r>
    </w:p>
    <w:tbl>
      <w:tblPr>
        <w:tblStyle w:val="10"/>
        <w:tblW w:w="14081" w:type="dxa"/>
        <w:tblInd w:w="93" w:type="dxa"/>
        <w:tblLayout w:type="fixed"/>
        <w:tblCellMar>
          <w:top w:w="0" w:type="dxa"/>
          <w:left w:w="108" w:type="dxa"/>
          <w:bottom w:w="0" w:type="dxa"/>
          <w:right w:w="108" w:type="dxa"/>
        </w:tblCellMar>
      </w:tblPr>
      <w:tblGrid>
        <w:gridCol w:w="1997"/>
        <w:gridCol w:w="4559"/>
        <w:gridCol w:w="2201"/>
        <w:gridCol w:w="2318"/>
        <w:gridCol w:w="3006"/>
      </w:tblGrid>
      <w:tr>
        <w:tblPrEx>
          <w:tblCellMar>
            <w:top w:w="0" w:type="dxa"/>
            <w:left w:w="108" w:type="dxa"/>
            <w:bottom w:w="0" w:type="dxa"/>
            <w:right w:w="108" w:type="dxa"/>
          </w:tblCellMar>
        </w:tblPrEx>
        <w:trPr>
          <w:trHeight w:val="656" w:hRule="atLeast"/>
        </w:trPr>
        <w:tc>
          <w:tcPr>
            <w:tcW w:w="14081" w:type="dxa"/>
            <w:gridSpan w:val="5"/>
            <w:tcBorders>
              <w:top w:val="nil"/>
              <w:left w:val="nil"/>
              <w:bottom w:val="nil"/>
              <w:right w:val="nil"/>
            </w:tcBorders>
            <w:shd w:val="clear" w:color="auto" w:fill="auto"/>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i w:val="0"/>
                <w:iCs w:val="0"/>
                <w:color w:val="auto"/>
                <w:kern w:val="0"/>
                <w:sz w:val="30"/>
                <w:szCs w:val="30"/>
                <w:highlight w:val="none"/>
                <w:lang w:bidi="ar"/>
              </w:rPr>
              <w:t>一般公共预算财政拨款支出决算表</w:t>
            </w:r>
          </w:p>
        </w:tc>
      </w:tr>
      <w:tr>
        <w:tblPrEx>
          <w:tblCellMar>
            <w:top w:w="0" w:type="dxa"/>
            <w:left w:w="108" w:type="dxa"/>
            <w:bottom w:w="0" w:type="dxa"/>
            <w:right w:w="108" w:type="dxa"/>
          </w:tblCellMar>
        </w:tblPrEx>
        <w:trPr>
          <w:trHeight w:val="328" w:hRule="atLeast"/>
        </w:trPr>
        <w:tc>
          <w:tcPr>
            <w:tcW w:w="6556" w:type="dxa"/>
            <w:gridSpan w:val="2"/>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201"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318"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3006"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公开05表</w:t>
            </w:r>
          </w:p>
        </w:tc>
      </w:tr>
      <w:tr>
        <w:tblPrEx>
          <w:tblCellMar>
            <w:top w:w="0" w:type="dxa"/>
            <w:left w:w="108" w:type="dxa"/>
            <w:bottom w:w="0" w:type="dxa"/>
            <w:right w:w="108" w:type="dxa"/>
          </w:tblCellMar>
        </w:tblPrEx>
        <w:trPr>
          <w:trHeight w:val="328" w:hRule="atLeast"/>
        </w:trPr>
        <w:tc>
          <w:tcPr>
            <w:tcW w:w="6556" w:type="dxa"/>
            <w:gridSpan w:val="2"/>
            <w:tcBorders>
              <w:top w:val="nil"/>
              <w:left w:val="nil"/>
              <w:bottom w:val="nil"/>
              <w:right w:val="nil"/>
            </w:tcBorders>
            <w:shd w:val="clear" w:color="auto" w:fill="auto"/>
            <w:noWrap/>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：许昌市公路养护中心</w:t>
            </w:r>
          </w:p>
        </w:tc>
        <w:tc>
          <w:tcPr>
            <w:tcW w:w="2201"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318"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3006"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435" w:hRule="atLeast"/>
        </w:trPr>
        <w:tc>
          <w:tcPr>
            <w:tcW w:w="65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        目</w:t>
            </w:r>
          </w:p>
        </w:tc>
        <w:tc>
          <w:tcPr>
            <w:tcW w:w="752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本年支出</w:t>
            </w:r>
          </w:p>
        </w:tc>
      </w:tr>
      <w:tr>
        <w:tblPrEx>
          <w:tblCellMar>
            <w:top w:w="0" w:type="dxa"/>
            <w:left w:w="108" w:type="dxa"/>
            <w:bottom w:w="0" w:type="dxa"/>
            <w:right w:w="108" w:type="dxa"/>
          </w:tblCellMar>
        </w:tblPrEx>
        <w:trPr>
          <w:trHeight w:val="327" w:hRule="atLeast"/>
        </w:trPr>
        <w:tc>
          <w:tcPr>
            <w:tcW w:w="199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功能分类科目编码</w:t>
            </w:r>
          </w:p>
        </w:tc>
        <w:tc>
          <w:tcPr>
            <w:tcW w:w="4559"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220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小计</w:t>
            </w:r>
          </w:p>
        </w:tc>
        <w:tc>
          <w:tcPr>
            <w:tcW w:w="231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基本支出</w:t>
            </w:r>
          </w:p>
        </w:tc>
        <w:tc>
          <w:tcPr>
            <w:tcW w:w="300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项目支出</w:t>
            </w:r>
          </w:p>
        </w:tc>
      </w:tr>
      <w:tr>
        <w:tblPrEx>
          <w:tblCellMar>
            <w:top w:w="0" w:type="dxa"/>
            <w:left w:w="108" w:type="dxa"/>
            <w:bottom w:w="0" w:type="dxa"/>
            <w:right w:w="108" w:type="dxa"/>
          </w:tblCellMar>
        </w:tblPrEx>
        <w:trPr>
          <w:trHeight w:val="319" w:hRule="atLeast"/>
        </w:trPr>
        <w:tc>
          <w:tcPr>
            <w:tcW w:w="199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4559"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auto"/>
                <w:sz w:val="22"/>
                <w:highlight w:val="none"/>
              </w:rPr>
            </w:pPr>
          </w:p>
        </w:tc>
        <w:tc>
          <w:tcPr>
            <w:tcW w:w="220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231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300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9" w:hRule="atLeast"/>
        </w:trPr>
        <w:tc>
          <w:tcPr>
            <w:tcW w:w="199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4559"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auto"/>
                <w:sz w:val="22"/>
                <w:highlight w:val="none"/>
              </w:rPr>
            </w:pPr>
          </w:p>
        </w:tc>
        <w:tc>
          <w:tcPr>
            <w:tcW w:w="220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231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300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655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r>
      <w:tr>
        <w:tblPrEx>
          <w:tblCellMar>
            <w:top w:w="0" w:type="dxa"/>
            <w:left w:w="108" w:type="dxa"/>
            <w:bottom w:w="0" w:type="dxa"/>
            <w:right w:w="108" w:type="dxa"/>
          </w:tblCellMar>
        </w:tblPrEx>
        <w:trPr>
          <w:trHeight w:val="338" w:hRule="atLeast"/>
        </w:trPr>
        <w:tc>
          <w:tcPr>
            <w:tcW w:w="655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1481.15</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642.75</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838.40</w:t>
            </w: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一般公共服务支出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群众团体事务</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2012906</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工会事务</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社会保障和就业支出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行政事业单位养老支出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167.81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2080502</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事业单位离退休</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138.67</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138.67</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2080505</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机关事业单位基本养老保险缴费支出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29.14</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29.14</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卫生健康支出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行政事业单位医疗</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2101102</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事业单位医疗</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节能环保支出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21103</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污染防治</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2110301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大气</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296.79</w:t>
            </w: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交通运输支出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1000.44</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458.83</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541.61</w:t>
            </w: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公路水路运输</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565.58</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23.96</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541.61</w:t>
            </w: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2140101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行政运行</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5.40</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5.40</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2140104</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公路建设</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0.02</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0.02</w:t>
            </w: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2140106</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公路养护</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354.05</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354.05</w:t>
            </w: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2140139</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取消政府还贷二级公路收费专项支出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7.64</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7.64</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2140199</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其他公路水路运输支出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198.47</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10.93</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187.55</w:t>
            </w: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成品油价格改革对交通运输的补贴</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434.86</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434.86</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2140499</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成品油价格改革补贴其他支出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434.86</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434.86</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38" w:hRule="atLeast"/>
        </w:trPr>
        <w:tc>
          <w:tcPr>
            <w:tcW w:w="14081" w:type="dxa"/>
            <w:gridSpan w:val="5"/>
            <w:tcBorders>
              <w:top w:val="nil"/>
              <w:left w:val="nil"/>
              <w:bottom w:val="nil"/>
              <w:right w:val="nil"/>
            </w:tcBorders>
            <w:shd w:val="clear" w:color="auto" w:fill="auto"/>
            <w:noWrap/>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本年度一般公共预算财政拨款支出情况。本套报表金额单位转换时可能存在尾数误差。</w:t>
            </w:r>
          </w:p>
        </w:tc>
      </w:tr>
    </w:tbl>
    <w:p>
      <w:pP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br w:type="page"/>
      </w:r>
    </w:p>
    <w:tbl>
      <w:tblPr>
        <w:tblStyle w:val="10"/>
        <w:tblW w:w="13988" w:type="dxa"/>
        <w:tblInd w:w="91" w:type="dxa"/>
        <w:tblLayout w:type="fixed"/>
        <w:tblCellMar>
          <w:top w:w="0" w:type="dxa"/>
          <w:left w:w="108" w:type="dxa"/>
          <w:bottom w:w="0" w:type="dxa"/>
          <w:right w:w="108" w:type="dxa"/>
        </w:tblCellMar>
      </w:tblPr>
      <w:tblGrid>
        <w:gridCol w:w="866"/>
        <w:gridCol w:w="2868"/>
        <w:gridCol w:w="1147"/>
        <w:gridCol w:w="783"/>
        <w:gridCol w:w="2435"/>
        <w:gridCol w:w="780"/>
        <w:gridCol w:w="1095"/>
        <w:gridCol w:w="2730"/>
        <w:gridCol w:w="1284"/>
      </w:tblGrid>
      <w:tr>
        <w:tblPrEx>
          <w:tblCellMar>
            <w:top w:w="0" w:type="dxa"/>
            <w:left w:w="108" w:type="dxa"/>
            <w:bottom w:w="0" w:type="dxa"/>
            <w:right w:w="108" w:type="dxa"/>
          </w:tblCellMar>
        </w:tblPrEx>
        <w:trPr>
          <w:trHeight w:val="596" w:hRule="atLeast"/>
        </w:trPr>
        <w:tc>
          <w:tcPr>
            <w:tcW w:w="13988" w:type="dxa"/>
            <w:gridSpan w:val="9"/>
            <w:tcBorders>
              <w:top w:val="nil"/>
              <w:left w:val="nil"/>
              <w:bottom w:val="nil"/>
              <w:right w:val="nil"/>
            </w:tcBorders>
            <w:shd w:val="clear" w:color="auto" w:fill="auto"/>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一般公共预算财政拨款基本支出决算表</w:t>
            </w:r>
          </w:p>
        </w:tc>
      </w:tr>
      <w:tr>
        <w:tblPrEx>
          <w:tblCellMar>
            <w:top w:w="0" w:type="dxa"/>
            <w:left w:w="108" w:type="dxa"/>
            <w:bottom w:w="0" w:type="dxa"/>
            <w:right w:w="108" w:type="dxa"/>
          </w:tblCellMar>
        </w:tblPrEx>
        <w:trPr>
          <w:trHeight w:val="365" w:hRule="atLeast"/>
        </w:trPr>
        <w:tc>
          <w:tcPr>
            <w:tcW w:w="866"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868"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14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78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435"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78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095"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73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84"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公开06表</w:t>
            </w:r>
          </w:p>
        </w:tc>
      </w:tr>
      <w:tr>
        <w:tblPrEx>
          <w:tblCellMar>
            <w:top w:w="0" w:type="dxa"/>
            <w:left w:w="108" w:type="dxa"/>
            <w:bottom w:w="0" w:type="dxa"/>
            <w:right w:w="108" w:type="dxa"/>
          </w:tblCellMar>
        </w:tblPrEx>
        <w:trPr>
          <w:trHeight w:val="401" w:hRule="atLeast"/>
        </w:trPr>
        <w:tc>
          <w:tcPr>
            <w:tcW w:w="3734" w:type="dxa"/>
            <w:gridSpan w:val="2"/>
            <w:tcBorders>
              <w:top w:val="nil"/>
              <w:left w:val="nil"/>
              <w:bottom w:val="nil"/>
              <w:right w:val="nil"/>
            </w:tcBorders>
            <w:shd w:val="clear" w:color="auto" w:fill="auto"/>
            <w:noWrap/>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：许昌市公路养护中心</w:t>
            </w:r>
          </w:p>
        </w:tc>
        <w:tc>
          <w:tcPr>
            <w:tcW w:w="114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78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435"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78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095"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4014" w:type="dxa"/>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308" w:hRule="atLeast"/>
        </w:trPr>
        <w:tc>
          <w:tcPr>
            <w:tcW w:w="56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人员经费</w:t>
            </w:r>
          </w:p>
        </w:tc>
        <w:tc>
          <w:tcPr>
            <w:tcW w:w="8324" w:type="dxa"/>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公用经费</w:t>
            </w:r>
          </w:p>
        </w:tc>
      </w:tr>
      <w:tr>
        <w:tblPrEx>
          <w:tblCellMar>
            <w:top w:w="0" w:type="dxa"/>
            <w:left w:w="108" w:type="dxa"/>
            <w:bottom w:w="0" w:type="dxa"/>
            <w:right w:w="108" w:type="dxa"/>
          </w:tblCellMar>
        </w:tblPrEx>
        <w:trPr>
          <w:trHeight w:val="319" w:hRule="atLeast"/>
        </w:trPr>
        <w:tc>
          <w:tcPr>
            <w:tcW w:w="8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科目编码</w:t>
            </w:r>
          </w:p>
        </w:tc>
        <w:tc>
          <w:tcPr>
            <w:tcW w:w="286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147"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决算数</w:t>
            </w:r>
          </w:p>
        </w:tc>
        <w:tc>
          <w:tcPr>
            <w:tcW w:w="78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科目编码</w:t>
            </w:r>
          </w:p>
        </w:tc>
        <w:tc>
          <w:tcPr>
            <w:tcW w:w="24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78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决算数</w:t>
            </w:r>
          </w:p>
        </w:tc>
        <w:tc>
          <w:tcPr>
            <w:tcW w:w="109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科目编码</w:t>
            </w:r>
          </w:p>
        </w:tc>
        <w:tc>
          <w:tcPr>
            <w:tcW w:w="273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284"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决算数</w:t>
            </w:r>
          </w:p>
        </w:tc>
      </w:tr>
      <w:tr>
        <w:tblPrEx>
          <w:tblCellMar>
            <w:top w:w="0" w:type="dxa"/>
            <w:left w:w="108" w:type="dxa"/>
            <w:bottom w:w="0" w:type="dxa"/>
            <w:right w:w="108" w:type="dxa"/>
          </w:tblCellMar>
        </w:tblPrEx>
        <w:trPr>
          <w:trHeight w:val="319" w:hRule="atLeast"/>
        </w:trPr>
        <w:tc>
          <w:tcPr>
            <w:tcW w:w="86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286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1147"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78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24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78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109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273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c>
          <w:tcPr>
            <w:tcW w:w="1284"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工资福利支出</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474.32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商品和服务支出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18.31</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307</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债务利息及费用支出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基本工资</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130.75</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30201</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办公费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5.11</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30701</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国内债务付息</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30102</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津贴补贴</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120.88</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30202</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印刷费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0.25</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30702</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国外债务付息</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30103</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奖金</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43.33</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30203</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咨询费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资本性支出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30106</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伙食补助费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30204</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手续费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31001</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房屋建筑物购建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30107</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绩效工资</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63.58</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30205</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水费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0.38</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31002</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办公设备购置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30108</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机关事业单位基本养老保险缴费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29.14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30206</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电费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0.39</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31003</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专用设备购置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30109</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职业年金缴费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42.22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30207</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邮电费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0.72</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31005</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基础设施建设</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30110</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职工基本医疗保险缴费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13.71</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30208</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取暖费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31006</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大型修缮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公务员医疗补助缴费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30209</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物业管理费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31007</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信息网络及软件购置更新</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30112</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其他社会保障缴费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2.69</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30211</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差旅费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0.05</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31008</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物资储备</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30113</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住房公积金</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28.02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30212</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因公出国（境）费用</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土地补偿</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30114</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医疗费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30213</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维修（护）费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0.03</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31010</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安置补助</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30199</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其他工资福利支出</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30214</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租赁费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31011</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地上附着物和青苗补偿</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对个人和家庭的补助</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150.12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30215</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会议费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31012</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拆迁补偿</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离休费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30216</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培训费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0.73</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31013</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公务用车购置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30302</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退休费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145.54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30217</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公务接待费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其他交通工具购置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30303</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退职（役）费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30218</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专用材料费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31021</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文物和陈列品购置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30304</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抚恤金</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30224</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被装购置费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31022</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无形资产购置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30305</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生活补助</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4.58</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30225</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专用燃料费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31099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其他资本性支出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30306</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救济费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30226</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劳务费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其他支出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30307</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医疗费补助</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30227</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委托业务费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39906</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赠与</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30308</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助学金</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30228</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工会经费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39907</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国家赔偿费用支出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30309</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奖励金</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30229</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福利费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39908</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对民间非营利组织和群众性自治组织补贴</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30310</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个人农业生产补贴</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30231</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公务用车运行维护费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3.95</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39999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30311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代缴社会保险费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30239</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其他交通费用</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2730"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30399</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其他对个人和家庭的补助</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30240</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税金及附加费用</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09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2730"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286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30299</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其他商品和服务支出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1.34</w:t>
            </w:r>
          </w:p>
        </w:tc>
        <w:tc>
          <w:tcPr>
            <w:tcW w:w="109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2730"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40" w:hRule="atLeast"/>
        </w:trPr>
        <w:tc>
          <w:tcPr>
            <w:tcW w:w="37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人员经费合计</w:t>
            </w:r>
          </w:p>
        </w:tc>
        <w:tc>
          <w:tcPr>
            <w:tcW w:w="1930" w:type="dxa"/>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624.44</w:t>
            </w:r>
          </w:p>
        </w:tc>
        <w:tc>
          <w:tcPr>
            <w:tcW w:w="7040" w:type="dxa"/>
            <w:gridSpan w:val="4"/>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公用经费合计</w:t>
            </w:r>
          </w:p>
        </w:tc>
        <w:tc>
          <w:tcPr>
            <w:tcW w:w="128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18.31</w:t>
            </w:r>
          </w:p>
        </w:tc>
      </w:tr>
      <w:tr>
        <w:tblPrEx>
          <w:tblCellMar>
            <w:top w:w="0" w:type="dxa"/>
            <w:left w:w="108" w:type="dxa"/>
            <w:bottom w:w="0" w:type="dxa"/>
            <w:right w:w="108" w:type="dxa"/>
          </w:tblCellMar>
        </w:tblPrEx>
        <w:trPr>
          <w:trHeight w:val="308" w:hRule="atLeast"/>
        </w:trPr>
        <w:tc>
          <w:tcPr>
            <w:tcW w:w="13988" w:type="dxa"/>
            <w:gridSpan w:val="9"/>
            <w:tcBorders>
              <w:top w:val="nil"/>
              <w:left w:val="nil"/>
              <w:bottom w:val="nil"/>
              <w:right w:val="nil"/>
            </w:tcBorders>
            <w:shd w:val="clear" w:color="auto" w:fill="auto"/>
            <w:noWrap/>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本年度一般公共预算财政拨款基本支出明细情况。本表金额转换为万元时，因四舍五入可能存在尾差。</w:t>
            </w:r>
          </w:p>
        </w:tc>
      </w:tr>
    </w:tbl>
    <w:p>
      <w:pP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br w:type="page"/>
      </w:r>
    </w:p>
    <w:tbl>
      <w:tblPr>
        <w:tblStyle w:val="10"/>
        <w:tblW w:w="14136" w:type="dxa"/>
        <w:tblInd w:w="93" w:type="dxa"/>
        <w:tblLayout w:type="fixed"/>
        <w:tblCellMar>
          <w:top w:w="0" w:type="dxa"/>
          <w:left w:w="108" w:type="dxa"/>
          <w:bottom w:w="0" w:type="dxa"/>
          <w:right w:w="108" w:type="dxa"/>
        </w:tblCellMar>
      </w:tblPr>
      <w:tblGrid>
        <w:gridCol w:w="1036"/>
        <w:gridCol w:w="1100"/>
        <w:gridCol w:w="983"/>
        <w:gridCol w:w="1134"/>
        <w:gridCol w:w="1283"/>
        <w:gridCol w:w="1000"/>
        <w:gridCol w:w="1217"/>
        <w:gridCol w:w="1061"/>
        <w:gridCol w:w="339"/>
        <w:gridCol w:w="1350"/>
        <w:gridCol w:w="1400"/>
        <w:gridCol w:w="1183"/>
        <w:gridCol w:w="1050"/>
      </w:tblGrid>
      <w:tr>
        <w:tblPrEx>
          <w:tblCellMar>
            <w:top w:w="0" w:type="dxa"/>
            <w:left w:w="108" w:type="dxa"/>
            <w:bottom w:w="0" w:type="dxa"/>
            <w:right w:w="108" w:type="dxa"/>
          </w:tblCellMar>
        </w:tblPrEx>
        <w:trPr>
          <w:trHeight w:val="540" w:hRule="atLeast"/>
        </w:trPr>
        <w:tc>
          <w:tcPr>
            <w:tcW w:w="14136" w:type="dxa"/>
            <w:gridSpan w:val="13"/>
            <w:tcBorders>
              <w:top w:val="nil"/>
              <w:left w:val="nil"/>
              <w:bottom w:val="nil"/>
              <w:right w:val="nil"/>
            </w:tcBorders>
            <w:shd w:val="clear" w:color="auto" w:fill="auto"/>
            <w:noWrap/>
            <w:vAlign w:val="bottom"/>
          </w:tcPr>
          <w:p>
            <w:pPr>
              <w:widowControl/>
              <w:jc w:val="center"/>
              <w:textAlignment w:val="bottom"/>
              <w:rPr>
                <w:rFonts w:ascii="宋体" w:hAnsi="宋体" w:cs="宋体"/>
                <w:color w:val="auto"/>
                <w:sz w:val="44"/>
                <w:szCs w:val="44"/>
                <w:highlight w:val="none"/>
              </w:rPr>
            </w:pPr>
            <w:r>
              <w:rPr>
                <w:rFonts w:hint="eastAsia" w:ascii="宋体" w:hAnsi="宋体" w:cs="宋体"/>
                <w:color w:val="auto"/>
                <w:kern w:val="0"/>
                <w:sz w:val="30"/>
                <w:szCs w:val="30"/>
                <w:highlight w:val="none"/>
                <w:lang w:bidi="ar"/>
              </w:rPr>
              <w:t>一般公共预算财政拨款“三公”经费支出决算表</w:t>
            </w:r>
          </w:p>
        </w:tc>
      </w:tr>
      <w:tr>
        <w:tblPrEx>
          <w:tblCellMar>
            <w:top w:w="0" w:type="dxa"/>
            <w:left w:w="108" w:type="dxa"/>
            <w:bottom w:w="0" w:type="dxa"/>
            <w:right w:w="108" w:type="dxa"/>
          </w:tblCellMar>
        </w:tblPrEx>
        <w:trPr>
          <w:trHeight w:val="416" w:hRule="atLeast"/>
        </w:trPr>
        <w:tc>
          <w:tcPr>
            <w:tcW w:w="1036"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10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98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134"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8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00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1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00" w:type="dxa"/>
            <w:gridSpan w:val="2"/>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35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0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233" w:type="dxa"/>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公开07表</w:t>
            </w:r>
          </w:p>
        </w:tc>
      </w:tr>
      <w:tr>
        <w:tblPrEx>
          <w:tblCellMar>
            <w:top w:w="0" w:type="dxa"/>
            <w:left w:w="108" w:type="dxa"/>
            <w:bottom w:w="0" w:type="dxa"/>
            <w:right w:w="108" w:type="dxa"/>
          </w:tblCellMar>
        </w:tblPrEx>
        <w:trPr>
          <w:trHeight w:val="255" w:hRule="atLeast"/>
        </w:trPr>
        <w:tc>
          <w:tcPr>
            <w:tcW w:w="4253" w:type="dxa"/>
            <w:gridSpan w:val="4"/>
            <w:tcBorders>
              <w:top w:val="nil"/>
              <w:left w:val="nil"/>
              <w:bottom w:val="nil"/>
              <w:right w:val="nil"/>
            </w:tcBorders>
            <w:shd w:val="clear" w:color="auto" w:fill="auto"/>
            <w:noWrap/>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：许昌市公路养护中心</w:t>
            </w:r>
          </w:p>
        </w:tc>
        <w:tc>
          <w:tcPr>
            <w:tcW w:w="128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00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21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00" w:type="dxa"/>
            <w:gridSpan w:val="2"/>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35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0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233" w:type="dxa"/>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308" w:hRule="atLeast"/>
        </w:trPr>
        <w:tc>
          <w:tcPr>
            <w:tcW w:w="8814" w:type="dxa"/>
            <w:gridSpan w:val="8"/>
            <w:tcBorders>
              <w:top w:val="single" w:color="000000" w:sz="4" w:space="0"/>
              <w:left w:val="single" w:color="000000" w:sz="4" w:space="0"/>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预算数</w:t>
            </w:r>
          </w:p>
        </w:tc>
        <w:tc>
          <w:tcPr>
            <w:tcW w:w="5322" w:type="dxa"/>
            <w:gridSpan w:val="5"/>
            <w:tcBorders>
              <w:top w:val="single" w:color="000000" w:sz="4" w:space="0"/>
              <w:left w:val="nil"/>
              <w:bottom w:val="single" w:color="000000" w:sz="4" w:space="0"/>
              <w:right w:val="single" w:color="000000" w:sz="4" w:space="0"/>
            </w:tcBorders>
            <w:shd w:val="clear" w:color="FFFFFF" w:fill="FFFFFF" w:themeFill="background1"/>
            <w:vAlign w:val="center"/>
          </w:tcPr>
          <w:p>
            <w:pPr>
              <w:widowControl/>
              <w:ind w:right="2211" w:rightChars="1053"/>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决算数</w:t>
            </w:r>
          </w:p>
        </w:tc>
      </w:tr>
      <w:tr>
        <w:tblPrEx>
          <w:tblCellMar>
            <w:top w:w="0" w:type="dxa"/>
            <w:left w:w="108" w:type="dxa"/>
            <w:bottom w:w="0" w:type="dxa"/>
            <w:right w:w="108" w:type="dxa"/>
          </w:tblCellMar>
        </w:tblPrEx>
        <w:trPr>
          <w:trHeight w:val="308" w:hRule="atLeast"/>
        </w:trPr>
        <w:tc>
          <w:tcPr>
            <w:tcW w:w="1036" w:type="dxa"/>
            <w:vMerge w:val="restart"/>
            <w:tcBorders>
              <w:top w:val="nil"/>
              <w:left w:val="single" w:color="000000" w:sz="4" w:space="0"/>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100" w:type="dxa"/>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因公出国（境）费</w:t>
            </w:r>
          </w:p>
        </w:tc>
        <w:tc>
          <w:tcPr>
            <w:tcW w:w="3400" w:type="dxa"/>
            <w:gridSpan w:val="3"/>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公务用车购置及运行费</w:t>
            </w:r>
          </w:p>
        </w:tc>
        <w:tc>
          <w:tcPr>
            <w:tcW w:w="1000" w:type="dxa"/>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公务接待费</w:t>
            </w:r>
          </w:p>
        </w:tc>
        <w:tc>
          <w:tcPr>
            <w:tcW w:w="1217" w:type="dxa"/>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400" w:type="dxa"/>
            <w:gridSpan w:val="2"/>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因公出国（境）费</w:t>
            </w:r>
          </w:p>
        </w:tc>
        <w:tc>
          <w:tcPr>
            <w:tcW w:w="3933" w:type="dxa"/>
            <w:gridSpan w:val="3"/>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公务用车购置及运行费</w:t>
            </w:r>
          </w:p>
        </w:tc>
        <w:tc>
          <w:tcPr>
            <w:tcW w:w="1050" w:type="dxa"/>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公务接待费</w:t>
            </w:r>
          </w:p>
        </w:tc>
      </w:tr>
      <w:tr>
        <w:tblPrEx>
          <w:tblCellMar>
            <w:top w:w="0" w:type="dxa"/>
            <w:left w:w="108" w:type="dxa"/>
            <w:bottom w:w="0" w:type="dxa"/>
            <w:right w:w="108" w:type="dxa"/>
          </w:tblCellMar>
        </w:tblPrEx>
        <w:trPr>
          <w:trHeight w:val="615" w:hRule="atLeast"/>
        </w:trPr>
        <w:tc>
          <w:tcPr>
            <w:tcW w:w="1036" w:type="dxa"/>
            <w:vMerge w:val="continue"/>
            <w:tcBorders>
              <w:top w:val="nil"/>
              <w:left w:val="single" w:color="000000" w:sz="4" w:space="0"/>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100" w:type="dxa"/>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9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小计</w:t>
            </w:r>
          </w:p>
        </w:tc>
        <w:tc>
          <w:tcPr>
            <w:tcW w:w="1134"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公务用车购置费</w:t>
            </w:r>
          </w:p>
        </w:tc>
        <w:tc>
          <w:tcPr>
            <w:tcW w:w="12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公务用车运行费</w:t>
            </w:r>
          </w:p>
        </w:tc>
        <w:tc>
          <w:tcPr>
            <w:tcW w:w="1000" w:type="dxa"/>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217" w:type="dxa"/>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400" w:type="dxa"/>
            <w:gridSpan w:val="2"/>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c>
          <w:tcPr>
            <w:tcW w:w="135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小计</w:t>
            </w:r>
          </w:p>
        </w:tc>
        <w:tc>
          <w:tcPr>
            <w:tcW w:w="140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公务用车购置费</w:t>
            </w:r>
          </w:p>
        </w:tc>
        <w:tc>
          <w:tcPr>
            <w:tcW w:w="11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公务用车运行费</w:t>
            </w:r>
          </w:p>
        </w:tc>
        <w:tc>
          <w:tcPr>
            <w:tcW w:w="1050" w:type="dxa"/>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1036" w:type="dxa"/>
            <w:tcBorders>
              <w:top w:val="nil"/>
              <w:left w:val="single" w:color="000000" w:sz="4" w:space="0"/>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10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9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134"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2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00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1217"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c>
          <w:tcPr>
            <w:tcW w:w="1400" w:type="dxa"/>
            <w:gridSpan w:val="2"/>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w:t>
            </w:r>
          </w:p>
        </w:tc>
        <w:tc>
          <w:tcPr>
            <w:tcW w:w="135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w:t>
            </w:r>
          </w:p>
        </w:tc>
        <w:tc>
          <w:tcPr>
            <w:tcW w:w="140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w:t>
            </w:r>
          </w:p>
        </w:tc>
        <w:tc>
          <w:tcPr>
            <w:tcW w:w="11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w:t>
            </w:r>
          </w:p>
        </w:tc>
        <w:tc>
          <w:tcPr>
            <w:tcW w:w="105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w:t>
            </w:r>
          </w:p>
        </w:tc>
      </w:tr>
      <w:tr>
        <w:tblPrEx>
          <w:tblCellMar>
            <w:top w:w="0" w:type="dxa"/>
            <w:left w:w="108" w:type="dxa"/>
            <w:bottom w:w="0" w:type="dxa"/>
            <w:right w:w="108" w:type="dxa"/>
          </w:tblCellMar>
        </w:tblPrEx>
        <w:trPr>
          <w:trHeight w:val="308" w:hRule="atLeast"/>
        </w:trPr>
        <w:tc>
          <w:tcPr>
            <w:tcW w:w="1036"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4.00</w:t>
            </w:r>
          </w:p>
        </w:tc>
        <w:tc>
          <w:tcPr>
            <w:tcW w:w="11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98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4.00</w:t>
            </w:r>
          </w:p>
        </w:tc>
        <w:tc>
          <w:tcPr>
            <w:tcW w:w="10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3.95</w:t>
            </w:r>
          </w:p>
        </w:tc>
        <w:tc>
          <w:tcPr>
            <w:tcW w:w="14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3.95</w:t>
            </w:r>
          </w:p>
        </w:tc>
        <w:tc>
          <w:tcPr>
            <w:tcW w:w="14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18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3.95</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615" w:hRule="atLeast"/>
        </w:trPr>
        <w:tc>
          <w:tcPr>
            <w:tcW w:w="14136" w:type="dxa"/>
            <w:gridSpan w:val="13"/>
            <w:tcBorders>
              <w:top w:val="nil"/>
              <w:left w:val="nil"/>
              <w:bottom w:val="nil"/>
              <w:right w:val="nil"/>
            </w:tcBorders>
            <w:shd w:val="clear" w:color="auto" w:fill="auto"/>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br w:type="page"/>
      </w:r>
    </w:p>
    <w:tbl>
      <w:tblPr>
        <w:tblStyle w:val="10"/>
        <w:tblW w:w="14003" w:type="dxa"/>
        <w:tblInd w:w="93" w:type="dxa"/>
        <w:tblLayout w:type="fixed"/>
        <w:tblCellMar>
          <w:top w:w="0" w:type="dxa"/>
          <w:left w:w="108" w:type="dxa"/>
          <w:bottom w:w="0" w:type="dxa"/>
          <w:right w:w="108" w:type="dxa"/>
        </w:tblCellMar>
      </w:tblPr>
      <w:tblGrid>
        <w:gridCol w:w="2603"/>
        <w:gridCol w:w="240"/>
        <w:gridCol w:w="240"/>
        <w:gridCol w:w="1453"/>
        <w:gridCol w:w="1817"/>
        <w:gridCol w:w="1516"/>
        <w:gridCol w:w="1534"/>
        <w:gridCol w:w="1366"/>
        <w:gridCol w:w="1434"/>
        <w:gridCol w:w="1800"/>
      </w:tblGrid>
      <w:tr>
        <w:tblPrEx>
          <w:tblCellMar>
            <w:top w:w="0" w:type="dxa"/>
            <w:left w:w="108" w:type="dxa"/>
            <w:bottom w:w="0" w:type="dxa"/>
            <w:right w:w="108" w:type="dxa"/>
          </w:tblCellMar>
        </w:tblPrEx>
        <w:trPr>
          <w:trHeight w:val="390" w:hRule="atLeast"/>
        </w:trPr>
        <w:tc>
          <w:tcPr>
            <w:tcW w:w="14003" w:type="dxa"/>
            <w:gridSpan w:val="10"/>
            <w:tcBorders>
              <w:top w:val="nil"/>
              <w:left w:val="nil"/>
              <w:bottom w:val="nil"/>
              <w:right w:val="nil"/>
            </w:tcBorders>
            <w:shd w:val="clear" w:color="auto" w:fill="auto"/>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260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4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4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5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81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516"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534"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366"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34"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800"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公开08表</w:t>
            </w:r>
          </w:p>
        </w:tc>
      </w:tr>
      <w:tr>
        <w:tblPrEx>
          <w:tblCellMar>
            <w:top w:w="0" w:type="dxa"/>
            <w:left w:w="108" w:type="dxa"/>
            <w:bottom w:w="0" w:type="dxa"/>
            <w:right w:w="108" w:type="dxa"/>
          </w:tblCellMar>
        </w:tblPrEx>
        <w:trPr>
          <w:trHeight w:val="255" w:hRule="atLeast"/>
        </w:trPr>
        <w:tc>
          <w:tcPr>
            <w:tcW w:w="2603" w:type="dxa"/>
            <w:tcBorders>
              <w:top w:val="nil"/>
              <w:left w:val="nil"/>
              <w:bottom w:val="nil"/>
              <w:right w:val="nil"/>
            </w:tcBorders>
            <w:shd w:val="clear" w:color="auto" w:fill="auto"/>
            <w:noWrap/>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：许昌市公路养护中心</w:t>
            </w:r>
          </w:p>
        </w:tc>
        <w:tc>
          <w:tcPr>
            <w:tcW w:w="24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240"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53"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817"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516"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534"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366"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434" w:type="dxa"/>
            <w:tcBorders>
              <w:top w:val="nil"/>
              <w:left w:val="nil"/>
              <w:bottom w:val="nil"/>
              <w:right w:val="nil"/>
            </w:tcBorders>
            <w:shd w:val="clear" w:color="auto" w:fill="auto"/>
            <w:noWrap/>
            <w:vAlign w:val="bottom"/>
          </w:tcPr>
          <w:p>
            <w:pPr>
              <w:rPr>
                <w:rFonts w:ascii="Arial" w:hAnsi="Arial" w:cs="Arial"/>
                <w:color w:val="auto"/>
                <w:sz w:val="18"/>
                <w:szCs w:val="18"/>
                <w:highlight w:val="none"/>
              </w:rPr>
            </w:pPr>
          </w:p>
        </w:tc>
        <w:tc>
          <w:tcPr>
            <w:tcW w:w="1800"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308" w:hRule="atLeast"/>
        </w:trPr>
        <w:tc>
          <w:tcPr>
            <w:tcW w:w="453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181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年初结转和结余</w:t>
            </w:r>
          </w:p>
        </w:tc>
        <w:tc>
          <w:tcPr>
            <w:tcW w:w="151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本年收入</w:t>
            </w:r>
          </w:p>
        </w:tc>
        <w:tc>
          <w:tcPr>
            <w:tcW w:w="4334"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本年支出</w:t>
            </w:r>
          </w:p>
        </w:tc>
        <w:tc>
          <w:tcPr>
            <w:tcW w:w="18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年末结转和结余</w:t>
            </w:r>
          </w:p>
        </w:tc>
      </w:tr>
      <w:tr>
        <w:tblPrEx>
          <w:tblCellMar>
            <w:top w:w="0" w:type="dxa"/>
            <w:left w:w="108" w:type="dxa"/>
            <w:bottom w:w="0" w:type="dxa"/>
            <w:right w:w="108" w:type="dxa"/>
          </w:tblCellMar>
        </w:tblPrEx>
        <w:trPr>
          <w:trHeight w:val="319" w:hRule="atLeast"/>
        </w:trPr>
        <w:tc>
          <w:tcPr>
            <w:tcW w:w="3083"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p>
          <w:p>
            <w:pPr>
              <w:widowControl/>
              <w:jc w:val="center"/>
              <w:textAlignment w:val="center"/>
              <w:rPr>
                <w:rFonts w:ascii="宋体" w:hAnsi="宋体" w:cs="宋体"/>
                <w:color w:val="auto"/>
                <w:sz w:val="22"/>
                <w:highlight w:val="none"/>
              </w:rPr>
            </w:pPr>
          </w:p>
        </w:tc>
        <w:tc>
          <w:tcPr>
            <w:tcW w:w="1453"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81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5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53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小计</w:t>
            </w:r>
          </w:p>
        </w:tc>
        <w:tc>
          <w:tcPr>
            <w:tcW w:w="1366"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基本支出</w:t>
            </w:r>
          </w:p>
        </w:tc>
        <w:tc>
          <w:tcPr>
            <w:tcW w:w="143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项目支出</w:t>
            </w: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9" w:hRule="atLeast"/>
        </w:trPr>
        <w:tc>
          <w:tcPr>
            <w:tcW w:w="308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453"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auto"/>
                <w:sz w:val="22"/>
                <w:highlight w:val="none"/>
              </w:rPr>
            </w:pPr>
          </w:p>
        </w:tc>
        <w:tc>
          <w:tcPr>
            <w:tcW w:w="181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5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53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36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43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9" w:hRule="atLeast"/>
        </w:trPr>
        <w:tc>
          <w:tcPr>
            <w:tcW w:w="308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453"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auto"/>
                <w:sz w:val="22"/>
                <w:highlight w:val="none"/>
              </w:rPr>
            </w:pPr>
          </w:p>
        </w:tc>
        <w:tc>
          <w:tcPr>
            <w:tcW w:w="181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5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53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36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43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453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1817"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51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53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36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43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80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r>
      <w:tr>
        <w:tblPrEx>
          <w:tblCellMar>
            <w:top w:w="0" w:type="dxa"/>
            <w:left w:w="108" w:type="dxa"/>
            <w:bottom w:w="0" w:type="dxa"/>
            <w:right w:w="108" w:type="dxa"/>
          </w:tblCellMar>
        </w:tblPrEx>
        <w:trPr>
          <w:trHeight w:val="308" w:hRule="atLeast"/>
        </w:trPr>
        <w:tc>
          <w:tcPr>
            <w:tcW w:w="453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817"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c>
          <w:tcPr>
            <w:tcW w:w="1516"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c>
          <w:tcPr>
            <w:tcW w:w="1534"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c>
          <w:tcPr>
            <w:tcW w:w="1366"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c>
          <w:tcPr>
            <w:tcW w:w="1434"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c>
          <w:tcPr>
            <w:tcW w:w="180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auto"/>
                <w:sz w:val="22"/>
                <w:highlight w:val="none"/>
              </w:rPr>
            </w:pPr>
          </w:p>
        </w:tc>
      </w:tr>
      <w:tr>
        <w:tblPrEx>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auto"/>
                <w:sz w:val="22"/>
                <w:highlight w:val="none"/>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14003" w:type="dxa"/>
            <w:gridSpan w:val="10"/>
            <w:tcBorders>
              <w:top w:val="nil"/>
              <w:left w:val="nil"/>
              <w:bottom w:val="nil"/>
              <w:right w:val="nil"/>
            </w:tcBorders>
            <w:shd w:val="clear" w:color="auto" w:fill="auto"/>
            <w:noWrap/>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没有政府性基金收入，也没有使用政府性基金安排的支出，故本表无数据。</w:t>
      </w:r>
    </w:p>
    <w:p>
      <w:pPr>
        <w:outlineLvl w:val="0"/>
        <w:rPr>
          <w:rFonts w:ascii="黑体" w:hAnsi="黑体" w:eastAsia="黑体" w:cs="黑体"/>
          <w:color w:val="auto"/>
          <w:sz w:val="48"/>
          <w:szCs w:val="48"/>
          <w:highlight w:val="none"/>
        </w:rPr>
        <w:sectPr>
          <w:pgSz w:w="16838" w:h="11906" w:orient="landscape"/>
          <w:pgMar w:top="1803" w:right="1440" w:bottom="1803" w:left="1440" w:header="720" w:footer="720" w:gutter="0"/>
          <w:pgNumType w:fmt="numberInDash"/>
          <w:cols w:space="0" w:num="1"/>
          <w:docGrid w:type="lines" w:linePitch="319" w:charSpace="0"/>
        </w:sectPr>
      </w:pPr>
    </w:p>
    <w:p>
      <w:pPr>
        <w:jc w:val="cente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p>
    <w:p>
      <w:pP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ind w:firstLine="640" w:firstLineChars="200"/>
        <w:jc w:val="left"/>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2021年度收、支总计均为1481.15万元。与上年度相比，收、支总计各减少360.91万元，下降19.59%。主要原因是财政拨款比上年度减少。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ind w:firstLine="640" w:firstLineChars="200"/>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2021年度收入合计1236.61万元，其中：财政拨款收入1236.61万元，占100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ind w:firstLine="640" w:firstLineChars="200"/>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2021年度支出合计1481.15万元，其中：基本支出642.75万元，占43.40%；项目支出838.40万元，占56.60%；上缴上级支出0.00万元，占0.00%；经营支出0.00万元，占0.00%；对附属单位补助支出0.00万元，占0.00%。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ind w:firstLine="640" w:firstLineChars="200"/>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2021年度财政拨款收、支总计均为1481.15万元。与上年度相比，财政拨款收、支总计各减少360.91万元，下降19.59%。主要原因是财政拨款比上年度减少。</w:t>
      </w:r>
    </w:p>
    <w:p>
      <w:pPr>
        <w:widowControl/>
        <w:spacing w:line="59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（一）</w:t>
      </w:r>
      <w:r>
        <w:rPr>
          <w:rFonts w:hint="eastAsia" w:ascii="楷体_GB2312" w:hAnsi="楷体_GB2312" w:eastAsia="楷体_GB2312" w:cs="楷体_GB2312"/>
          <w:b/>
          <w:bCs/>
          <w:color w:val="auto"/>
          <w:sz w:val="32"/>
          <w:szCs w:val="32"/>
          <w:highlight w:val="none"/>
        </w:rPr>
        <w:t>总体情况。</w:t>
      </w:r>
    </w:p>
    <w:p>
      <w:pPr>
        <w:widowControl/>
        <w:ind w:firstLine="640" w:firstLineChars="200"/>
        <w:jc w:val="left"/>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2021年度一般公共预算财政拨款支出1481.15万元，占本年支出合计的100.00%。与上年度相比，一般公共预算财政拨款支出减少360.91万元，下降19.59%。主要原因是财政拨款比上年度减少。</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（二）</w:t>
      </w:r>
      <w:r>
        <w:rPr>
          <w:rFonts w:hint="eastAsia" w:ascii="楷体_GB2312" w:hAnsi="楷体_GB2312" w:eastAsia="楷体_GB2312" w:cs="楷体_GB2312"/>
          <w:b/>
          <w:bCs/>
          <w:color w:val="auto"/>
          <w:sz w:val="32"/>
          <w:szCs w:val="32"/>
          <w:highlight w:val="none"/>
        </w:rPr>
        <w:t>结构情况。</w:t>
      </w:r>
    </w:p>
    <w:p>
      <w:pPr>
        <w:widowControl/>
        <w:spacing w:line="590" w:lineRule="exact"/>
        <w:rPr>
          <w:rFonts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2021年度一般公共预算财政拨款支出1481.15万元，主要用于以下方面：一般公共服务（类）支出2.40万元，占0.16%；社会保障和就业支出167.81万元，占11.33%；卫生健康支出13.71万元，占0.93%；节能环保支出296.79万元，占20.04%；交通运输支出1000.44万元，占67.54%。</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（三）</w:t>
      </w:r>
      <w:r>
        <w:rPr>
          <w:rFonts w:hint="eastAsia" w:ascii="楷体_GB2312" w:hAnsi="楷体_GB2312" w:eastAsia="楷体_GB2312" w:cs="楷体_GB2312"/>
          <w:b/>
          <w:bCs/>
          <w:color w:val="auto"/>
          <w:sz w:val="32"/>
          <w:szCs w:val="32"/>
          <w:highlight w:val="none"/>
        </w:rPr>
        <w:t>具体情况。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2021年度一般公共预算财政拨款支出年初预算为555.28万元，支出决算为1481.15万元，完成年初预算的266.74%。其中：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rPr>
        <w:t>年初预算为2.40万元，支出决算为2.40万元，完成年初预算的10</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2.社会保障与就业支出（类）行政事业单位养老支出（款）事业单位离退休（项）。</w:t>
      </w:r>
      <w:r>
        <w:rPr>
          <w:rFonts w:hint="eastAsia" w:ascii="仿宋_GB2312" w:hAnsi="仿宋_GB2312" w:eastAsia="仿宋_GB2312" w:cs="仿宋_GB2312"/>
          <w:color w:val="auto"/>
          <w:sz w:val="32"/>
          <w:szCs w:val="32"/>
          <w:highlight w:val="none"/>
        </w:rPr>
        <w:t>年初预算为145.84万元，支出决算为138.67万元，完成年初预算95.08%。决算数与年初预算数存在差异的主要原因是财政年底收回结余资金。</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3.社会保障与就业支出（类）行政事业单位养老支出（款）机关事业单位基本养老保险缴费支出（项）。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年初预算为29.14万元，支出决算为29.14万元，完成年初预算的100.00%。决算数与年初预算数不存在差异。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4.卫生健康支出（类）行政事业单位医疗（款）事业单位医疗（项）。</w:t>
      </w:r>
      <w:r>
        <w:rPr>
          <w:rFonts w:hint="eastAsia" w:ascii="仿宋_GB2312" w:hAnsi="仿宋_GB2312" w:eastAsia="仿宋_GB2312" w:cs="仿宋_GB2312"/>
          <w:color w:val="auto"/>
          <w:sz w:val="32"/>
          <w:szCs w:val="32"/>
          <w:highlight w:val="none"/>
        </w:rPr>
        <w:t>年初预算为13.71万元，支出决算为13.71万元，完成年初预算的100.00%。决算数与年初预算数不存在差异。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5.节能环保支出（类）污染防治（款）大气（项）。</w:t>
      </w:r>
      <w:r>
        <w:rPr>
          <w:rFonts w:hint="eastAsia" w:ascii="仿宋_GB2312" w:hAnsi="仿宋_GB2312" w:eastAsia="仿宋_GB2312" w:cs="仿宋_GB2312"/>
          <w:color w:val="auto"/>
          <w:sz w:val="32"/>
          <w:szCs w:val="32"/>
          <w:highlight w:val="none"/>
        </w:rPr>
        <w:t>年初预算为0.00万元，支出决算为296.79万元。决算数与年初预算数存在差异的主要原因是属专项资金的项目不列入市级财政预算。</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6.交通运输支出（类）公路水路运输（款）行政运行（项）。</w:t>
      </w:r>
      <w:r>
        <w:rPr>
          <w:rFonts w:hint="eastAsia" w:ascii="仿宋_GB2312" w:hAnsi="仿宋_GB2312" w:eastAsia="仿宋_GB2312" w:cs="仿宋_GB2312"/>
          <w:color w:val="auto"/>
          <w:sz w:val="32"/>
          <w:szCs w:val="32"/>
          <w:highlight w:val="none"/>
        </w:rPr>
        <w:t>年初预算为0.00万元，支出决算为5.40万元。决算数与年初预算数存在差异主要原因是2</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20年度资金结转。</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7.交通运输支出（类）公路水路运输（款）公路建设（项）。</w:t>
      </w:r>
      <w:r>
        <w:rPr>
          <w:rFonts w:hint="eastAsia" w:ascii="仿宋_GB2312" w:hAnsi="仿宋_GB2312" w:eastAsia="仿宋_GB2312" w:cs="仿宋_GB2312"/>
          <w:color w:val="auto"/>
          <w:sz w:val="32"/>
          <w:szCs w:val="32"/>
          <w:highlight w:val="none"/>
        </w:rPr>
        <w:t>年初预算为0.00万元，支出决算为0.02万元。决算数与年初预算数存在差异主要原因是2</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20年度资金结转。</w:t>
      </w:r>
    </w:p>
    <w:p>
      <w:pPr>
        <w:widowControl/>
        <w:spacing w:line="590" w:lineRule="exact"/>
        <w:ind w:firstLine="643" w:firstLineChars="200"/>
        <w:rPr>
          <w:rFonts w:ascii="宋体" w:hAnsi="宋体" w:cs="宋体"/>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8．交通运输支出（类）公路水路运输（款）公路养护（项）。</w:t>
      </w:r>
      <w:r>
        <w:rPr>
          <w:rFonts w:hint="eastAsia" w:ascii="仿宋_GB2312" w:hAnsi="仿宋_GB2312" w:eastAsia="仿宋_GB2312" w:cs="仿宋_GB2312"/>
          <w:color w:val="auto"/>
          <w:sz w:val="32"/>
          <w:szCs w:val="32"/>
          <w:highlight w:val="none"/>
        </w:rPr>
        <w:t>年初预算为0.00万元，支出决算为354.05万元。决算数与年初预算数存在差异的主要原因是省补小修保养经费未纳入市财政年初预算。</w:t>
      </w:r>
    </w:p>
    <w:p>
      <w:pPr>
        <w:widowControl/>
        <w:spacing w:line="48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9.交通运输支出（类）公路水路运输（款）取消政府还贷二级公路收费专项支出（项）。</w:t>
      </w:r>
      <w:r>
        <w:rPr>
          <w:rFonts w:hint="eastAsia" w:ascii="仿宋_GB2312" w:hAnsi="仿宋_GB2312" w:eastAsia="仿宋_GB2312" w:cs="仿宋_GB2312"/>
          <w:color w:val="auto"/>
          <w:sz w:val="32"/>
          <w:szCs w:val="32"/>
          <w:highlight w:val="none"/>
        </w:rPr>
        <w:t>年初预算为0.00万元，支出决算为7.64万元。决算数与年初预算数存在差异的主要原因是按规定增加人员晋级晋档人员经费。</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10．交通运输支出（类）公路水路运输（款）其他公路水路运输支出（项）。</w:t>
      </w:r>
      <w:r>
        <w:rPr>
          <w:rFonts w:hint="eastAsia" w:ascii="仿宋_GB2312" w:hAnsi="仿宋_GB2312" w:eastAsia="仿宋_GB2312" w:cs="仿宋_GB2312"/>
          <w:color w:val="auto"/>
          <w:sz w:val="32"/>
          <w:szCs w:val="32"/>
          <w:highlight w:val="none"/>
        </w:rPr>
        <w:t>年初预算为0.00万元，支出决算为198.47万元。决算数与年初预算数存在差异的主要原因是省补小修保养经费未纳入市财政预算。</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11.交通运输支出（类）成品油价格改革对交通运输的补贴（款）成品油价格改革补贴其他支出（项）。</w:t>
      </w:r>
      <w:r>
        <w:rPr>
          <w:rFonts w:hint="eastAsia" w:ascii="仿宋_GB2312" w:hAnsi="仿宋_GB2312" w:eastAsia="仿宋_GB2312" w:cs="仿宋_GB2312"/>
          <w:color w:val="auto"/>
          <w:sz w:val="32"/>
          <w:szCs w:val="32"/>
          <w:highlight w:val="none"/>
        </w:rPr>
        <w:t>年初预算为364.19万元，支出决算为438.86万元，完成年初预算的98.78%。决算数与年初预算数存在差异的主要原因是按规定增加人员经费。</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2021年度一般公共预算财政拨款基本支出642.75万元。其中：人员经费624.44万元，主要包括：基本工资、津贴补贴、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、绩效工资、机关事业单位基本养老保险缴费、职业年金缴费、职工基本医疗保险缴费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住房公积金、</w:t>
      </w:r>
      <w:r>
        <w:rPr>
          <w:rFonts w:hint="eastAsia" w:ascii="仿宋_GB2312" w:hAnsi="仿宋_GB2312" w:eastAsia="仿宋_GB2312" w:cs="仿宋_GB2312"/>
          <w:color w:val="auto"/>
          <w:sz w:val="32"/>
          <w:szCs w:val="32"/>
          <w:highlight w:val="none"/>
        </w:rPr>
        <w:t>退休费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生活补助、住房公积金；公用经费18.31万元，主要包括：办公费、印刷费、水费、电费、邮电费、差旅费、维修（护）费、培训费、工会经费、福利费、公务用车运行维护费、其他商品和服务支出。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预算为4.00万元，支出决算为3.95万元，完成预算的98.75%。2021年度“三公”经费支出决算数与预算数存在差异的主要原因是持续深入贯彻落实中央八项规定，压缩“三公”经费支出。</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2021年度“三公”经费财政拨款支出决算中，因公出国（境）费支出决算0.00万元；公务用车购置及运行费支出决算3.95万元，完成预算的98.75%，占100%；公务接待费支出决算0.00万元。具体情况如下：</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完成预算的0.00%。</w:t>
      </w:r>
      <w:r>
        <w:rPr>
          <w:rFonts w:hint="eastAsia" w:ascii="仿宋_GB2312" w:hAnsi="仿宋_GB2312" w:eastAsia="仿宋_GB2312" w:cs="仿宋_GB2312"/>
          <w:color w:val="auto"/>
          <w:sz w:val="32"/>
          <w:szCs w:val="32"/>
          <w:highlight w:val="none"/>
        </w:rPr>
        <w:t>决算数与预算数不存在差异。全年因公出国（境）团组0个，累计0人次。</w:t>
      </w:r>
    </w:p>
    <w:p>
      <w:pPr>
        <w:widowControl/>
        <w:spacing w:line="59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预算为4.00万元，支出决算为3.95万元，完成预算的98.75%。决算数与预算数存在差异的主要原因是贯彻落实中央八项规定，压缩经费支出。其中：</w:t>
      </w:r>
    </w:p>
    <w:p>
      <w:pPr>
        <w:widowControl/>
        <w:spacing w:line="590" w:lineRule="exact"/>
        <w:ind w:firstLine="643" w:firstLineChars="200"/>
        <w:rPr>
          <w:rFonts w:asciiTheme="minorEastAsia" w:hAnsiTheme="minorEastAsia" w:eastAsiaTheme="minorEastAsia" w:cstheme="minorEastAsia"/>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0.00万元，购置车辆0辆。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3.95万元。主要用于公路养护、公路扬尘污染防治及路政巡查等。2021年期末，</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开支财政拨款的公务用车保有量为4辆。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预算为0.00万元，支出决算为0.00万元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完成预算的0.00%。</w:t>
      </w:r>
      <w:r>
        <w:rPr>
          <w:rFonts w:hint="eastAsia" w:ascii="仿宋_GB2312" w:hAnsi="仿宋_GB2312" w:eastAsia="仿宋_GB2312" w:cs="仿宋_GB2312"/>
          <w:color w:val="auto"/>
          <w:sz w:val="32"/>
          <w:szCs w:val="32"/>
          <w:highlight w:val="none"/>
        </w:rPr>
        <w:t>决算数与预算数不存在差异。其中：</w:t>
      </w:r>
    </w:p>
    <w:p>
      <w:pPr>
        <w:spacing w:line="560" w:lineRule="exact"/>
        <w:ind w:firstLine="643" w:firstLineChars="200"/>
        <w:rPr>
          <w:rFonts w:asciiTheme="minorEastAsia" w:hAnsiTheme="minorEastAsia" w:eastAsiaTheme="minorEastAsia" w:cstheme="minorEastAsia"/>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0.00万元。2021年共接待国（境）外来访团组0个、来访外宾0人次（不包括陪同人员）。</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0.00万元。2021年共接待国内来访团组0个、来宾0人次（不包括陪同人员）。</w:t>
      </w:r>
    </w:p>
    <w:p>
      <w:pPr>
        <w:spacing w:line="56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情况说明：我</w:t>
      </w:r>
      <w:r>
        <w:rPr>
          <w:rFonts w:hint="eastAsia" w:ascii="仿宋_GB2312" w:hAnsi="仿宋_GB2312" w:eastAsia="仿宋_GB2312" w:cs="仿宋_GB2312"/>
          <w:color w:val="auto"/>
          <w:sz w:val="32"/>
          <w:szCs w:val="32"/>
          <w:highlight w:val="none"/>
          <w:lang w:val="en-US" w:eastAsia="zh-CN"/>
        </w:rPr>
        <w:t>单位2021年度没有政府性基金收入，也没有使用政府性基金安排的支出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spacing w:line="56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6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年度我单位纳入预算绩效管理的支出总额为1481.15万元，其中：基本支出642.75万元</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838.40万元</w:t>
      </w:r>
      <w:r>
        <w:rPr>
          <w:rFonts w:hint="eastAsia" w:ascii="仿宋_GB2312" w:hAnsi="仿宋_GB2312" w:eastAsia="仿宋_GB2312" w:cs="仿宋_GB2312"/>
          <w:color w:val="auto"/>
          <w:sz w:val="32"/>
          <w:szCs w:val="32"/>
          <w:highlight w:val="none"/>
        </w:rPr>
        <w:t>。开展项目绩效自评项目0个，自评金额0万元；纳入重点绩效评价0个，评价金额0.00万元。</w:t>
      </w:r>
    </w:p>
    <w:p>
      <w:pPr>
        <w:pStyle w:val="9"/>
        <w:widowControl/>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为实现我单位整体及项目绩效目标，遵从文件全面实施预算绩效管理要求，达到提高财政资源配置效率和使用效益的目标，从我单位管理层到业务</w:t>
      </w:r>
      <w:r>
        <w:rPr>
          <w:rFonts w:hint="eastAsia" w:ascii="仿宋_GB2312" w:hAnsi="仿宋_GB2312" w:eastAsia="仿宋_GB2312" w:cs="仿宋_GB2312"/>
          <w:color w:val="auto"/>
          <w:kern w:val="2"/>
          <w:sz w:val="32"/>
          <w:szCs w:val="32"/>
          <w:highlight w:val="none"/>
          <w:lang w:eastAsia="zh-CN"/>
        </w:rPr>
        <w:t>单位</w:t>
      </w:r>
      <w:r>
        <w:rPr>
          <w:rFonts w:hint="eastAsia" w:ascii="仿宋_GB2312" w:hAnsi="仿宋_GB2312" w:eastAsia="仿宋_GB2312" w:cs="仿宋_GB2312"/>
          <w:color w:val="auto"/>
          <w:kern w:val="2"/>
          <w:sz w:val="32"/>
          <w:szCs w:val="32"/>
          <w:highlight w:val="none"/>
        </w:rPr>
        <w:t>都非常重视，把全面实施预算绩效管理理念不断融入业务活动和单位管理，逐步规范化。组织财务人员、业务科室相关人员积极参与许昌市预算绩效管理全流程实操培训，同时打印有预算绩效管理政策汇编资料和许昌市财政局关于印发《许昌市市级预算项目政策事前绩效评估管理办法》等6个办法的通知等文件供人员传阅，逐步从理论走向实践，提升了预算管理水平和政策实施效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〕1号）等文件精神，我单位对本单位整体绩效目标和项目支出绩效目标进行了自评。一是单位整体绩效自评情况整体绩效目标完成优。二是项目绩效自评情况。</w:t>
      </w:r>
      <w:r>
        <w:rPr>
          <w:rFonts w:hint="eastAsia" w:ascii="仿宋_GB2312" w:hAnsi="仿宋_GB2312" w:eastAsia="仿宋_GB2312" w:cs="仿宋_GB2312"/>
          <w:color w:val="auto"/>
          <w:sz w:val="32"/>
          <w:szCs w:val="32"/>
          <w:highlight w:val="none"/>
        </w:rPr>
        <w:t>我单位共有</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个项目批复了绩效目标。</w:t>
      </w:r>
      <w:r>
        <w:rPr>
          <w:rFonts w:hint="eastAsia" w:ascii="仿宋_GB2312" w:hAnsi="仿宋_GB2312" w:eastAsia="仿宋_GB2312" w:cs="仿宋_GB2312"/>
          <w:color w:val="auto"/>
          <w:sz w:val="32"/>
          <w:szCs w:val="32"/>
          <w:highlight w:val="none"/>
          <w:lang w:val="en-US" w:eastAsia="zh-CN"/>
        </w:rPr>
        <w:t>项目金额0.00万元。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w:t>
      </w:r>
      <w:r>
        <w:rPr>
          <w:rFonts w:hint="eastAsia" w:ascii="仿宋_GB2312" w:hAnsi="仿宋_GB2312" w:eastAsia="仿宋_GB2312" w:cs="仿宋_GB2312"/>
          <w:color w:val="auto"/>
          <w:sz w:val="32"/>
          <w:szCs w:val="32"/>
          <w:highlight w:val="none"/>
        </w:rPr>
        <w:t>绩效进行自评，绩效自评平均得分为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rPr>
        <w:t>年度我单位没有开展重点绩效评价的项目。</w:t>
      </w:r>
    </w:p>
    <w:p>
      <w:pPr>
        <w:widowControl/>
        <w:jc w:val="left"/>
        <w:rPr>
          <w:rFonts w:ascii="仿宋_GB2312" w:hAnsi="仿宋_GB2312" w:eastAsia="仿宋_GB2312" w:cs="仿宋_GB2312"/>
          <w:color w:val="auto"/>
          <w:sz w:val="32"/>
          <w:szCs w:val="32"/>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803" w:bottom="1440" w:left="1803" w:header="720" w:footer="720" w:gutter="0"/>
          <w:pgNumType w:fmt="numberInDash"/>
          <w:cols w:space="0" w:num="1"/>
          <w:docGrid w:type="lines" w:linePitch="319"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2gQt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FhSsQBAACQ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ycg1INweEhYu/WTUEWoqhoMqjKalypvw971kPfxI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dFhS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344C7"/>
    <w:rsid w:val="00120F80"/>
    <w:rsid w:val="00172A27"/>
    <w:rsid w:val="001A47E5"/>
    <w:rsid w:val="001E2C54"/>
    <w:rsid w:val="00230913"/>
    <w:rsid w:val="002960FE"/>
    <w:rsid w:val="002B0251"/>
    <w:rsid w:val="002E017B"/>
    <w:rsid w:val="002E0B09"/>
    <w:rsid w:val="002F1515"/>
    <w:rsid w:val="00342671"/>
    <w:rsid w:val="00344AAC"/>
    <w:rsid w:val="003E717A"/>
    <w:rsid w:val="003F162A"/>
    <w:rsid w:val="004607D7"/>
    <w:rsid w:val="004632F6"/>
    <w:rsid w:val="004B2564"/>
    <w:rsid w:val="004D13C4"/>
    <w:rsid w:val="004D1F0F"/>
    <w:rsid w:val="004E2540"/>
    <w:rsid w:val="004E2611"/>
    <w:rsid w:val="00503F52"/>
    <w:rsid w:val="00577EF9"/>
    <w:rsid w:val="005B1EF8"/>
    <w:rsid w:val="005C1FFC"/>
    <w:rsid w:val="005E59BD"/>
    <w:rsid w:val="006939FC"/>
    <w:rsid w:val="006F4CFD"/>
    <w:rsid w:val="00716966"/>
    <w:rsid w:val="00725BF9"/>
    <w:rsid w:val="00726BB4"/>
    <w:rsid w:val="00756254"/>
    <w:rsid w:val="007F5E9F"/>
    <w:rsid w:val="008D6868"/>
    <w:rsid w:val="008D6C33"/>
    <w:rsid w:val="00921B26"/>
    <w:rsid w:val="00951E06"/>
    <w:rsid w:val="00A35E8D"/>
    <w:rsid w:val="00A535FD"/>
    <w:rsid w:val="00AB16BE"/>
    <w:rsid w:val="00AB35C0"/>
    <w:rsid w:val="00B15BD4"/>
    <w:rsid w:val="00B56DFE"/>
    <w:rsid w:val="00B6066C"/>
    <w:rsid w:val="00B84C80"/>
    <w:rsid w:val="00B95D38"/>
    <w:rsid w:val="00BB3FDC"/>
    <w:rsid w:val="00BF2B0C"/>
    <w:rsid w:val="00BF3031"/>
    <w:rsid w:val="00C00AC5"/>
    <w:rsid w:val="00C027FE"/>
    <w:rsid w:val="00C05096"/>
    <w:rsid w:val="00C16FDA"/>
    <w:rsid w:val="00C50CAB"/>
    <w:rsid w:val="00C50E0F"/>
    <w:rsid w:val="00C600A2"/>
    <w:rsid w:val="00C72767"/>
    <w:rsid w:val="00C844DF"/>
    <w:rsid w:val="00C9305A"/>
    <w:rsid w:val="00D37C48"/>
    <w:rsid w:val="00D60042"/>
    <w:rsid w:val="00DA54B7"/>
    <w:rsid w:val="00DA7836"/>
    <w:rsid w:val="00DB187D"/>
    <w:rsid w:val="00DC0CE9"/>
    <w:rsid w:val="00DC7998"/>
    <w:rsid w:val="00DE1CE2"/>
    <w:rsid w:val="00E0417D"/>
    <w:rsid w:val="00E8710D"/>
    <w:rsid w:val="00EA36A8"/>
    <w:rsid w:val="00EF1408"/>
    <w:rsid w:val="00F51708"/>
    <w:rsid w:val="00FE50F6"/>
    <w:rsid w:val="02737492"/>
    <w:rsid w:val="027B54EE"/>
    <w:rsid w:val="029208BE"/>
    <w:rsid w:val="02ED7EC0"/>
    <w:rsid w:val="03174F3D"/>
    <w:rsid w:val="034456E0"/>
    <w:rsid w:val="03734B00"/>
    <w:rsid w:val="03854696"/>
    <w:rsid w:val="03EF7C67"/>
    <w:rsid w:val="04826322"/>
    <w:rsid w:val="049B394B"/>
    <w:rsid w:val="05F50BB5"/>
    <w:rsid w:val="06DB08CB"/>
    <w:rsid w:val="06F07A4A"/>
    <w:rsid w:val="076B451C"/>
    <w:rsid w:val="08C0483F"/>
    <w:rsid w:val="0934265E"/>
    <w:rsid w:val="097656FA"/>
    <w:rsid w:val="0A3E0EBF"/>
    <w:rsid w:val="0ABA1CA5"/>
    <w:rsid w:val="0B297F03"/>
    <w:rsid w:val="0B3B3792"/>
    <w:rsid w:val="0BA034EE"/>
    <w:rsid w:val="0C874655"/>
    <w:rsid w:val="0CFD0B30"/>
    <w:rsid w:val="0D5A6011"/>
    <w:rsid w:val="0E2D3866"/>
    <w:rsid w:val="0E6B2DC4"/>
    <w:rsid w:val="0EB75826"/>
    <w:rsid w:val="0F4C41C0"/>
    <w:rsid w:val="0F67724C"/>
    <w:rsid w:val="0FEC642F"/>
    <w:rsid w:val="106A2AF4"/>
    <w:rsid w:val="10805650"/>
    <w:rsid w:val="10950BCF"/>
    <w:rsid w:val="112371A2"/>
    <w:rsid w:val="11396BB4"/>
    <w:rsid w:val="116C28F7"/>
    <w:rsid w:val="11833F44"/>
    <w:rsid w:val="11EC12CB"/>
    <w:rsid w:val="1228313F"/>
    <w:rsid w:val="1252649B"/>
    <w:rsid w:val="129C720C"/>
    <w:rsid w:val="12F108CA"/>
    <w:rsid w:val="12FB66B3"/>
    <w:rsid w:val="132003E8"/>
    <w:rsid w:val="1340228E"/>
    <w:rsid w:val="13AB51D4"/>
    <w:rsid w:val="13BE783C"/>
    <w:rsid w:val="13BF7656"/>
    <w:rsid w:val="145F795F"/>
    <w:rsid w:val="14C17DD8"/>
    <w:rsid w:val="14DF7B05"/>
    <w:rsid w:val="153A2141"/>
    <w:rsid w:val="15AA6321"/>
    <w:rsid w:val="15E91814"/>
    <w:rsid w:val="160457F4"/>
    <w:rsid w:val="16167B9A"/>
    <w:rsid w:val="16675E2D"/>
    <w:rsid w:val="169072A3"/>
    <w:rsid w:val="16B73C96"/>
    <w:rsid w:val="16BE59A3"/>
    <w:rsid w:val="171C51F1"/>
    <w:rsid w:val="17215F32"/>
    <w:rsid w:val="17DD00AB"/>
    <w:rsid w:val="1857698B"/>
    <w:rsid w:val="18750B91"/>
    <w:rsid w:val="18CF2C8D"/>
    <w:rsid w:val="190F0738"/>
    <w:rsid w:val="199450E1"/>
    <w:rsid w:val="19DB061A"/>
    <w:rsid w:val="19F745E3"/>
    <w:rsid w:val="1A3D6976"/>
    <w:rsid w:val="1A930EF5"/>
    <w:rsid w:val="1AFC6A9A"/>
    <w:rsid w:val="1AFD0A64"/>
    <w:rsid w:val="1B721734"/>
    <w:rsid w:val="1BEC1C5A"/>
    <w:rsid w:val="1C110A53"/>
    <w:rsid w:val="1C4D4C57"/>
    <w:rsid w:val="1C80194D"/>
    <w:rsid w:val="1CD115AC"/>
    <w:rsid w:val="1D4B10E7"/>
    <w:rsid w:val="1D7477F7"/>
    <w:rsid w:val="1D867A65"/>
    <w:rsid w:val="1DCA254F"/>
    <w:rsid w:val="1E0565AE"/>
    <w:rsid w:val="1F5570C1"/>
    <w:rsid w:val="1F9D6372"/>
    <w:rsid w:val="200F7270"/>
    <w:rsid w:val="203211B0"/>
    <w:rsid w:val="20531852"/>
    <w:rsid w:val="207B4F91"/>
    <w:rsid w:val="20BB11A5"/>
    <w:rsid w:val="214D3189"/>
    <w:rsid w:val="21555156"/>
    <w:rsid w:val="215D487C"/>
    <w:rsid w:val="21E53F00"/>
    <w:rsid w:val="21E65C4D"/>
    <w:rsid w:val="21EF3D11"/>
    <w:rsid w:val="21F904BF"/>
    <w:rsid w:val="22011D0A"/>
    <w:rsid w:val="222039B6"/>
    <w:rsid w:val="225C10B1"/>
    <w:rsid w:val="22671907"/>
    <w:rsid w:val="22AD4B1E"/>
    <w:rsid w:val="22E10830"/>
    <w:rsid w:val="230C5CE8"/>
    <w:rsid w:val="23451001"/>
    <w:rsid w:val="23A924A0"/>
    <w:rsid w:val="24885034"/>
    <w:rsid w:val="25076767"/>
    <w:rsid w:val="250E0D77"/>
    <w:rsid w:val="25AA43E2"/>
    <w:rsid w:val="2614602E"/>
    <w:rsid w:val="26586904"/>
    <w:rsid w:val="268F207A"/>
    <w:rsid w:val="26905F10"/>
    <w:rsid w:val="26AD1590"/>
    <w:rsid w:val="26D165EC"/>
    <w:rsid w:val="26E52AD8"/>
    <w:rsid w:val="276554B9"/>
    <w:rsid w:val="27B41158"/>
    <w:rsid w:val="27CC3C98"/>
    <w:rsid w:val="27D22CD4"/>
    <w:rsid w:val="27F26C13"/>
    <w:rsid w:val="287907D7"/>
    <w:rsid w:val="294E0CF0"/>
    <w:rsid w:val="299164E2"/>
    <w:rsid w:val="29C25B43"/>
    <w:rsid w:val="29CC0689"/>
    <w:rsid w:val="2A0B31EA"/>
    <w:rsid w:val="2A88659C"/>
    <w:rsid w:val="2ABE3824"/>
    <w:rsid w:val="2AE06C7D"/>
    <w:rsid w:val="2B2730E9"/>
    <w:rsid w:val="2BA430B1"/>
    <w:rsid w:val="2C2A0F61"/>
    <w:rsid w:val="2C7528A5"/>
    <w:rsid w:val="2C8937A2"/>
    <w:rsid w:val="2CB55CB1"/>
    <w:rsid w:val="2D3447B9"/>
    <w:rsid w:val="2D455088"/>
    <w:rsid w:val="2D71156A"/>
    <w:rsid w:val="2DC44090"/>
    <w:rsid w:val="2DCB679B"/>
    <w:rsid w:val="2E1B6775"/>
    <w:rsid w:val="2E6C2B7C"/>
    <w:rsid w:val="2E763613"/>
    <w:rsid w:val="2EA25753"/>
    <w:rsid w:val="2F433B90"/>
    <w:rsid w:val="2F595534"/>
    <w:rsid w:val="2F940B9B"/>
    <w:rsid w:val="2FDB2CCA"/>
    <w:rsid w:val="2FFF7BCC"/>
    <w:rsid w:val="302A1EA4"/>
    <w:rsid w:val="3086532C"/>
    <w:rsid w:val="30A13F14"/>
    <w:rsid w:val="30BF7E02"/>
    <w:rsid w:val="30EA7003"/>
    <w:rsid w:val="30FA7FAF"/>
    <w:rsid w:val="318A6A18"/>
    <w:rsid w:val="324F79A0"/>
    <w:rsid w:val="32AB107A"/>
    <w:rsid w:val="32D22AAA"/>
    <w:rsid w:val="334B54F3"/>
    <w:rsid w:val="33CA19D4"/>
    <w:rsid w:val="33E60C4E"/>
    <w:rsid w:val="33FB52BF"/>
    <w:rsid w:val="341D5FA7"/>
    <w:rsid w:val="34407B9D"/>
    <w:rsid w:val="348266E3"/>
    <w:rsid w:val="350607E9"/>
    <w:rsid w:val="35325A82"/>
    <w:rsid w:val="353F3CFB"/>
    <w:rsid w:val="354130EB"/>
    <w:rsid w:val="359A7496"/>
    <w:rsid w:val="364041CF"/>
    <w:rsid w:val="36A0015F"/>
    <w:rsid w:val="36B95DF8"/>
    <w:rsid w:val="36CE5337"/>
    <w:rsid w:val="36F86858"/>
    <w:rsid w:val="36FD3E6E"/>
    <w:rsid w:val="37D84936"/>
    <w:rsid w:val="37E5630E"/>
    <w:rsid w:val="3872263A"/>
    <w:rsid w:val="38F35529"/>
    <w:rsid w:val="39821FD6"/>
    <w:rsid w:val="39AE702A"/>
    <w:rsid w:val="39FB7AAB"/>
    <w:rsid w:val="3A044B4A"/>
    <w:rsid w:val="3A1A4D37"/>
    <w:rsid w:val="3A9C3EFF"/>
    <w:rsid w:val="3AA27056"/>
    <w:rsid w:val="3AE50EA1"/>
    <w:rsid w:val="3BAE1BDB"/>
    <w:rsid w:val="3C2A59C6"/>
    <w:rsid w:val="3C9A5126"/>
    <w:rsid w:val="3CCC4EBA"/>
    <w:rsid w:val="3D050AAA"/>
    <w:rsid w:val="3D19146F"/>
    <w:rsid w:val="3D5B7F14"/>
    <w:rsid w:val="3D695DB9"/>
    <w:rsid w:val="3DA46DF1"/>
    <w:rsid w:val="3DA900A6"/>
    <w:rsid w:val="3DFA7860"/>
    <w:rsid w:val="3E397C13"/>
    <w:rsid w:val="3EED396A"/>
    <w:rsid w:val="3F6D3B56"/>
    <w:rsid w:val="3FA6268D"/>
    <w:rsid w:val="3FB80561"/>
    <w:rsid w:val="3FC01A98"/>
    <w:rsid w:val="3FDC4122"/>
    <w:rsid w:val="3FED796A"/>
    <w:rsid w:val="400B17FD"/>
    <w:rsid w:val="402825B4"/>
    <w:rsid w:val="402B55A8"/>
    <w:rsid w:val="4044666A"/>
    <w:rsid w:val="405F6BB7"/>
    <w:rsid w:val="41FB1123"/>
    <w:rsid w:val="423365A9"/>
    <w:rsid w:val="42A96C58"/>
    <w:rsid w:val="42AE7233"/>
    <w:rsid w:val="42C46549"/>
    <w:rsid w:val="432370CD"/>
    <w:rsid w:val="43346E69"/>
    <w:rsid w:val="4365714C"/>
    <w:rsid w:val="439830CF"/>
    <w:rsid w:val="444B446B"/>
    <w:rsid w:val="44593DBA"/>
    <w:rsid w:val="44884E24"/>
    <w:rsid w:val="449A71A0"/>
    <w:rsid w:val="44B21EAA"/>
    <w:rsid w:val="45295656"/>
    <w:rsid w:val="45372C41"/>
    <w:rsid w:val="4550160D"/>
    <w:rsid w:val="456A2101"/>
    <w:rsid w:val="45BE1FD0"/>
    <w:rsid w:val="45DD3C1A"/>
    <w:rsid w:val="462735FB"/>
    <w:rsid w:val="46E4456E"/>
    <w:rsid w:val="47821C2A"/>
    <w:rsid w:val="47EE0AE2"/>
    <w:rsid w:val="48060A78"/>
    <w:rsid w:val="489757B3"/>
    <w:rsid w:val="48CD73C5"/>
    <w:rsid w:val="49C449CF"/>
    <w:rsid w:val="49DA4D1C"/>
    <w:rsid w:val="4A542FC0"/>
    <w:rsid w:val="4AA17ACF"/>
    <w:rsid w:val="4B101F6A"/>
    <w:rsid w:val="4B241572"/>
    <w:rsid w:val="4B6D2F19"/>
    <w:rsid w:val="4B743F6F"/>
    <w:rsid w:val="4BAD5A0B"/>
    <w:rsid w:val="4C614230"/>
    <w:rsid w:val="4CBE2C20"/>
    <w:rsid w:val="4D7B0360"/>
    <w:rsid w:val="4D932422"/>
    <w:rsid w:val="4DA4699A"/>
    <w:rsid w:val="4DC35C9C"/>
    <w:rsid w:val="4DD81946"/>
    <w:rsid w:val="4E157897"/>
    <w:rsid w:val="4E4A5793"/>
    <w:rsid w:val="4F251D5C"/>
    <w:rsid w:val="4FBC621D"/>
    <w:rsid w:val="4FF77255"/>
    <w:rsid w:val="50131BB5"/>
    <w:rsid w:val="503264DF"/>
    <w:rsid w:val="509853C5"/>
    <w:rsid w:val="50D5671D"/>
    <w:rsid w:val="514855B3"/>
    <w:rsid w:val="51A437AD"/>
    <w:rsid w:val="51D06A77"/>
    <w:rsid w:val="51D12CAE"/>
    <w:rsid w:val="52036385"/>
    <w:rsid w:val="53A07C03"/>
    <w:rsid w:val="54C85664"/>
    <w:rsid w:val="55207684"/>
    <w:rsid w:val="55665FD9"/>
    <w:rsid w:val="5573066B"/>
    <w:rsid w:val="55A86647"/>
    <w:rsid w:val="55EC35D4"/>
    <w:rsid w:val="56111C07"/>
    <w:rsid w:val="5620774C"/>
    <w:rsid w:val="56293EE0"/>
    <w:rsid w:val="5640122A"/>
    <w:rsid w:val="56B22BD0"/>
    <w:rsid w:val="56CF2CD9"/>
    <w:rsid w:val="56F77B8A"/>
    <w:rsid w:val="574B60D8"/>
    <w:rsid w:val="577001B5"/>
    <w:rsid w:val="57770E0E"/>
    <w:rsid w:val="57A87F6C"/>
    <w:rsid w:val="57C46594"/>
    <w:rsid w:val="57D955D9"/>
    <w:rsid w:val="5857115F"/>
    <w:rsid w:val="58E40592"/>
    <w:rsid w:val="597E5016"/>
    <w:rsid w:val="599B5077"/>
    <w:rsid w:val="59AE7D12"/>
    <w:rsid w:val="5A5359CF"/>
    <w:rsid w:val="5AB02E22"/>
    <w:rsid w:val="5B12588A"/>
    <w:rsid w:val="5BAA04B1"/>
    <w:rsid w:val="5BB701E0"/>
    <w:rsid w:val="5C347530"/>
    <w:rsid w:val="5C4A2E02"/>
    <w:rsid w:val="5C5F01A9"/>
    <w:rsid w:val="5D8F1C08"/>
    <w:rsid w:val="5D9B0E39"/>
    <w:rsid w:val="5DE00119"/>
    <w:rsid w:val="5E031D2B"/>
    <w:rsid w:val="5E167440"/>
    <w:rsid w:val="5E896C77"/>
    <w:rsid w:val="5ED13367"/>
    <w:rsid w:val="5F2B0CC9"/>
    <w:rsid w:val="5F2E3B8B"/>
    <w:rsid w:val="5F4E4F94"/>
    <w:rsid w:val="5FB96D8B"/>
    <w:rsid w:val="5FC1162D"/>
    <w:rsid w:val="60864E23"/>
    <w:rsid w:val="60D11C1C"/>
    <w:rsid w:val="60D970E6"/>
    <w:rsid w:val="62BF00A6"/>
    <w:rsid w:val="63BF40D6"/>
    <w:rsid w:val="64E878B6"/>
    <w:rsid w:val="64F25DE5"/>
    <w:rsid w:val="65051FBC"/>
    <w:rsid w:val="65061C0F"/>
    <w:rsid w:val="65404DA2"/>
    <w:rsid w:val="654275B6"/>
    <w:rsid w:val="659A40A9"/>
    <w:rsid w:val="65E87914"/>
    <w:rsid w:val="66012783"/>
    <w:rsid w:val="66AF5051"/>
    <w:rsid w:val="66EC0116"/>
    <w:rsid w:val="67634214"/>
    <w:rsid w:val="67694278"/>
    <w:rsid w:val="678817D8"/>
    <w:rsid w:val="67F10FEB"/>
    <w:rsid w:val="67F75A8F"/>
    <w:rsid w:val="681B10CF"/>
    <w:rsid w:val="68274955"/>
    <w:rsid w:val="685221B2"/>
    <w:rsid w:val="68616067"/>
    <w:rsid w:val="68870495"/>
    <w:rsid w:val="68ED74A1"/>
    <w:rsid w:val="6907686C"/>
    <w:rsid w:val="69132EFA"/>
    <w:rsid w:val="692C3FBB"/>
    <w:rsid w:val="693B41FE"/>
    <w:rsid w:val="69692B1A"/>
    <w:rsid w:val="696E3DC4"/>
    <w:rsid w:val="69D859D9"/>
    <w:rsid w:val="6A297909"/>
    <w:rsid w:val="6A3063C2"/>
    <w:rsid w:val="6A456103"/>
    <w:rsid w:val="6AAB1ED1"/>
    <w:rsid w:val="6AB53CDC"/>
    <w:rsid w:val="6AF723A7"/>
    <w:rsid w:val="6B1F4423"/>
    <w:rsid w:val="6C0A7EB8"/>
    <w:rsid w:val="6C653A20"/>
    <w:rsid w:val="6CA976D1"/>
    <w:rsid w:val="6CB7787D"/>
    <w:rsid w:val="6D4F0278"/>
    <w:rsid w:val="6D9078DE"/>
    <w:rsid w:val="6DA85BDA"/>
    <w:rsid w:val="6DB53ED2"/>
    <w:rsid w:val="6DB620A5"/>
    <w:rsid w:val="6DC626CC"/>
    <w:rsid w:val="6E252136"/>
    <w:rsid w:val="6E7475E8"/>
    <w:rsid w:val="6EA07511"/>
    <w:rsid w:val="6EEB3730"/>
    <w:rsid w:val="6F1277AF"/>
    <w:rsid w:val="6F184928"/>
    <w:rsid w:val="6F327D4D"/>
    <w:rsid w:val="6F9D35CA"/>
    <w:rsid w:val="6FA04DBB"/>
    <w:rsid w:val="6FC1619E"/>
    <w:rsid w:val="700E4B1F"/>
    <w:rsid w:val="70186E57"/>
    <w:rsid w:val="70404F18"/>
    <w:rsid w:val="70577DED"/>
    <w:rsid w:val="7062494C"/>
    <w:rsid w:val="707A1AB0"/>
    <w:rsid w:val="709416E7"/>
    <w:rsid w:val="70A00DEB"/>
    <w:rsid w:val="70AD2C80"/>
    <w:rsid w:val="70D23628"/>
    <w:rsid w:val="70EB02B8"/>
    <w:rsid w:val="70EB475C"/>
    <w:rsid w:val="70F8390F"/>
    <w:rsid w:val="711315BD"/>
    <w:rsid w:val="71340475"/>
    <w:rsid w:val="71881FAB"/>
    <w:rsid w:val="72021766"/>
    <w:rsid w:val="72A62072"/>
    <w:rsid w:val="72AA6B1B"/>
    <w:rsid w:val="72AB5F51"/>
    <w:rsid w:val="735E0012"/>
    <w:rsid w:val="737E18B7"/>
    <w:rsid w:val="74143FCA"/>
    <w:rsid w:val="74273CFD"/>
    <w:rsid w:val="74D37FBD"/>
    <w:rsid w:val="766A6123"/>
    <w:rsid w:val="76845D5A"/>
    <w:rsid w:val="76AE4262"/>
    <w:rsid w:val="76B8193C"/>
    <w:rsid w:val="76E90249"/>
    <w:rsid w:val="77446BA1"/>
    <w:rsid w:val="778F0A81"/>
    <w:rsid w:val="77D311C4"/>
    <w:rsid w:val="78EF2D32"/>
    <w:rsid w:val="78FC3213"/>
    <w:rsid w:val="796C21B2"/>
    <w:rsid w:val="7A3507F6"/>
    <w:rsid w:val="7AC35E02"/>
    <w:rsid w:val="7B206133"/>
    <w:rsid w:val="7B42365B"/>
    <w:rsid w:val="7B5E4865"/>
    <w:rsid w:val="7B771E47"/>
    <w:rsid w:val="7C2D4984"/>
    <w:rsid w:val="7C7A5C40"/>
    <w:rsid w:val="7C7E24D5"/>
    <w:rsid w:val="7CCB74A0"/>
    <w:rsid w:val="7D2012E9"/>
    <w:rsid w:val="7D5F43F7"/>
    <w:rsid w:val="7D6D4202"/>
    <w:rsid w:val="7D9E227A"/>
    <w:rsid w:val="7DB71DCA"/>
    <w:rsid w:val="7DC66335"/>
    <w:rsid w:val="7DF52776"/>
    <w:rsid w:val="7F0C5FC9"/>
    <w:rsid w:val="7F327B46"/>
    <w:rsid w:val="7F57A5C7"/>
    <w:rsid w:val="7F7A4A4F"/>
    <w:rsid w:val="7F9B559F"/>
    <w:rsid w:val="7FAD0F21"/>
    <w:rsid w:val="7FCD0635"/>
    <w:rsid w:val="7FD36AE7"/>
    <w:rsid w:val="7FEC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annotation text"/>
    <w:basedOn w:val="1"/>
    <w:qFormat/>
    <w:uiPriority w:val="0"/>
    <w:pPr>
      <w:jc w:val="left"/>
    </w:pPr>
  </w:style>
  <w:style w:type="paragraph" w:styleId="5">
    <w:name w:val="Balloon Text"/>
    <w:basedOn w:val="1"/>
    <w:link w:val="24"/>
    <w:qFormat/>
    <w:uiPriority w:val="0"/>
    <w:rPr>
      <w:sz w:val="18"/>
      <w:szCs w:val="18"/>
    </w:r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jc w:val="left"/>
    </w:pPr>
    <w:rPr>
      <w:kern w:val="0"/>
      <w:sz w:val="24"/>
    </w:rPr>
  </w:style>
  <w:style w:type="character" w:styleId="12">
    <w:name w:val="FollowedHyperlink"/>
    <w:qFormat/>
    <w:uiPriority w:val="0"/>
    <w:rPr>
      <w:color w:val="800080"/>
      <w:u w:val="single"/>
    </w:rPr>
  </w:style>
  <w:style w:type="character" w:styleId="13">
    <w:name w:val="Emphasis"/>
    <w:basedOn w:val="11"/>
    <w:qFormat/>
    <w:uiPriority w:val="0"/>
  </w:style>
  <w:style w:type="character" w:styleId="14">
    <w:name w:val="HTML Definition"/>
    <w:basedOn w:val="11"/>
    <w:qFormat/>
    <w:uiPriority w:val="0"/>
  </w:style>
  <w:style w:type="character" w:styleId="15">
    <w:name w:val="HTML Typewriter"/>
    <w:basedOn w:val="11"/>
    <w:qFormat/>
    <w:uiPriority w:val="0"/>
    <w:rPr>
      <w:rFonts w:ascii="monospace" w:hAnsi="monospace" w:eastAsia="monospace" w:cs="monospace"/>
      <w:sz w:val="20"/>
    </w:rPr>
  </w:style>
  <w:style w:type="character" w:styleId="16">
    <w:name w:val="HTML Acronym"/>
    <w:basedOn w:val="11"/>
    <w:qFormat/>
    <w:uiPriority w:val="0"/>
  </w:style>
  <w:style w:type="character" w:styleId="17">
    <w:name w:val="HTML Variable"/>
    <w:basedOn w:val="11"/>
    <w:qFormat/>
    <w:uiPriority w:val="0"/>
  </w:style>
  <w:style w:type="character" w:styleId="18">
    <w:name w:val="Hyperlink"/>
    <w:qFormat/>
    <w:uiPriority w:val="0"/>
    <w:rPr>
      <w:color w:val="0000FF"/>
      <w:u w:val="single"/>
    </w:rPr>
  </w:style>
  <w:style w:type="character" w:styleId="19">
    <w:name w:val="HTML Code"/>
    <w:basedOn w:val="11"/>
    <w:qFormat/>
    <w:uiPriority w:val="0"/>
    <w:rPr>
      <w:rFonts w:hint="default" w:ascii="monospace" w:hAnsi="monospace" w:eastAsia="monospace" w:cs="monospace"/>
      <w:sz w:val="20"/>
    </w:rPr>
  </w:style>
  <w:style w:type="character" w:styleId="20">
    <w:name w:val="HTML Cite"/>
    <w:basedOn w:val="11"/>
    <w:qFormat/>
    <w:uiPriority w:val="0"/>
  </w:style>
  <w:style w:type="character" w:styleId="21">
    <w:name w:val="footnote reference"/>
    <w:qFormat/>
    <w:uiPriority w:val="0"/>
    <w:rPr>
      <w:vertAlign w:val="superscript"/>
    </w:rPr>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hint="default" w:ascii="monospace" w:hAnsi="monospace" w:eastAsia="monospace" w:cs="monospace"/>
    </w:rPr>
  </w:style>
  <w:style w:type="character" w:customStyle="1" w:styleId="24">
    <w:name w:val="批注框文本 字符"/>
    <w:link w:val="5"/>
    <w:qFormat/>
    <w:uiPriority w:val="0"/>
    <w:rPr>
      <w:kern w:val="2"/>
      <w:sz w:val="18"/>
      <w:szCs w:val="18"/>
    </w:rPr>
  </w:style>
  <w:style w:type="character" w:customStyle="1" w:styleId="25">
    <w:name w:val="页脚 字符"/>
    <w:link w:val="6"/>
    <w:qFormat/>
    <w:uiPriority w:val="0"/>
    <w:rPr>
      <w:kern w:val="2"/>
      <w:sz w:val="18"/>
      <w:szCs w:val="18"/>
    </w:rPr>
  </w:style>
  <w:style w:type="character" w:customStyle="1" w:styleId="26">
    <w:name w:val="页眉 字符"/>
    <w:link w:val="7"/>
    <w:qFormat/>
    <w:uiPriority w:val="0"/>
    <w:rPr>
      <w:kern w:val="2"/>
      <w:sz w:val="18"/>
      <w:szCs w:val="18"/>
    </w:rPr>
  </w:style>
  <w:style w:type="character" w:customStyle="1" w:styleId="27">
    <w:name w:val="font21"/>
    <w:qFormat/>
    <w:uiPriority w:val="0"/>
    <w:rPr>
      <w:rFonts w:hint="eastAsia" w:ascii="宋体" w:hAnsi="宋体" w:eastAsia="宋体" w:cs="宋体"/>
      <w:color w:val="000000"/>
      <w:sz w:val="22"/>
      <w:szCs w:val="22"/>
      <w:u w:val="none"/>
    </w:rPr>
  </w:style>
  <w:style w:type="character" w:customStyle="1" w:styleId="28">
    <w:name w:val="font41"/>
    <w:qFormat/>
    <w:uiPriority w:val="0"/>
    <w:rPr>
      <w:rFonts w:hint="eastAsia" w:ascii="宋体" w:hAnsi="宋体" w:eastAsia="宋体" w:cs="宋体"/>
      <w:color w:val="000000"/>
      <w:sz w:val="24"/>
      <w:szCs w:val="24"/>
      <w:u w:val="none"/>
    </w:rPr>
  </w:style>
  <w:style w:type="character" w:customStyle="1" w:styleId="29">
    <w:name w:val="font01"/>
    <w:qFormat/>
    <w:uiPriority w:val="0"/>
    <w:rPr>
      <w:rFonts w:hint="eastAsia" w:ascii="宋体" w:hAnsi="宋体" w:eastAsia="宋体" w:cs="宋体"/>
      <w:color w:val="000000"/>
      <w:sz w:val="22"/>
      <w:szCs w:val="22"/>
      <w:u w:val="none"/>
    </w:rPr>
  </w:style>
  <w:style w:type="character" w:customStyle="1" w:styleId="30">
    <w:name w:val="font11"/>
    <w:qFormat/>
    <w:uiPriority w:val="0"/>
    <w:rPr>
      <w:rFonts w:hint="eastAsia" w:ascii="宋体" w:hAnsi="宋体" w:eastAsia="宋体" w:cs="宋体"/>
      <w:color w:val="000000"/>
      <w:sz w:val="20"/>
      <w:szCs w:val="20"/>
      <w:u w:val="none"/>
    </w:rPr>
  </w:style>
  <w:style w:type="character" w:customStyle="1" w:styleId="31">
    <w:name w:val="font51"/>
    <w:qFormat/>
    <w:uiPriority w:val="0"/>
    <w:rPr>
      <w:rFonts w:hint="eastAsia" w:ascii="宋体" w:hAnsi="宋体" w:eastAsia="宋体" w:cs="宋体"/>
      <w:color w:val="000000"/>
      <w:sz w:val="24"/>
      <w:szCs w:val="24"/>
      <w:u w:val="none"/>
    </w:rPr>
  </w:style>
  <w:style w:type="paragraph" w:customStyle="1" w:styleId="32">
    <w:name w:val="标题1"/>
    <w:basedOn w:val="3"/>
    <w:qFormat/>
    <w:uiPriority w:val="0"/>
    <w:pPr>
      <w:spacing w:before="0" w:after="0" w:line="240" w:lineRule="auto"/>
      <w:jc w:val="center"/>
    </w:pPr>
    <w:rPr>
      <w:rFonts w:ascii="华文中宋" w:hAnsi="华文中宋" w:eastAsia="华文中宋"/>
      <w:sz w:val="36"/>
      <w:szCs w:val="36"/>
    </w:rPr>
  </w:style>
  <w:style w:type="character" w:customStyle="1" w:styleId="33">
    <w:name w:val="index-module_accountauthentication_3bwix"/>
    <w:basedOn w:val="11"/>
    <w:qFormat/>
    <w:uiPriority w:val="0"/>
  </w:style>
  <w:style w:type="character" w:customStyle="1" w:styleId="34">
    <w:name w:val="hover4"/>
    <w:basedOn w:val="11"/>
    <w:qFormat/>
    <w:uiPriority w:val="0"/>
    <w:rPr>
      <w:color w:val="315EF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33</Pages>
  <Words>8558</Words>
  <Characters>10752</Characters>
  <Lines>94</Lines>
  <Paragraphs>26</Paragraphs>
  <TotalTime>7</TotalTime>
  <ScaleCrop>false</ScaleCrop>
  <LinksUpToDate>false</LinksUpToDate>
  <CharactersWithSpaces>11037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2023-09-17T11:06:28Z</dcterms:modified>
  <dc:title>2020年度</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CD21FC6A1DC3452988CDF9D4FE9EA431</vt:lpwstr>
  </property>
</Properties>
</file>