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许昌市公安局（本级）单位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许昌市公安局（本级）</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bookmarkStart w:id="0" w:name="_GoBack"/>
      <w:bookmarkEnd w:id="0"/>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许昌市公安局（本级）</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wordWrap/>
        <w:adjustRightInd/>
        <w:snapToGrid/>
        <w:spacing w:line="240" w:lineRule="auto"/>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（一）贯彻落实国家公安工作法律、法规和方针、政策，制定全市公安工作的有关规定，部署、指导、监督全市公安工作。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（二）研究全市治安状况，分析治安形势，指导部署全市治安工作，为市委、市政府、省公安厅提供社会治安方面的重要信息。</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（三）负责全市公安民警的培训、教育、管理工作。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（四）指导、检查、监督全市公安机关执法活动。</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（五）指导全市公安机关组织实施侦查工作，依法处置危害国家安全、影响政治稳定、扰乱社会秩序、危害人民生命安全的各类刑事案件，危害国家安全的犯罪案件、经济犯罪案件和治安案件。</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负责全市治安管理工作。协调处置重大治安事故和群体性事件，指导监督全市公安机关依法查处破坏社会治安秩序行为，指导全市并组织实施对国家机关、社会团体、企事业单位治安保卫以及群众治安保卫的治安防范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（七）指导监督全市公安机关对公共信息网络的安全保护和安全监察工作。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（八）负责全市出入境管理工作。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（九）负责全市道路交通安全管理工作并承担相应责任。</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（十）组织开展全市公安科技工作。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（十一）研究掌握全市毒品违法犯罪动态，组织、指导对毒品犯罪案件的侦查工作。</w:t>
      </w:r>
    </w:p>
    <w:p>
      <w:pPr>
        <w:adjustRightInd w:val="0"/>
        <w:snapToGrid w:val="0"/>
        <w:spacing w:line="600" w:lineRule="exact"/>
        <w:ind w:firstLine="641"/>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（十二）指导监督全市公安机关依法承担的执行刑罚工作；管理市看守所、拘留所、戒毒所。</w:t>
      </w:r>
      <w:r>
        <w:rPr>
          <w:rFonts w:hint="eastAsia" w:ascii="仿宋_GB2312" w:hAnsi="仿宋" w:eastAsia="仿宋_GB2312"/>
          <w:color w:val="auto"/>
          <w:sz w:val="32"/>
          <w:szCs w:val="32"/>
          <w:highlight w:val="none"/>
        </w:rPr>
        <w:t>市看守所、拘留所、戒毒所负责市区在押人员监管工作。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（十三）组织实施党和国家领导人以及重要外宾在我市的安全警卫工作并承担相应责任。</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（十四）负责打击制售假冒商标卷烟、香烟走私以及市政府部署的其他打假任务。</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（十五）防范、处置邪教组织的违法犯罪活动。</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（十六）组织指导对恐怖活动的防范、侦查工作。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（十七）负责许昌市公安局承担的行政审批项目的审核、审批。</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（十八）负责全市公安队伍的监督管理，按规定实施对干部的监督，指导全市公安队伍的思想作风、工作作风建设。</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（十九）承办市委、市政府和省公安厅交办的其他事项。</w:t>
      </w:r>
    </w:p>
    <w:p>
      <w:pPr>
        <w:widowControl/>
        <w:wordWrap/>
        <w:adjustRightInd/>
        <w:snapToGrid/>
        <w:spacing w:line="240" w:lineRule="auto"/>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公安局(本级)内设机构21个，包括：政治部、警令部、警务保障部、法制支队、国内安全保卫支队、反恐怖工作支队、治安和出入境管理支队、刑事犯罪侦查支队、经济犯罪侦查支队、禁毒支队、督察支队、技术侦察支队、网络安全保卫支队、交通管理支队、监所管理支队、特殊警务支队、警官训练中心、魏都公安分局、开发区公安分局、东城公安分局、示范区公安分局。派驻机构为许昌市纪委驻局纪检监察组。</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许昌市公安局（本级）</w:t>
      </w:r>
      <w:r>
        <w:rPr>
          <w:rFonts w:hint="eastAsia" w:ascii="仿宋_GB2312" w:hAnsi="仿宋_GB2312" w:eastAsia="仿宋_GB2312" w:cs="仿宋_GB2312"/>
          <w:color w:val="auto"/>
          <w:kern w:val="0"/>
          <w:sz w:val="32"/>
          <w:szCs w:val="32"/>
          <w:highlight w:val="none"/>
          <w:lang w:eastAsia="zh-CN"/>
        </w:rPr>
        <w:t>单位决算</w:t>
      </w:r>
      <w:r>
        <w:rPr>
          <w:rFonts w:hint="eastAsia" w:ascii="仿宋_GB2312" w:hAnsi="仿宋_GB2312" w:eastAsia="仿宋_GB2312" w:cs="仿宋_GB2312"/>
          <w:color w:val="auto"/>
          <w:kern w:val="0"/>
          <w:sz w:val="32"/>
          <w:szCs w:val="32"/>
          <w:highlight w:val="none"/>
        </w:rPr>
        <w:t>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1.许昌市公安局（本级）</w:t>
      </w:r>
    </w:p>
    <w:p>
      <w:pPr>
        <w:widowControl/>
        <w:wordWrap/>
        <w:adjustRightInd/>
        <w:snapToGrid/>
        <w:spacing w:line="240" w:lineRule="auto"/>
        <w:jc w:val="left"/>
        <w:textAlignment w:val="auto"/>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40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5"/>
        <w:gridCol w:w="840"/>
        <w:gridCol w:w="1545"/>
        <w:gridCol w:w="4504"/>
        <w:gridCol w:w="84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59"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785"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84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54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50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238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674"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：许昌市公安局（本级）</w:t>
            </w:r>
          </w:p>
        </w:tc>
        <w:tc>
          <w:tcPr>
            <w:tcW w:w="238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7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收入</w:t>
            </w:r>
          </w:p>
        </w:tc>
        <w:tc>
          <w:tcPr>
            <w:tcW w:w="688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c>
          <w:tcPr>
            <w:tcW w:w="45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84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45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84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一、一般公共预算财政拨款收入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58,652.83</w:t>
            </w: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一、一般公共服务支出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二、政府性基金预算财政拨款收入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二、外交支出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三、国有资本经营预算财政拨款收入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三、国防支出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四、上级补助收入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四、公共安全支出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53,759.63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五、事业收入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五、教育支出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六、经营收入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六、科学技术支出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七、附属单位上缴收入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七、文化旅游体育与传媒支出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八、其他收入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八、社会保障和就业支出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九、卫生健康支出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十、节能环保支出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十一、城乡社区支出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十二、农林水支出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十三、交通运输支出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44</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十四、资源勘探工业信息等支出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十五、商业服务业等支出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十六、金融支出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47</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十七、援助其他地区支出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十八、自然资源海洋气象等支出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49</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十九、住房保障支出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二十、粮油物资储备支出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二十一、国有资本经营预算支出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二十二、灾害防治及应急管理支出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二十三、其他支出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二十四、债务还本支出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二十五、债务付息支出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二十六、抗疫特别国债安排的支出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本年收入合计</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59,329.03</w:t>
            </w:r>
          </w:p>
        </w:tc>
        <w:tc>
          <w:tcPr>
            <w:tcW w:w="45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本年支出合计</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72,508.79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使用非财政拨款结余</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结余分配</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年初结转和结余</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13,529.98</w:t>
            </w: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年末结转和结余</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50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61</w:t>
            </w:r>
          </w:p>
        </w:tc>
        <w:tc>
          <w:tcPr>
            <w:tcW w:w="15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84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72,859.02</w:t>
            </w:r>
          </w:p>
        </w:tc>
        <w:tc>
          <w:tcPr>
            <w:tcW w:w="45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62</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72,859.02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59"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956"/>
        <w:gridCol w:w="1428"/>
        <w:gridCol w:w="1392"/>
        <w:gridCol w:w="1343"/>
        <w:gridCol w:w="1214"/>
        <w:gridCol w:w="1208"/>
        <w:gridCol w:w="1068"/>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32"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95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42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39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343"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1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512"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106" w:type="dxa"/>
            <w:gridSpan w:val="7"/>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：许昌市公安局（本级）</w:t>
            </w:r>
          </w:p>
        </w:tc>
        <w:tc>
          <w:tcPr>
            <w:tcW w:w="121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512"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42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本年收入合计</w:t>
            </w:r>
          </w:p>
        </w:tc>
        <w:tc>
          <w:tcPr>
            <w:tcW w:w="139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财政拨款收入</w:t>
            </w:r>
          </w:p>
        </w:tc>
        <w:tc>
          <w:tcPr>
            <w:tcW w:w="134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上级补助收入</w:t>
            </w:r>
          </w:p>
        </w:tc>
        <w:tc>
          <w:tcPr>
            <w:tcW w:w="121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事业收入</w:t>
            </w:r>
          </w:p>
        </w:tc>
        <w:tc>
          <w:tcPr>
            <w:tcW w:w="120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经营收入</w:t>
            </w:r>
          </w:p>
        </w:tc>
        <w:tc>
          <w:tcPr>
            <w:tcW w:w="106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附属单位上缴收入</w:t>
            </w:r>
          </w:p>
        </w:tc>
        <w:tc>
          <w:tcPr>
            <w:tcW w:w="123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4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9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9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9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4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39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3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2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2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06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2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59,329.03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58,652.83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公共安全支出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41,430.76</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41,430.76</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公安</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41,370.76</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41,370.76</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34,616.58</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34,616.58</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3,824.29</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3,824.29</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2040250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事业运行</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435.56</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435.56</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其他公安支出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2,494.33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2,494.33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其他公共安全支出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60.00</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60.00</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其他公共安全支出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60.00</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60.00</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科学技术支出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其他科学技术支出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其他科学技术支出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3,358.16</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3,358.16</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3,028.54</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3,028.54</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行政单位离退休</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1,514.31</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1,514.31</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1,514.23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1,514.23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抚恤</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死亡抚恤</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伤残抚恤</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1,474.87</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1,474.87</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1,474.87</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1,474.87</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行政单位医疗</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780.76</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780.76</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694.11</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694.11</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c>
          <w:tcPr>
            <w:tcW w:w="13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c>
          <w:tcPr>
            <w:tcW w:w="13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c>
          <w:tcPr>
            <w:tcW w:w="13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32"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956"/>
        <w:gridCol w:w="1524"/>
        <w:gridCol w:w="1584"/>
        <w:gridCol w:w="1608"/>
        <w:gridCol w:w="1417"/>
        <w:gridCol w:w="1430"/>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19"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95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52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58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60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360"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59" w:type="dxa"/>
            <w:gridSpan w:val="7"/>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：许昌市公安局（本级）</w:t>
            </w:r>
          </w:p>
        </w:tc>
        <w:tc>
          <w:tcPr>
            <w:tcW w:w="4360"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52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本年支出合计</w:t>
            </w:r>
          </w:p>
        </w:tc>
        <w:tc>
          <w:tcPr>
            <w:tcW w:w="15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160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c>
          <w:tcPr>
            <w:tcW w:w="141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上缴上级支出</w:t>
            </w:r>
          </w:p>
        </w:tc>
        <w:tc>
          <w:tcPr>
            <w:tcW w:w="14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经营支出</w:t>
            </w:r>
          </w:p>
        </w:tc>
        <w:tc>
          <w:tcPr>
            <w:tcW w:w="151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52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1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2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1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2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1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52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6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4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4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51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72,508.79</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47,061.94</w:t>
            </w: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25,446.85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151.44</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20138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市场监督管理事务</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2013805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市场秩序执法</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公共安全支出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53,759.63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40,555.88</w:t>
            </w: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13,203.75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公安</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53,640.42</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40,555.88</w:t>
            </w: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13,084.54</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40,055.66</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40,055.66</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6,684.29</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6,684.29</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2040219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信息化建设</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2,400.00</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2,400.00</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2040250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事业运行</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500.23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500.23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其他公安支出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4,000.25</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4,000.25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其他公共安全支出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其他公共安全支出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科学技术支出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其他科学技术支出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其他科学技术支出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3,998.84</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3,998.84</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3,669.21</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3,669.21</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行政单位离退休</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1,880.02</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1,880.02</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1,789.19</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1,789.19</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抚恤</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死亡抚恤</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伤残抚恤</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行政单位医疗</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816.42</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816.42</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事业单位医疗</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3.48</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3.48</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806.56</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806.56</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节能环保支出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污染防治</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2110301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大气</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19"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86"/>
        <w:gridCol w:w="1284"/>
        <w:gridCol w:w="3516"/>
        <w:gridCol w:w="586"/>
        <w:gridCol w:w="1206"/>
        <w:gridCol w:w="1332"/>
        <w:gridCol w:w="1350"/>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48"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076"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58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8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51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58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0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794"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462"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：许昌市公安局（本级）</w:t>
            </w:r>
          </w:p>
        </w:tc>
        <w:tc>
          <w:tcPr>
            <w:tcW w:w="58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0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794"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收     入</w:t>
            </w:r>
          </w:p>
        </w:tc>
        <w:tc>
          <w:tcPr>
            <w:tcW w:w="9102"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5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2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5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20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33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一般公共预算财政拨款</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政府性基金预算财政拨款</w:t>
            </w:r>
          </w:p>
        </w:tc>
        <w:tc>
          <w:tcPr>
            <w:tcW w:w="111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0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3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1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58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58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33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11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一、一般公共预算财政拨款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58,652.83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一、一般公共服务支出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151.44</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151.44</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二、政府性基金预算财政拨款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二、外交支出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三、国有资本经营财政拨款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三、国防支出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四、公共安全支出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53,759.63</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53,759.63</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五、教育支出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六、科学技术支出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七、文化旅游体育与传媒支出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八、社会保障和就业支出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3,998.84</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3,998.84</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九、卫生健康支出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十、节能环保支出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十一、城乡社区支出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十二、农林水支出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44</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十三、交通运输支出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十四、资源勘探工业信息等支出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十五、商业服务业等支出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47</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十六、金融支出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十七、援助其他地区支出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49</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十八、自然资源海洋气象等支出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十九、住房保障支出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二十、粮油物资储备支出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二十一、国有资本经营预算支出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二十二、灾害防治及应急管理支出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二十三、其他支出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二十四、债务还本支出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56</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二十五、债务付息支出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二十六、抗疫特别国债安排的支出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本年收入合计</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58,652.83</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本年支出合计</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71,778.06</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71,778.06</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年初财政拨款结转和结余</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13,125.23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年末财政拨款结转和结余</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一般公共预算财政拨款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13,125.23</w:t>
            </w: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61</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政府性基金预算财政拨款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62</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国有资本经营预算财政拨款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63</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586"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71,778.06</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64</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71,778.06</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71,778.06</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48"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5165"/>
        <w:gridCol w:w="2383"/>
        <w:gridCol w:w="2469"/>
        <w:gridCol w:w="2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503"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516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2383"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96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535"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：许昌市公安局（本级）</w:t>
            </w:r>
          </w:p>
        </w:tc>
        <w:tc>
          <w:tcPr>
            <w:tcW w:w="496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5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7351"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516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23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246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249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1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3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46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4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1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3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46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4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52"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23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24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24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52"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71,778.06</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46,331.21</w:t>
            </w: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25,446.85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151.44</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20138</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市场监督管理事务</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2013805</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市场秩序执法</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公共安全支出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53,759.63</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40,555.88</w:t>
            </w: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13,203.75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公安</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53,640.42</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40,555.88</w:t>
            </w: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13,084.54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40,055.66</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40,055.66</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2040202</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6,684.29</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6,684.29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2040219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信息化建设</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2,400.00</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2040250</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事业运行</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500.23</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500.23</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2040299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其他公安支出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4,000.25</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其他公共安全支出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2049999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其他公共安全支出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科学技术支出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其他科学技术支出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2069999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其他科学技术支出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3,998.84</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3,998.84</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3,669.21</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3,669.21</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行政单位离退休</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1,880.02</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1,880.02</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1,789.19</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1,789.19</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抚恤</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死亡抚恤</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2080802</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伤残抚恤</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1,626.46</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行政单位医疗</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816.42</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816.42</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2101102</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事业单位医疗</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3.48</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3.48</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806.56</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806.56</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节能环保支出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21103</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污染防治</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2110301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大气</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3"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6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5"/>
        <w:gridCol w:w="2754"/>
        <w:gridCol w:w="1284"/>
        <w:gridCol w:w="816"/>
        <w:gridCol w:w="2508"/>
        <w:gridCol w:w="1212"/>
        <w:gridCol w:w="828"/>
        <w:gridCol w:w="2976"/>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461"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一般公共预算财政拨款基本支出决算</w:t>
            </w:r>
            <w:r>
              <w:rPr>
                <w:rFonts w:hint="eastAsia" w:ascii="宋体" w:hAnsi="宋体" w:cs="宋体"/>
                <w:i w:val="0"/>
                <w:iCs w:val="0"/>
                <w:color w:val="auto"/>
                <w:kern w:val="0"/>
                <w:sz w:val="30"/>
                <w:szCs w:val="30"/>
                <w:highlight w:val="none"/>
                <w:u w:val="none"/>
                <w:lang w:val="en-US" w:eastAsia="zh-CN"/>
              </w:rPr>
              <w:t>明细</w:t>
            </w:r>
            <w:r>
              <w:rPr>
                <w:rFonts w:hint="eastAsia" w:ascii="宋体" w:hAnsi="宋体" w:eastAsia="宋体" w:cs="宋体"/>
                <w:i w:val="0"/>
                <w:iCs w:val="0"/>
                <w:color w:val="auto"/>
                <w:kern w:val="0"/>
                <w:sz w:val="30"/>
                <w:szCs w:val="30"/>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775"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275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8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81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250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1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82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28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137"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：许昌市公安局（本级）</w:t>
            </w:r>
          </w:p>
        </w:tc>
        <w:tc>
          <w:tcPr>
            <w:tcW w:w="121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82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28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1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人员经费</w:t>
            </w:r>
          </w:p>
        </w:tc>
        <w:tc>
          <w:tcPr>
            <w:tcW w:w="9648"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275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2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c>
          <w:tcPr>
            <w:tcW w:w="8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25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21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c>
          <w:tcPr>
            <w:tcW w:w="8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29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3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7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9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工资福利支出</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32,543.16</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商品和服务支出</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11,284.08</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债务利息及费用支出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30101</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基本工资</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6,909.29</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30201</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办公费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582.87</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30701</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国内债务付息</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30102</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津贴补贴</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16,689.16</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30202</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印刷费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75.90</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30702</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国外债务付息</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30103</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奖金</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3,805.77</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30203</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咨询费</w:t>
            </w:r>
          </w:p>
        </w:tc>
        <w:tc>
          <w:tcPr>
            <w:tcW w:w="12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资本性支出</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30106</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伙食补助费</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30204</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手续费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28.93</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31001</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房屋建筑物购建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30107</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绩效工资</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30205</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水费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53.09</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31002</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办公设备购置</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30108</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1,789.19</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30206</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电费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358.61</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31003</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专用设备购置</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30109</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职业年金缴费</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30207</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邮电费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68.00</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31005</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基础设施建设</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30110</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职工基本医疗保险缴费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848.65</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30208</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取暖费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83.75</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31006</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大型修缮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30111</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公务员医疗补助缴费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806.56</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30209</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物业管理费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514.73</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31007</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信息网络及软件购置更新</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30112</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其他社会保障缴费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12.85</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30211</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差旅费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53.90</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31008</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物资储备</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30113</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住房公积金</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1,667.90</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30212</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因公出国（境）费用</w:t>
            </w:r>
          </w:p>
        </w:tc>
        <w:tc>
          <w:tcPr>
            <w:tcW w:w="12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31009</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土地补偿</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30114</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医疗费</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30213</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维修（护）费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711.79</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31010</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安置补助</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30199</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其他工资福利支出</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13.80</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30214</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租赁费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71.55</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31011</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地上附着物和青苗补偿</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对个人和家庭的补助</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2,292.17</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30215</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会议费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18.21</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31012</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拆迁补偿</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30301</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离休费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50.04</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30216</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培训费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5.96</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31013</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公务用车购置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30302</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退休费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1,791.89</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30217</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公务接待费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2.99</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31019</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其他交通工具购置</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30303</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退职（役）费</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30218</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专用材料费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18.45</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31021</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文物和陈列品购置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30304</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抚恤金</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277.12</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30224</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被装购置费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156.75</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31022</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无形资产购置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30305</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生活补助</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96.65</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30225</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专用燃料费</w:t>
            </w:r>
          </w:p>
        </w:tc>
        <w:tc>
          <w:tcPr>
            <w:tcW w:w="12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31099</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其他资本性支出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30306</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救济费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30.00</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30226</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劳务费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5,501.54</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30307</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医疗费补助</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38.59</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30227</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委托业务费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41.53</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39906</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赠与</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30308</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助学金</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30228</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工会经费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150.03</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39907</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国家赔偿费用支出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30309</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奖励金</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7.88</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30229</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福利费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286.97</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39908</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对民间非营利组织和群众性自治组织补贴</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30310</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个人农业生产补贴</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30231</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公务用车运行维护费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648.88</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39999</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30311</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代缴社会保险费</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30239</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其他交通费用</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1,325.76</w:t>
            </w:r>
          </w:p>
        </w:tc>
        <w:tc>
          <w:tcPr>
            <w:tcW w:w="82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97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30399</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其他对个人和家庭的补助</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30240</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税金及附加费用</w:t>
            </w:r>
          </w:p>
        </w:tc>
        <w:tc>
          <w:tcPr>
            <w:tcW w:w="12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97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75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30299</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其他商品和服务支出</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523.91</w:t>
            </w:r>
          </w:p>
        </w:tc>
        <w:tc>
          <w:tcPr>
            <w:tcW w:w="82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97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2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人员经费合计</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34,835.33</w:t>
            </w:r>
          </w:p>
        </w:tc>
        <w:tc>
          <w:tcPr>
            <w:tcW w:w="834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公用经费合计</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11,495.88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61"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2"/>
        <w:gridCol w:w="1044"/>
        <w:gridCol w:w="1096"/>
        <w:gridCol w:w="1104"/>
        <w:gridCol w:w="1152"/>
        <w:gridCol w:w="1188"/>
        <w:gridCol w:w="1152"/>
        <w:gridCol w:w="1068"/>
        <w:gridCol w:w="1224"/>
        <w:gridCol w:w="1248"/>
        <w:gridCol w:w="1320"/>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957"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52"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104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9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10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15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18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15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6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2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77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736"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：许昌市公安局（本级）</w:t>
            </w:r>
          </w:p>
        </w:tc>
        <w:tc>
          <w:tcPr>
            <w:tcW w:w="115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6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2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77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3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预算数</w:t>
            </w:r>
          </w:p>
        </w:tc>
        <w:tc>
          <w:tcPr>
            <w:tcW w:w="7221"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04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因公出国（境）费</w:t>
            </w:r>
          </w:p>
        </w:tc>
        <w:tc>
          <w:tcPr>
            <w:tcW w:w="3352"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公务用车购置及运行费</w:t>
            </w:r>
          </w:p>
        </w:tc>
        <w:tc>
          <w:tcPr>
            <w:tcW w:w="118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公务接待费</w:t>
            </w:r>
          </w:p>
        </w:tc>
        <w:tc>
          <w:tcPr>
            <w:tcW w:w="115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06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因公出国（境）费</w:t>
            </w:r>
          </w:p>
        </w:tc>
        <w:tc>
          <w:tcPr>
            <w:tcW w:w="3792"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公务用车购置及运行费</w:t>
            </w:r>
          </w:p>
        </w:tc>
        <w:tc>
          <w:tcPr>
            <w:tcW w:w="120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5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1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公务用车购置费</w:t>
            </w:r>
          </w:p>
        </w:tc>
        <w:tc>
          <w:tcPr>
            <w:tcW w:w="11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公务用车运行费</w:t>
            </w:r>
          </w:p>
        </w:tc>
        <w:tc>
          <w:tcPr>
            <w:tcW w:w="118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6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2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2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公务用车购置费</w:t>
            </w:r>
          </w:p>
        </w:tc>
        <w:tc>
          <w:tcPr>
            <w:tcW w:w="13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公务用车运行费</w:t>
            </w:r>
          </w:p>
        </w:tc>
        <w:tc>
          <w:tcPr>
            <w:tcW w:w="120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0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1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1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1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1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06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22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2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3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2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1,363.44</w:t>
            </w:r>
          </w:p>
        </w:tc>
        <w:tc>
          <w:tcPr>
            <w:tcW w:w="10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1,347.94</w:t>
            </w:r>
          </w:p>
        </w:tc>
        <w:tc>
          <w:tcPr>
            <w:tcW w:w="11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271.94</w:t>
            </w:r>
          </w:p>
        </w:tc>
        <w:tc>
          <w:tcPr>
            <w:tcW w:w="11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1,076.00</w:t>
            </w:r>
          </w:p>
        </w:tc>
        <w:tc>
          <w:tcPr>
            <w:tcW w:w="11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15.50</w:t>
            </w:r>
          </w:p>
        </w:tc>
        <w:tc>
          <w:tcPr>
            <w:tcW w:w="11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925.38</w:t>
            </w: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922.39</w:t>
            </w:r>
          </w:p>
        </w:tc>
        <w:tc>
          <w:tcPr>
            <w:tcW w:w="12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271.94</w:t>
            </w:r>
          </w:p>
        </w:tc>
        <w:tc>
          <w:tcPr>
            <w:tcW w:w="13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650.45</w:t>
            </w:r>
          </w:p>
        </w:tc>
        <w:tc>
          <w:tcPr>
            <w:tcW w:w="12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57"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3"/>
        <w:gridCol w:w="373"/>
        <w:gridCol w:w="373"/>
        <w:gridCol w:w="1842"/>
        <w:gridCol w:w="1818"/>
        <w:gridCol w:w="1647"/>
        <w:gridCol w:w="1818"/>
        <w:gridCol w:w="1738"/>
        <w:gridCol w:w="1708"/>
        <w:gridCol w:w="1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509"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73"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373"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73"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84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81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647"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81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526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26"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：许昌市公安局（本级）</w:t>
            </w:r>
          </w:p>
        </w:tc>
        <w:tc>
          <w:tcPr>
            <w:tcW w:w="181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526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81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年初结转和结余</w:t>
            </w:r>
          </w:p>
        </w:tc>
        <w:tc>
          <w:tcPr>
            <w:tcW w:w="164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本年收入</w:t>
            </w:r>
          </w:p>
        </w:tc>
        <w:tc>
          <w:tcPr>
            <w:tcW w:w="526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w:t>
            </w:r>
          </w:p>
        </w:tc>
        <w:tc>
          <w:tcPr>
            <w:tcW w:w="181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184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81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73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17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c>
          <w:tcPr>
            <w:tcW w:w="18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1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1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1"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8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6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8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73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7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81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1"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9"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本年度政府性基金预算财政拨款收入、支出及结转和结余情况。本表金额转换为万元时，因四舍五入可能存在尾差。</w:t>
            </w:r>
          </w:p>
        </w:tc>
      </w:tr>
    </w:tbl>
    <w:p>
      <w:pPr>
        <w:widowControl/>
        <w:jc w:val="left"/>
        <w:textAlignment w:val="center"/>
        <w:rPr>
          <w:rFonts w:hint="eastAsia" w:ascii="宋体" w:hAnsi="宋体" w:eastAsia="宋体" w:cs="宋体"/>
          <w:i w:val="0"/>
          <w:iCs w:val="0"/>
          <w:color w:val="auto"/>
          <w:kern w:val="0"/>
          <w:sz w:val="22"/>
          <w:szCs w:val="22"/>
          <w:highlight w:val="none"/>
          <w:u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i w:val="0"/>
          <w:iCs w:val="0"/>
          <w:color w:val="auto"/>
          <w:kern w:val="0"/>
          <w:sz w:val="22"/>
          <w:szCs w:val="22"/>
          <w:highlight w:val="none"/>
          <w:u w:val="none"/>
          <w:lang w:val="en-US" w:eastAsia="zh-CN"/>
        </w:rPr>
        <w:t>说明：我</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olor w:val="auto"/>
          <w:sz w:val="32"/>
          <w:szCs w:val="24"/>
          <w:highlight w:val="none"/>
        </w:rPr>
        <w:t>72,859.02</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olor w:val="auto"/>
          <w:sz w:val="32"/>
          <w:szCs w:val="24"/>
          <w:highlight w:val="none"/>
        </w:rPr>
        <w:t>6,486.5</w:t>
      </w:r>
      <w:r>
        <w:rPr>
          <w:rFonts w:hint="eastAsia" w:ascii="仿宋_GB2312" w:hAnsi="仿宋_GB2312" w:eastAsia="仿宋_GB2312"/>
          <w:color w:val="auto"/>
          <w:sz w:val="32"/>
          <w:szCs w:val="24"/>
          <w:highlight w:val="none"/>
          <w:lang w:val="en-US" w:eastAsia="zh-CN"/>
        </w:rPr>
        <w:t>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9.77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1、工资福利支出增加；2、大要案办案费用增加；3、房屋建筑物构建支出增加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olor w:val="auto"/>
          <w:sz w:val="32"/>
          <w:szCs w:val="24"/>
          <w:highlight w:val="none"/>
        </w:rPr>
        <w:t>59,329.03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olor w:val="auto"/>
          <w:sz w:val="32"/>
          <w:szCs w:val="24"/>
          <w:highlight w:val="none"/>
        </w:rPr>
        <w:t>58,652.83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rPr>
        <w:t>98.86</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olor w:val="auto"/>
          <w:sz w:val="32"/>
          <w:szCs w:val="24"/>
          <w:highlight w:val="none"/>
        </w:rPr>
        <w:t>676.21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1.14</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olor w:val="auto"/>
          <w:sz w:val="32"/>
          <w:szCs w:val="24"/>
          <w:highlight w:val="none"/>
        </w:rPr>
        <w:t>72,508.79</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olor w:val="auto"/>
          <w:sz w:val="32"/>
          <w:szCs w:val="24"/>
          <w:highlight w:val="none"/>
        </w:rPr>
        <w:t>47,061.94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rPr>
        <w:t>64.91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olor w:val="auto"/>
          <w:sz w:val="32"/>
          <w:szCs w:val="24"/>
          <w:highlight w:val="none"/>
        </w:rPr>
        <w:t>25,446.85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rPr>
        <w:t>35.09</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olor w:val="auto"/>
          <w:sz w:val="32"/>
          <w:szCs w:val="24"/>
          <w:highlight w:val="none"/>
        </w:rPr>
        <w:t>71,778.06</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olor w:val="auto"/>
          <w:sz w:val="32"/>
          <w:szCs w:val="24"/>
          <w:highlight w:val="none"/>
        </w:rPr>
        <w:t>6,576.3</w:t>
      </w:r>
      <w:r>
        <w:rPr>
          <w:rFonts w:hint="eastAsia" w:ascii="仿宋_GB2312" w:hAnsi="仿宋_GB2312" w:eastAsia="仿宋_GB2312"/>
          <w:color w:val="auto"/>
          <w:sz w:val="32"/>
          <w:szCs w:val="24"/>
          <w:highlight w:val="none"/>
          <w:lang w:val="en-US" w:eastAsia="zh-CN"/>
        </w:rPr>
        <w:t>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olor w:val="auto"/>
          <w:sz w:val="32"/>
          <w:szCs w:val="24"/>
          <w:highlight w:val="none"/>
        </w:rPr>
        <w:t>10.09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1、工资福利支出增加；2、大要案办案费用增加；3、房屋建筑物构建支出增加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rPr>
        <w:t>71,778.06</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olor w:val="auto"/>
          <w:sz w:val="32"/>
          <w:szCs w:val="24"/>
          <w:highlight w:val="none"/>
        </w:rPr>
        <w:t>98.99</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olor w:val="auto"/>
          <w:sz w:val="32"/>
          <w:szCs w:val="24"/>
          <w:highlight w:val="none"/>
        </w:rPr>
        <w:t>20,707.3</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40.55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1、工资福利支出增加；2、大要案办案费用增加；3、房屋建筑物构建支出增加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rPr>
        <w:t>71,778.06</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151.44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公共安全（类）支出53</w:t>
      </w:r>
      <w:r>
        <w:rPr>
          <w:rFonts w:hint="eastAsia" w:ascii="仿宋_GB2312" w:hAnsi="仿宋_GB2312" w:eastAsia="仿宋_GB2312"/>
          <w:color w:val="auto"/>
          <w:sz w:val="32"/>
          <w:szCs w:val="24"/>
          <w:highlight w:val="none"/>
        </w:rPr>
        <w:t>,</w:t>
      </w:r>
      <w:r>
        <w:rPr>
          <w:rFonts w:hint="eastAsia" w:ascii="仿宋_GB2312" w:hAnsi="仿宋_GB2312" w:eastAsia="仿宋_GB2312" w:cs="仿宋_GB2312"/>
          <w:color w:val="auto"/>
          <w:sz w:val="32"/>
          <w:szCs w:val="32"/>
          <w:highlight w:val="none"/>
          <w:lang w:val="en-US" w:eastAsia="zh-CN"/>
        </w:rPr>
        <w:t>759.63万元，占74.90%；科学技术（类）支出12</w:t>
      </w:r>
      <w:r>
        <w:rPr>
          <w:rFonts w:hint="eastAsia" w:ascii="仿宋_GB2312" w:hAnsi="仿宋_GB2312" w:eastAsia="仿宋_GB2312"/>
          <w:color w:val="auto"/>
          <w:sz w:val="32"/>
          <w:szCs w:val="24"/>
          <w:highlight w:val="none"/>
        </w:rPr>
        <w:t>,</w:t>
      </w:r>
      <w:r>
        <w:rPr>
          <w:rFonts w:hint="eastAsia" w:ascii="仿宋_GB2312" w:hAnsi="仿宋_GB2312" w:eastAsia="仿宋_GB2312" w:cs="仿宋_GB2312"/>
          <w:color w:val="auto"/>
          <w:sz w:val="32"/>
          <w:szCs w:val="32"/>
          <w:highlight w:val="none"/>
          <w:lang w:val="en-US" w:eastAsia="zh-CN"/>
        </w:rPr>
        <w:t>239.01万元，占17.05%；社会保障和就业（类）支出3</w:t>
      </w:r>
      <w:r>
        <w:rPr>
          <w:rFonts w:hint="eastAsia" w:ascii="仿宋_GB2312" w:hAnsi="仿宋_GB2312" w:eastAsia="仿宋_GB2312"/>
          <w:color w:val="auto"/>
          <w:sz w:val="32"/>
          <w:szCs w:val="24"/>
          <w:highlight w:val="none"/>
        </w:rPr>
        <w:t>,</w:t>
      </w:r>
      <w:r>
        <w:rPr>
          <w:rFonts w:hint="eastAsia" w:ascii="仿宋_GB2312" w:hAnsi="仿宋_GB2312" w:eastAsia="仿宋_GB2312" w:cs="仿宋_GB2312"/>
          <w:color w:val="auto"/>
          <w:sz w:val="32"/>
          <w:szCs w:val="32"/>
          <w:highlight w:val="none"/>
          <w:lang w:val="en-US" w:eastAsia="zh-CN"/>
        </w:rPr>
        <w:t>998.84万元，占5.57%；卫生健康（类）支出1</w:t>
      </w:r>
      <w:r>
        <w:rPr>
          <w:rFonts w:hint="eastAsia" w:ascii="仿宋_GB2312" w:hAnsi="仿宋_GB2312" w:eastAsia="仿宋_GB2312"/>
          <w:color w:val="auto"/>
          <w:sz w:val="32"/>
          <w:szCs w:val="24"/>
          <w:highlight w:val="none"/>
        </w:rPr>
        <w:t>,</w:t>
      </w:r>
      <w:r>
        <w:rPr>
          <w:rFonts w:hint="eastAsia" w:ascii="仿宋_GB2312" w:hAnsi="仿宋_GB2312" w:eastAsia="仿宋_GB2312" w:cs="仿宋_GB2312"/>
          <w:color w:val="auto"/>
          <w:sz w:val="32"/>
          <w:szCs w:val="32"/>
          <w:highlight w:val="none"/>
          <w:lang w:val="en-US" w:eastAsia="zh-CN"/>
        </w:rPr>
        <w:t>626.46万元，占2.26%；节能环保（类）支出2.68万元，占0.01%。</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rPr>
        <w:t>42,935.87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rPr>
        <w:t>71,778.06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olor w:val="auto"/>
          <w:sz w:val="32"/>
          <w:szCs w:val="24"/>
          <w:highlight w:val="none"/>
        </w:rPr>
        <w:t>167.18</w:t>
      </w:r>
      <w:r>
        <w:rPr>
          <w:rFonts w:hint="eastAsia" w:ascii="仿宋_GB2312" w:hAnsi="仿宋_GB2312" w:eastAsia="仿宋_GB2312" w:cs="仿宋_GB2312"/>
          <w:color w:val="auto"/>
          <w:sz w:val="32"/>
          <w:szCs w:val="32"/>
          <w:highlight w:val="none"/>
        </w:rPr>
        <w:t>%。其中：</w:t>
      </w:r>
    </w:p>
    <w:p>
      <w:pPr>
        <w:widowControl/>
        <w:numPr>
          <w:ilvl w:val="0"/>
          <w:numId w:val="0"/>
        </w:numPr>
        <w:wordWrap/>
        <w:adjustRightInd/>
        <w:snapToGrid/>
        <w:spacing w:line="590" w:lineRule="exact"/>
        <w:ind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年初预算为150.03万元，支出决算为150.03万元，完成年初预算的100.00%。</w:t>
      </w:r>
      <w:r>
        <w:rPr>
          <w:rFonts w:hint="eastAsia" w:ascii="仿宋_GB2312" w:eastAsia="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numPr>
          <w:ilvl w:val="0"/>
          <w:numId w:val="0"/>
        </w:numPr>
        <w:wordWrap/>
        <w:adjustRightInd/>
        <w:snapToGrid/>
        <w:spacing w:line="590" w:lineRule="exact"/>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2．一般公共服务支出（类）市场监督管理事务（款）市场秩序执法（项）。</w:t>
      </w:r>
      <w:r>
        <w:rPr>
          <w:rFonts w:hint="eastAsia" w:ascii="仿宋_GB2312" w:hAnsi="仿宋_GB2312" w:eastAsia="仿宋_GB2312" w:cs="仿宋_GB2312"/>
          <w:color w:val="auto"/>
          <w:sz w:val="32"/>
          <w:szCs w:val="32"/>
          <w:highlight w:val="none"/>
          <w:lang w:val="en-US" w:eastAsia="zh-CN"/>
        </w:rPr>
        <w:t>年初预算为0.00万元，支出决算为1.41万元。</w:t>
      </w:r>
      <w:r>
        <w:rPr>
          <w:rFonts w:hint="eastAsia" w:ascii="仿宋_GB2312" w:eastAsia="仿宋_GB2312"/>
          <w:color w:val="auto"/>
          <w:sz w:val="32"/>
          <w:szCs w:val="32"/>
          <w:highlight w:val="none"/>
          <w:lang w:val="en-US" w:eastAsia="zh-CN"/>
        </w:rPr>
        <w:t>决算数与年初预算数存在差异的主要原因是该项支出决算数为2020年结转资金支出。</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3．公共安全支出（类）公安（款）行政运行（项）。</w:t>
      </w:r>
      <w:r>
        <w:rPr>
          <w:rFonts w:hint="eastAsia" w:ascii="仿宋_GB2312" w:hAnsi="仿宋_GB2312" w:eastAsia="仿宋_GB2312" w:cs="仿宋_GB2312"/>
          <w:color w:val="auto"/>
          <w:sz w:val="32"/>
          <w:szCs w:val="32"/>
          <w:highlight w:val="none"/>
          <w:lang w:val="en-US" w:eastAsia="zh-CN"/>
        </w:rPr>
        <w:t>年初预算为34,648.95万元，支出决算为40,055.66万元，完成年初预算的115.60%。决算数与年初预算数存在差异的主要原因是</w:t>
      </w:r>
      <w:r>
        <w:rPr>
          <w:rFonts w:hint="eastAsia" w:ascii="仿宋_GB2312" w:eastAsia="仿宋_GB2312"/>
          <w:color w:val="auto"/>
          <w:sz w:val="32"/>
          <w:szCs w:val="32"/>
          <w:highlight w:val="none"/>
          <w:lang w:val="en-US" w:eastAsia="zh-CN"/>
        </w:rPr>
        <w:t>该项支出决算数包含2020年结转资金支出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4．公共安全支出（类）公安（款）一般行政管理事务（项）。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年初预算为0.00万元，支出决算为6,684.29万元。决算数与年初预算数存在差异的主要原因是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该项支出决算数为2021年年中追加资金支出和2020年结转资金支出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5．公共安全支出（类）公安（款）信息化建设（项）。</w:t>
      </w:r>
      <w:r>
        <w:rPr>
          <w:rFonts w:hint="eastAsia" w:ascii="仿宋_GB2312" w:hAnsi="仿宋_GB2312" w:eastAsia="仿宋_GB2312" w:cs="仿宋_GB2312"/>
          <w:color w:val="auto"/>
          <w:sz w:val="32"/>
          <w:szCs w:val="32"/>
          <w:highlight w:val="none"/>
          <w:lang w:val="en-US" w:eastAsia="zh-CN"/>
        </w:rPr>
        <w:t>年初预算为0.00万元，支出决算为2,400.00万元。决算数与年初预算数存在差异的主要原因是</w:t>
      </w:r>
      <w:r>
        <w:rPr>
          <w:rFonts w:hint="eastAsia" w:ascii="仿宋_GB2312" w:eastAsia="仿宋_GB2312"/>
          <w:color w:val="auto"/>
          <w:sz w:val="32"/>
          <w:szCs w:val="32"/>
          <w:highlight w:val="none"/>
          <w:lang w:val="en-US" w:eastAsia="zh-CN"/>
        </w:rPr>
        <w:t>该项支出决算数为2020年结转资金支出。</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6．公共安全支出（类）公安（款）事业运行（项）。</w:t>
      </w:r>
      <w:r>
        <w:rPr>
          <w:rFonts w:hint="eastAsia" w:ascii="仿宋_GB2312" w:hAnsi="仿宋_GB2312" w:eastAsia="仿宋_GB2312" w:cs="仿宋_GB2312"/>
          <w:color w:val="auto"/>
          <w:sz w:val="32"/>
          <w:szCs w:val="32"/>
          <w:highlight w:val="none"/>
          <w:lang w:val="en-US" w:eastAsia="zh-CN"/>
        </w:rPr>
        <w:t>年初预算为1,154.45万元，支出决算为500.23万元，完成年初预算的43.33%。</w:t>
      </w:r>
      <w:r>
        <w:rPr>
          <w:rFonts w:hint="eastAsia" w:ascii="仿宋_GB2312" w:eastAsia="仿宋_GB2312"/>
          <w:color w:val="auto"/>
          <w:sz w:val="32"/>
          <w:szCs w:val="32"/>
          <w:highlight w:val="none"/>
          <w:lang w:val="en-US" w:eastAsia="zh-CN"/>
        </w:rPr>
        <w:t>决算数与年初预算数存在差异的主要原因是2021年事业编人员支出有所减少。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7．公共安全支出（类）公安（款）其他公安支出（项）。</w:t>
      </w:r>
      <w:r>
        <w:rPr>
          <w:rFonts w:hint="eastAsia" w:ascii="仿宋_GB2312" w:hAnsi="仿宋_GB2312" w:eastAsia="仿宋_GB2312" w:cs="仿宋_GB2312"/>
          <w:color w:val="auto"/>
          <w:sz w:val="32"/>
          <w:szCs w:val="32"/>
          <w:highlight w:val="none"/>
          <w:lang w:val="en-US" w:eastAsia="zh-CN"/>
        </w:rPr>
        <w:t>年初预算为1,895.00万元，支出决算为4,000.25万元，完成年初预算的211.09%。决算数与年初预算数存在差异的主要原因是</w:t>
      </w:r>
      <w:r>
        <w:rPr>
          <w:rFonts w:hint="eastAsia" w:ascii="仿宋_GB2312" w:eastAsia="仿宋_GB2312"/>
          <w:color w:val="auto"/>
          <w:sz w:val="32"/>
          <w:szCs w:val="32"/>
          <w:highlight w:val="none"/>
          <w:lang w:val="en-US" w:eastAsia="zh-CN"/>
        </w:rPr>
        <w:t>该项支出决算数包含2021年年中追加资金支出和2020年结转资金支出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8．公共安全支出（类）其他公共安全支出（款）其他公共安全支出（项）。</w:t>
      </w:r>
      <w:r>
        <w:rPr>
          <w:rFonts w:hint="eastAsia" w:ascii="仿宋_GB2312" w:hAnsi="仿宋_GB2312" w:eastAsia="仿宋_GB2312" w:cs="仿宋_GB2312"/>
          <w:color w:val="auto"/>
          <w:sz w:val="32"/>
          <w:szCs w:val="32"/>
          <w:highlight w:val="none"/>
          <w:lang w:val="en-US" w:eastAsia="zh-CN"/>
        </w:rPr>
        <w:t>年初预算为0.00万元，支出决算为119.21万元。决算数与年初预算数存在差异的主要原因是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该项支出决算数为2021年年中追加资金支出和2020年结转资金支出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9．科学技术支出（类）其他科学技术支出（款）其他科学技术支出（项）。</w:t>
      </w:r>
      <w:r>
        <w:rPr>
          <w:rFonts w:hint="eastAsia" w:ascii="仿宋_GB2312" w:hAnsi="仿宋_GB2312" w:eastAsia="仿宋_GB2312" w:cs="仿宋_GB2312"/>
          <w:color w:val="auto"/>
          <w:sz w:val="32"/>
          <w:szCs w:val="32"/>
          <w:highlight w:val="none"/>
          <w:lang w:val="en-US" w:eastAsia="zh-CN"/>
        </w:rPr>
        <w:t>年初预算为0.00万元，支出决算为12,239.01万元。决算数与年初预算数存在差异的主要原因是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年初预算为1,611.84万元，支出决算为</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880.02</w:t>
      </w:r>
      <w:r>
        <w:rPr>
          <w:rFonts w:hint="eastAsia" w:ascii="仿宋_GB2312" w:hAnsi="仿宋_GB2312" w:eastAsia="仿宋_GB2312" w:cs="仿宋_GB2312"/>
          <w:color w:val="auto"/>
          <w:sz w:val="32"/>
          <w:szCs w:val="32"/>
          <w:highlight w:val="none"/>
          <w:lang w:val="en-US" w:eastAsia="zh-CN"/>
        </w:rPr>
        <w:t>万元，完成年初预算的116.64%。决算数与年初预算数存在差异的主要原因是2021年新增加退休人员。</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年初预算为1,753.14万元，支出决算为1,789.19万元，完成年初预算的102.06%。决算数与年初预算数存在差异的主要原因是</w:t>
      </w:r>
      <w:r>
        <w:rPr>
          <w:rFonts w:hint="eastAsia" w:ascii="仿宋_GB2312" w:eastAsia="仿宋_GB2312"/>
          <w:color w:val="auto"/>
          <w:sz w:val="32"/>
          <w:szCs w:val="32"/>
          <w:highlight w:val="none"/>
          <w:lang w:val="en-US" w:eastAsia="zh-CN"/>
        </w:rPr>
        <w:t>该项支出决算数包含2020年结转资金支出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年初预算为0.00万元，支出决算为307.12万元。决算数与年初预算数存在差异的主要原因是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13．社会保障和就业支出（类）抚恤（款）伤残抚恤（项）。</w:t>
      </w:r>
      <w:r>
        <w:rPr>
          <w:rFonts w:hint="eastAsia" w:ascii="仿宋_GB2312" w:hAnsi="仿宋_GB2312" w:eastAsia="仿宋_GB2312" w:cs="仿宋_GB2312"/>
          <w:color w:val="auto"/>
          <w:sz w:val="32"/>
          <w:szCs w:val="32"/>
          <w:highlight w:val="none"/>
          <w:lang w:val="en-US" w:eastAsia="zh-CN"/>
        </w:rPr>
        <w:t>年初预算为0.00万元，支出决算为22.50万元。决算数与年初预算数存在差异的主要原因是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14．卫生健康支出（类）行政事业单位医疗（款）行政单位医疗（项）。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年初预算为838.59万元，支出决算为816.42万元，完成年初预算的97.36%。决算数与年初预算数存在差异的主要原因是2021年新增在职人员转退休。</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年初预算为43.65万元，支出决算为3.48万元，完成年初预算的7.97%。决算数与年初预算数存在差异的主要原因是</w:t>
      </w:r>
      <w:r>
        <w:rPr>
          <w:rFonts w:hint="eastAsia" w:ascii="仿宋_GB2312" w:eastAsia="仿宋_GB2312"/>
          <w:color w:val="auto"/>
          <w:sz w:val="32"/>
          <w:szCs w:val="32"/>
          <w:highlight w:val="none"/>
          <w:lang w:val="en-US" w:eastAsia="zh-CN"/>
        </w:rPr>
        <w:t>2021年事业编人员支出有所减少。</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16．卫生健康支出（类）行政事业单位医疗（款）公务员医疗补助（项）。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年初预算为840.22万元，支出决算为806.56万元，完成年初预算的95.99%。决算数与年初预算数存在差异的主要原因是2021年新增在职人员转退休。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17．节能环保支出（类）污染防治（款）大气（项）。</w:t>
      </w:r>
      <w:r>
        <w:rPr>
          <w:rFonts w:hint="eastAsia" w:ascii="仿宋_GB2312" w:hAnsi="仿宋_GB2312" w:eastAsia="仿宋_GB2312" w:cs="仿宋_GB2312"/>
          <w:color w:val="auto"/>
          <w:sz w:val="32"/>
          <w:szCs w:val="32"/>
          <w:highlight w:val="none"/>
          <w:lang w:val="en-US" w:eastAsia="zh-CN"/>
        </w:rPr>
        <w:t>年初预算为0.00万元，支出决算为2.68万元。决算数与年初预算数存在差异的主要原因是该项支出决算数为2020年结转资金支出。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rPr>
        <w:t>46,331.21</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olor w:val="auto"/>
          <w:sz w:val="32"/>
          <w:szCs w:val="24"/>
          <w:highlight w:val="none"/>
        </w:rPr>
        <w:t>34,835.33</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其他社会保障缴费、住房公积金、其他工资福利支出、离休费、退休费、抚恤金、生活补助、救济费、医疗费补助、奖励金</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olor w:val="auto"/>
          <w:sz w:val="32"/>
          <w:szCs w:val="24"/>
          <w:highlight w:val="none"/>
        </w:rPr>
        <w:t>11,495.88</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印刷费、手续费、水费、电费、邮电费、取暖费、物业管理费、差旅费、维修（护）费、租赁费、会议费、培训费、公务接待费、专用材料费、被装购置费、劳务费、委托业务费、工会经费、福利费、公务用车运行维护费、其他交通费用、其他商品和服务支出、办公设备购置、专用设备购置、信息网络及软件购置更新、其他交通工具购置</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olor w:val="auto"/>
          <w:sz w:val="32"/>
          <w:szCs w:val="24"/>
          <w:highlight w:val="none"/>
        </w:rPr>
        <w:t>1,363.44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rPr>
        <w:t>925.38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rPr>
        <w:t>67.87</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shd w:val="clear" w:color="auto" w:fill="auto"/>
          <w:lang w:val="en-US" w:eastAsia="zh-CN"/>
        </w:rPr>
        <w:t>我单位严格把控“三公”经费支出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olor w:val="auto"/>
          <w:sz w:val="32"/>
          <w:szCs w:val="24"/>
          <w:highlight w:val="none"/>
        </w:rPr>
        <w:t>922.39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rPr>
        <w:t>68.43</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olor w:val="auto"/>
          <w:sz w:val="32"/>
          <w:szCs w:val="24"/>
          <w:highlight w:val="none"/>
        </w:rPr>
        <w:t>99.68</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olor w:val="auto"/>
          <w:sz w:val="32"/>
          <w:szCs w:val="24"/>
          <w:highlight w:val="none"/>
        </w:rPr>
        <w:t>2.99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rPr>
        <w:t>19.29</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olor w:val="auto"/>
          <w:sz w:val="32"/>
          <w:szCs w:val="24"/>
          <w:highlight w:val="none"/>
        </w:rPr>
        <w:t>0.32</w:t>
      </w:r>
      <w:r>
        <w:rPr>
          <w:rFonts w:hint="eastAsia" w:ascii="仿宋_GB2312" w:hAnsi="仿宋_GB2312" w:eastAsia="仿宋_GB2312" w:cs="仿宋_GB2312"/>
          <w:color w:val="auto"/>
          <w:sz w:val="32"/>
          <w:szCs w:val="32"/>
          <w:highlight w:val="none"/>
        </w:rPr>
        <w:t>%。具体情况如下：</w:t>
      </w:r>
    </w:p>
    <w:p>
      <w:pPr>
        <w:numPr>
          <w:ilvl w:val="0"/>
          <w:numId w:val="0"/>
        </w:numPr>
        <w:spacing w:beforeLines="0" w:line="590" w:lineRule="exact"/>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1</w:t>
      </w: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olor w:val="auto"/>
          <w:sz w:val="32"/>
          <w:szCs w:val="24"/>
          <w:highlight w:val="none"/>
          <w:lang w:val="en-US" w:eastAsia="zh-CN"/>
        </w:rPr>
        <w:t>全年</w:t>
      </w:r>
      <w:r>
        <w:rPr>
          <w:rFonts w:hint="eastAsia" w:ascii="仿宋_GB2312" w:hAnsi="仿宋_GB2312" w:eastAsia="仿宋_GB2312"/>
          <w:color w:val="auto"/>
          <w:sz w:val="32"/>
          <w:szCs w:val="24"/>
          <w:highlight w:val="none"/>
          <w:lang w:val="en-US"/>
        </w:rPr>
        <w:t>因公出国（境）团组0个，</w:t>
      </w:r>
      <w:r>
        <w:rPr>
          <w:rFonts w:hint="eastAsia" w:ascii="仿宋_GB2312" w:hAnsi="仿宋_GB2312" w:eastAsia="仿宋_GB2312"/>
          <w:color w:val="auto"/>
          <w:sz w:val="32"/>
          <w:szCs w:val="24"/>
          <w:highlight w:val="none"/>
          <w:lang w:val="en-US" w:eastAsia="zh-CN"/>
        </w:rPr>
        <w:t>累计0人次。</w:t>
      </w:r>
    </w:p>
    <w:p>
      <w:pPr>
        <w:numPr>
          <w:ilvl w:val="0"/>
          <w:numId w:val="0"/>
        </w:numPr>
        <w:spacing w:beforeLines="0" w:line="59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rPr>
        <w:t>1,347.94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rPr>
        <w:t>922.39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rPr>
        <w:t>68.43</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我单位严格把控公务用车购置及运行费支出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olor w:val="auto"/>
          <w:sz w:val="32"/>
          <w:szCs w:val="24"/>
          <w:highlight w:val="none"/>
        </w:rPr>
        <w:t>271.94</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23辆</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val="en-US" w:eastAsia="zh-CN"/>
        </w:rPr>
        <w:t>执法执勤用</w:t>
      </w:r>
      <w:r>
        <w:rPr>
          <w:rFonts w:hint="eastAsia" w:ascii="仿宋_GB2312" w:hAnsi="仿宋_GB2312" w:eastAsia="仿宋_GB2312" w:cs="仿宋_GB2312"/>
          <w:color w:val="auto"/>
          <w:sz w:val="32"/>
          <w:szCs w:val="32"/>
          <w:highlight w:val="none"/>
        </w:rPr>
        <w:t>车</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olor w:val="auto"/>
          <w:sz w:val="32"/>
          <w:szCs w:val="24"/>
          <w:highlight w:val="none"/>
        </w:rPr>
        <w:t>650.45</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各类车辆的油修、维护、保险等。</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265辆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15.5</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2.99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19.29</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我单位严格把关，公务接待费不超当年预算</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2.99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主要用于开展</w:t>
      </w:r>
      <w:r>
        <w:rPr>
          <w:rFonts w:ascii="仿宋_GB2312" w:hAnsi="仿宋_GB2312" w:eastAsia="仿宋_GB2312" w:cs="仿宋_GB2312"/>
          <w:color w:val="auto"/>
          <w:sz w:val="32"/>
          <w:szCs w:val="32"/>
          <w:highlight w:val="none"/>
        </w:rPr>
        <w:t>工作检查、案件协查、调研等</w:t>
      </w:r>
      <w:r>
        <w:rPr>
          <w:rFonts w:hint="eastAsia" w:ascii="仿宋_GB2312" w:hAnsi="仿宋_GB2312" w:eastAsia="仿宋_GB2312" w:cs="仿宋_GB2312"/>
          <w:color w:val="auto"/>
          <w:sz w:val="32"/>
          <w:szCs w:val="32"/>
          <w:highlight w:val="none"/>
          <w:lang w:val="en-US" w:eastAsia="zh-CN"/>
        </w:rPr>
        <w:t>日常公务发生的接待支出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600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不存在项目年末结转和结余资金数额较大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10,370.92</w:t>
      </w:r>
      <w:r>
        <w:rPr>
          <w:rFonts w:hint="eastAsia" w:ascii="仿宋_GB2312" w:hAnsi="仿宋_GB2312" w:eastAsia="仿宋_GB2312" w:cs="仿宋_GB2312"/>
          <w:color w:val="auto"/>
          <w:sz w:val="32"/>
          <w:szCs w:val="32"/>
          <w:highlight w:val="none"/>
        </w:rPr>
        <w:t>万元，支出决算为11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495.88万元，完成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110.85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支出决算数包含2020年结转资金支出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5280.91</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4985.13</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55.95</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239.83</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1910.95</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36.19</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1573.17</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29.79</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458</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221</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193</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val="en-US" w:eastAsia="zh-CN"/>
        </w:rPr>
        <w:t>（摩托车、电动车）</w:t>
      </w:r>
      <w:r>
        <w:rPr>
          <w:rFonts w:hint="eastAsia" w:ascii="仿宋_GB2312" w:hAnsi="仿宋_GB2312" w:eastAsia="仿宋_GB2312" w:cs="仿宋_GB2312"/>
          <w:color w:val="auto"/>
          <w:sz w:val="32"/>
          <w:szCs w:val="32"/>
          <w:highlight w:val="none"/>
        </w:rPr>
        <w:t>；单位价值50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万元以上专用设备</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台（套）。</w:t>
      </w:r>
    </w:p>
    <w:p>
      <w:pPr>
        <w:widowControl/>
        <w:wordWrap/>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始终坚持以提高公安经费的使用效率、完善公安经费保障体制为目标,对资金进行规范化管理，并辅之以科学的管理方法和管理理念，提高资金的使用效率，使有限的公安经费最大限度的发挥其积极作用，提高广大公安民警的工作积极性、主动性和创造性,促进公安工作质量、工作效率的进一步提升。2021年预算项目编审绩效目标后，我单位党委高度重视项目预算执行情况及绩效监控工作，每季度的支出情况在局党委会上进行研究。在市财政指导下，分管财务领导和财务工作人员认真履职，合理确定支出，每月组织对经费投入、支出等进行绩效监控，确保实现年度目标。市看守所、市拘留所、市戒毒所、市森林公安对各自申请资金的支出情况、绩效监控负主要责任，市公安局本级负责监督执行。</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本单位2021年年初制定的目标已基本完成，在日常运转、案件侦破、规范化建设等方面发挥了积极的资金效应。通过预算执行，保障了在职人员和退休人员各类工资津贴补贴按时发放，保障了公安工作的正常运转。二是项目绩效自评情况。我单位共有12个项目批复了绩效目标，项目金额19,074.54万元。</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分。其中：12个项目评价等级为“优”、0个项目评价等级为“良”、0个项目评价等级为“中”、0个项目评价等级为“差”。</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59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许昌市财政局和我单位主管部门共选取我单位1个项目开展重点绩效评价：1个项目等次为“优”，0个项目等次为“良”，</w:t>
      </w:r>
    </w:p>
    <w:p>
      <w:pPr>
        <w:widowControl/>
        <w:wordWrap/>
        <w:adjustRightInd/>
        <w:snapToGrid/>
        <w:spacing w:line="590" w:lineRule="exact"/>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0个项目等次为“中”，0个项目等次为“差”。</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1">
                      <a:spAutoFit/>
                    </wps:bodyPr>
                  </wps:wsp>
                </a:graphicData>
              </a:graphic>
            </wp:anchor>
          </w:drawing>
        </mc:Choice>
        <mc:Fallback>
          <w:pict>
            <v:rect id="文本框 103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KX8sPEAQAAkg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文本框 103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vFT+MYBAACSAwAADgAAAAAAAAABACAAAAAf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00000"/>
    <w:rsid w:val="11867E5D"/>
    <w:rsid w:val="13ED41C3"/>
    <w:rsid w:val="1A1B5FC9"/>
    <w:rsid w:val="207F2647"/>
    <w:rsid w:val="3F1D32FF"/>
    <w:rsid w:val="49FA6737"/>
    <w:rsid w:val="4F520B27"/>
    <w:rsid w:val="60FA1D34"/>
    <w:rsid w:val="62354BC8"/>
    <w:rsid w:val="64714BBF"/>
    <w:rsid w:val="74FB13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w:link w:val="2"/>
    <w:qFormat/>
    <w:uiPriority w:val="99"/>
    <w:rPr>
      <w:kern w:val="2"/>
      <w:sz w:val="18"/>
      <w:szCs w:val="18"/>
    </w:rPr>
  </w:style>
  <w:style w:type="character" w:customStyle="1" w:styleId="10">
    <w:name w:val="页脚 Char Char"/>
    <w:link w:val="3"/>
    <w:qFormat/>
    <w:uiPriority w:val="99"/>
    <w:rPr>
      <w:kern w:val="2"/>
      <w:sz w:val="18"/>
      <w:szCs w:val="18"/>
    </w:rPr>
  </w:style>
  <w:style w:type="character" w:customStyle="1" w:styleId="11">
    <w:name w:val="页眉 Char Char"/>
    <w:link w:val="4"/>
    <w:qFormat/>
    <w:uiPriority w:val="99"/>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36</Pages>
  <Words>10647</Words>
  <Characters>14157</Characters>
  <Lines>60</Lines>
  <Paragraphs>16</Paragraphs>
  <TotalTime>37</TotalTime>
  <ScaleCrop>false</ScaleCrop>
  <LinksUpToDate>false</LinksUpToDate>
  <CharactersWithSpaces>14447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2023-09-17T11:06:29Z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60FE1C676E9442DE896E9E749BAFD9B9_13</vt:lpwstr>
  </property>
</Properties>
</file>