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许昌市住房保障中心单位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许昌市住房保障中心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许昌市住房保障中心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（一）负责经济适用房、廉租住房、公共租赁住房等保障房的建设、分配、管理工作； </w:t>
      </w:r>
    </w:p>
    <w:p>
      <w:pPr>
        <w:widowControl/>
        <w:ind w:firstLine="640" w:firstLineChars="200"/>
        <w:jc w:val="left"/>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（二）负责市区内国有公房的登记、出租、经营、维修、变更、保值工作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许昌市住房保障中心</w:t>
      </w:r>
      <w:r>
        <w:rPr>
          <w:rFonts w:hint="eastAsia" w:ascii="仿宋_GB2312" w:hAnsi="仿宋_GB2312" w:eastAsia="仿宋_GB2312" w:cs="仿宋_GB2312"/>
          <w:color w:val="auto"/>
          <w:kern w:val="0"/>
          <w:sz w:val="32"/>
          <w:szCs w:val="32"/>
          <w:highlight w:val="none"/>
        </w:rPr>
        <w:t>内设机构</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个，包括：</w:t>
      </w:r>
      <w:r>
        <w:rPr>
          <w:rFonts w:hint="eastAsia" w:ascii="仿宋_GB2312" w:hAnsi="仿宋_GB2312" w:eastAsia="仿宋_GB2312" w:cs="仿宋_GB2312"/>
          <w:color w:val="auto"/>
          <w:sz w:val="32"/>
          <w:szCs w:val="32"/>
          <w:highlight w:val="none"/>
          <w:lang w:val="en-US" w:eastAsia="zh-CN"/>
        </w:rPr>
        <w:t>办公室、计财科、工程科、监察科、档案管理科、公房管理科、廉租补贴科、资格审查科、分配管理科等</w:t>
      </w:r>
      <w:r>
        <w:rPr>
          <w:rFonts w:hint="eastAsia" w:ascii="仿宋_GB2312" w:hAnsi="仿宋_GB2312" w:eastAsia="仿宋_GB2312" w:cs="仿宋_GB2312"/>
          <w:color w:val="auto"/>
          <w:kern w:val="0"/>
          <w:sz w:val="32"/>
          <w:szCs w:val="32"/>
          <w:highlight w:val="none"/>
        </w:rPr>
        <w:t>共</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个。</w:t>
      </w:r>
    </w:p>
    <w:p>
      <w:pPr>
        <w:widowControl/>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许昌市住房保障中心单位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1.许昌市住房保障中心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54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22"/>
        <w:gridCol w:w="1117"/>
        <w:gridCol w:w="2880"/>
        <w:gridCol w:w="2380"/>
        <w:gridCol w:w="1700"/>
        <w:gridCol w:w="1035"/>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5409" w:type="dxa"/>
            <w:gridSpan w:val="7"/>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 w:hRule="atLeast"/>
        </w:trPr>
        <w:tc>
          <w:tcPr>
            <w:tcW w:w="9899" w:type="dxa"/>
            <w:gridSpan w:val="4"/>
            <w:vAlign w:val="bottom"/>
          </w:tcPr>
          <w:p>
            <w:pPr>
              <w:jc w:val="center"/>
              <w:rPr>
                <w:rFonts w:hint="eastAsia" w:ascii="Arial" w:hAnsi="Arial" w:cs="Arial"/>
                <w:i w:val="0"/>
                <w:color w:val="auto"/>
                <w:sz w:val="18"/>
                <w:szCs w:val="18"/>
                <w:highlight w:val="none"/>
                <w:u w:val="none"/>
              </w:rPr>
            </w:pPr>
          </w:p>
        </w:tc>
        <w:tc>
          <w:tcPr>
            <w:tcW w:w="5510" w:type="dxa"/>
            <w:gridSpan w:val="3"/>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 w:hRule="atLeast"/>
        </w:trPr>
        <w:tc>
          <w:tcPr>
            <w:tcW w:w="9899" w:type="dxa"/>
            <w:gridSpan w:val="4"/>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：许昌市住房保障中心</w:t>
            </w:r>
          </w:p>
        </w:tc>
        <w:tc>
          <w:tcPr>
            <w:tcW w:w="5510" w:type="dxa"/>
            <w:gridSpan w:val="3"/>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751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收入</w:t>
            </w:r>
          </w:p>
        </w:tc>
        <w:tc>
          <w:tcPr>
            <w:tcW w:w="7890" w:type="dxa"/>
            <w:gridSpan w:val="4"/>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288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27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117"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88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035"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7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288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528.29</w:t>
            </w: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288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三、国有资本经营预算财政拨款收入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四、上级补助收入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五、事业收入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六、经营收入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七、附属单位上缴收入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八、其他收入</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27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i w:val="0"/>
                <w:color w:val="auto"/>
                <w:sz w:val="20"/>
                <w:szCs w:val="20"/>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0"/>
                <w:szCs w:val="20"/>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0"/>
                <w:szCs w:val="20"/>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0"/>
                <w:szCs w:val="20"/>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0"/>
                <w:szCs w:val="20"/>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28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0"/>
                <w:szCs w:val="20"/>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288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543.33</w:t>
            </w: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使用非财政拨款结余</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288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结余分配</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288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546.69</w:t>
            </w: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288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4080" w:type="dxa"/>
            <w:gridSpan w:val="2"/>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27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22"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1117" w:type="dxa"/>
            <w:tcBorders>
              <w:bottom w:val="single" w:color="000000" w:sz="12"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288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1,090.02</w:t>
            </w:r>
          </w:p>
        </w:tc>
        <w:tc>
          <w:tcPr>
            <w:tcW w:w="4080"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27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5409" w:type="dxa"/>
            <w:gridSpan w:val="7"/>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5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56"/>
        <w:gridCol w:w="3733"/>
        <w:gridCol w:w="1765"/>
        <w:gridCol w:w="1650"/>
        <w:gridCol w:w="1515"/>
        <w:gridCol w:w="1275"/>
        <w:gridCol w:w="1305"/>
        <w:gridCol w:w="1305"/>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5237" w:type="dxa"/>
            <w:gridSpan w:val="9"/>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804" w:type="dxa"/>
            <w:gridSpan w:val="8"/>
            <w:vAlign w:val="bottom"/>
          </w:tcPr>
          <w:p>
            <w:pPr>
              <w:jc w:val="center"/>
              <w:rPr>
                <w:rFonts w:hint="eastAsia" w:ascii="宋体" w:hAnsi="宋体" w:eastAsia="宋体" w:cs="宋体"/>
                <w:i w:val="0"/>
                <w:color w:val="auto"/>
                <w:sz w:val="20"/>
                <w:szCs w:val="20"/>
                <w:highlight w:val="none"/>
                <w:u w:val="none"/>
              </w:rPr>
            </w:pPr>
          </w:p>
        </w:tc>
        <w:tc>
          <w:tcPr>
            <w:tcW w:w="1433" w:type="dxa"/>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804" w:type="dxa"/>
            <w:gridSpan w:val="8"/>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：许昌市住房保障中心</w:t>
            </w:r>
          </w:p>
        </w:tc>
        <w:tc>
          <w:tcPr>
            <w:tcW w:w="1433" w:type="dxa"/>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9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76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本年收入合计</w:t>
            </w:r>
          </w:p>
        </w:tc>
        <w:tc>
          <w:tcPr>
            <w:tcW w:w="1650"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财政拨款收入</w:t>
            </w:r>
          </w:p>
        </w:tc>
        <w:tc>
          <w:tcPr>
            <w:tcW w:w="151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上级补助收入</w:t>
            </w:r>
          </w:p>
        </w:tc>
        <w:tc>
          <w:tcPr>
            <w:tcW w:w="127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事业收入</w:t>
            </w:r>
          </w:p>
        </w:tc>
        <w:tc>
          <w:tcPr>
            <w:tcW w:w="13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经营收入</w:t>
            </w:r>
          </w:p>
        </w:tc>
        <w:tc>
          <w:tcPr>
            <w:tcW w:w="13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附属单位上缴收入</w:t>
            </w:r>
          </w:p>
        </w:tc>
        <w:tc>
          <w:tcPr>
            <w:tcW w:w="1433"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733"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7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65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5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2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433"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73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7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65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5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2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433"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5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73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7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65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5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2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433"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989"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76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65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5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2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3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3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43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989"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543.33</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543.33</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工会事务</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事业单位离退休</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64.56</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64.56</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机关事业单位基本养老保险缴费支出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37.43</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37.43</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机关事业单位职业年金缴费支出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4.46</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4.46</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事业单位医疗</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24.32</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24.32</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城乡社区公共设施</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2120399</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其他城乡社区公共设施支出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国有土地使用权出让收入安排的支出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2120813</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保障性住房租金补贴</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资源勘探工业信息等支出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402.78</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402.78</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21503</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建筑业</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402.78</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402.78</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25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2150399</w:t>
            </w:r>
          </w:p>
        </w:tc>
        <w:tc>
          <w:tcPr>
            <w:tcW w:w="3733"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其他建筑业支出</w:t>
            </w:r>
          </w:p>
        </w:tc>
        <w:tc>
          <w:tcPr>
            <w:tcW w:w="176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402.78</w:t>
            </w:r>
          </w:p>
        </w:tc>
        <w:tc>
          <w:tcPr>
            <w:tcW w:w="16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402.78</w:t>
            </w:r>
          </w:p>
        </w:tc>
        <w:tc>
          <w:tcPr>
            <w:tcW w:w="15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3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5237" w:type="dxa"/>
            <w:gridSpan w:val="9"/>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154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49"/>
        <w:gridCol w:w="4980"/>
        <w:gridCol w:w="2205"/>
        <w:gridCol w:w="1305"/>
        <w:gridCol w:w="1230"/>
        <w:gridCol w:w="1455"/>
        <w:gridCol w:w="1320"/>
        <w:gridCol w:w="1343"/>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5402" w:type="dxa"/>
            <w:gridSpan w:val="9"/>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4044" w:type="dxa"/>
            <w:gridSpan w:val="7"/>
            <w:vAlign w:val="bottom"/>
          </w:tcPr>
          <w:p>
            <w:pPr>
              <w:jc w:val="center"/>
              <w:rPr>
                <w:rFonts w:hint="eastAsia" w:ascii="Arial" w:hAnsi="Arial" w:cs="Arial"/>
                <w:i w:val="0"/>
                <w:color w:val="auto"/>
                <w:sz w:val="20"/>
                <w:szCs w:val="20"/>
                <w:highlight w:val="none"/>
                <w:u w:val="none"/>
              </w:rPr>
            </w:pPr>
          </w:p>
        </w:tc>
        <w:tc>
          <w:tcPr>
            <w:tcW w:w="1358"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14044" w:type="dxa"/>
            <w:gridSpan w:val="7"/>
            <w:vAlign w:val="bottom"/>
          </w:tcPr>
          <w:p>
            <w:pPr>
              <w:keepNext w:val="0"/>
              <w:keepLines w:val="0"/>
              <w:widowControl/>
              <w:suppressLineNumbers w:val="0"/>
              <w:jc w:val="both"/>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：许昌市住房保障中心</w:t>
            </w:r>
          </w:p>
        </w:tc>
        <w:tc>
          <w:tcPr>
            <w:tcW w:w="1358"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5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22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本年支出合计</w:t>
            </w:r>
          </w:p>
        </w:tc>
        <w:tc>
          <w:tcPr>
            <w:tcW w:w="13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230"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45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上缴上级支出</w:t>
            </w:r>
          </w:p>
        </w:tc>
        <w:tc>
          <w:tcPr>
            <w:tcW w:w="1320"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经营支出</w:t>
            </w:r>
          </w:p>
        </w:tc>
        <w:tc>
          <w:tcPr>
            <w:tcW w:w="1358" w:type="dxa"/>
            <w:gridSpan w:val="2"/>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498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22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23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4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2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5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498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2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23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4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2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5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49"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498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2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23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4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2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5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529"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22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3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23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45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32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358"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529"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1,090.02</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604.13</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485.89</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工会事务</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事业单位离退休</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64.56</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64.56</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机关事业单位基本养老保险缴费支出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37.43</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37.43</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机关事业单位职业年金缴费支出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4.46</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4.46</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事业单位医疗</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24.32</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24.32</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城乡社区公共设施</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2120399</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其他城乡社区公共设施支出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国有土地使用权出让收入安排的支出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2120813</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保障性住房租金补贴</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5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资源勘探工业信息等支出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759.12</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487.90</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271.21</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4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21503</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建筑业</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759.12</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487.90</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271.21</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4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2150399</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其他建筑业支出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759.12</w:t>
            </w:r>
          </w:p>
        </w:tc>
        <w:tc>
          <w:tcPr>
            <w:tcW w:w="13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487.90</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271.21</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4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4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22904</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其他政府性基金及对应专项债务收入安排的支出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4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25" w:hRule="atLeast"/>
        </w:trPr>
        <w:tc>
          <w:tcPr>
            <w:tcW w:w="154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2290401</w:t>
            </w:r>
          </w:p>
        </w:tc>
        <w:tc>
          <w:tcPr>
            <w:tcW w:w="498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其他政府性基金安排的支出</w:t>
            </w:r>
          </w:p>
        </w:tc>
        <w:tc>
          <w:tcPr>
            <w:tcW w:w="22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3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4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4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00" w:hRule="atLeast"/>
        </w:trPr>
        <w:tc>
          <w:tcPr>
            <w:tcW w:w="15387" w:type="dxa"/>
            <w:gridSpan w:val="8"/>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153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944"/>
        <w:gridCol w:w="570"/>
        <w:gridCol w:w="1320"/>
        <w:gridCol w:w="3450"/>
        <w:gridCol w:w="585"/>
        <w:gridCol w:w="1575"/>
        <w:gridCol w:w="1575"/>
        <w:gridCol w:w="1725"/>
        <w:gridCol w:w="1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5372" w:type="dxa"/>
            <w:gridSpan w:val="9"/>
            <w:vAlign w:val="bottom"/>
          </w:tcPr>
          <w:p>
            <w:pPr>
              <w:keepNext w:val="0"/>
              <w:keepLines w:val="0"/>
              <w:widowControl/>
              <w:suppressLineNumbers w:val="0"/>
              <w:jc w:val="center"/>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019" w:type="dxa"/>
            <w:gridSpan w:val="7"/>
            <w:vAlign w:val="bottom"/>
          </w:tcPr>
          <w:p>
            <w:pPr>
              <w:jc w:val="center"/>
              <w:rPr>
                <w:rFonts w:hint="eastAsia" w:ascii="Arial" w:hAnsi="Arial" w:cs="Arial"/>
                <w:i w:val="0"/>
                <w:color w:val="auto"/>
                <w:sz w:val="20"/>
                <w:szCs w:val="20"/>
                <w:highlight w:val="none"/>
                <w:u w:val="none"/>
              </w:rPr>
            </w:pPr>
          </w:p>
        </w:tc>
        <w:tc>
          <w:tcPr>
            <w:tcW w:w="3353"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019" w:type="dxa"/>
            <w:gridSpan w:val="7"/>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：许昌市住房保障中心</w:t>
            </w:r>
          </w:p>
        </w:tc>
        <w:tc>
          <w:tcPr>
            <w:tcW w:w="3353"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8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     入</w:t>
            </w:r>
          </w:p>
        </w:tc>
        <w:tc>
          <w:tcPr>
            <w:tcW w:w="10538" w:type="dxa"/>
            <w:gridSpan w:val="6"/>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2944"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7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32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345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8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57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57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一般公共预算财政拨款</w:t>
            </w:r>
          </w:p>
        </w:tc>
        <w:tc>
          <w:tcPr>
            <w:tcW w:w="172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政府性基金预算财政拨款</w:t>
            </w:r>
          </w:p>
        </w:tc>
        <w:tc>
          <w:tcPr>
            <w:tcW w:w="1628"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944"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57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2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45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58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57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57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72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62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570"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585"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5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72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32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528.29</w:t>
            </w: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32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三、国有资本经营财政拨款</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24.32</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c>
          <w:tcPr>
            <w:tcW w:w="172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628"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759.12</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759.12</w:t>
            </w: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i w:val="0"/>
                <w:color w:val="auto"/>
                <w:sz w:val="20"/>
                <w:szCs w:val="20"/>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0"/>
                <w:szCs w:val="20"/>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0"/>
                <w:szCs w:val="20"/>
                <w:highlight w:val="none"/>
                <w:u w:val="none"/>
              </w:rPr>
            </w:pP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13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132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543.33</w:t>
            </w: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1,090.02</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884.62</w:t>
            </w:r>
          </w:p>
        </w:tc>
        <w:tc>
          <w:tcPr>
            <w:tcW w:w="172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205.39</w:t>
            </w: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年初财政拨款结转和结余</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132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546.69</w:t>
            </w: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年末财政拨款结转和结余</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一般公共预算财政拨款</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132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356.33</w:t>
            </w:r>
          </w:p>
        </w:tc>
        <w:tc>
          <w:tcPr>
            <w:tcW w:w="345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政府性基金预算财政拨款</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132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345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国有资本经营预算财政拨款</w:t>
            </w:r>
          </w:p>
        </w:tc>
        <w:tc>
          <w:tcPr>
            <w:tcW w:w="57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132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345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5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72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94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570" w:type="dxa"/>
            <w:tcBorders>
              <w:bottom w:val="single" w:color="000000" w:sz="12"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132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1,090.02</w:t>
            </w:r>
          </w:p>
        </w:tc>
        <w:tc>
          <w:tcPr>
            <w:tcW w:w="345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5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1,090.02</w:t>
            </w:r>
          </w:p>
        </w:tc>
        <w:tc>
          <w:tcPr>
            <w:tcW w:w="15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884.62</w:t>
            </w:r>
          </w:p>
        </w:tc>
        <w:tc>
          <w:tcPr>
            <w:tcW w:w="172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205.39</w:t>
            </w:r>
          </w:p>
        </w:tc>
        <w:tc>
          <w:tcPr>
            <w:tcW w:w="162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5372" w:type="dxa"/>
            <w:gridSpan w:val="9"/>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454" w:right="720" w:bottom="454" w:left="720" w:header="720" w:footer="720" w:gutter="0"/>
          <w:pgNumType w:fmt="numberInDash"/>
          <w:cols w:space="720" w:num="1"/>
          <w:rtlGutter w:val="0"/>
          <w:docGrid w:type="lines" w:linePitch="312" w:charSpace="0"/>
        </w:sectPr>
      </w:pPr>
    </w:p>
    <w:tbl>
      <w:tblPr>
        <w:tblStyle w:val="5"/>
        <w:tblW w:w="153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29"/>
        <w:gridCol w:w="4485"/>
        <w:gridCol w:w="1250"/>
        <w:gridCol w:w="2125"/>
        <w:gridCol w:w="2805"/>
        <w:gridCol w:w="2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5357" w:type="dxa"/>
            <w:gridSpan w:val="6"/>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764" w:type="dxa"/>
            <w:gridSpan w:val="3"/>
            <w:vAlign w:val="bottom"/>
          </w:tcPr>
          <w:p>
            <w:pPr>
              <w:jc w:val="center"/>
              <w:rPr>
                <w:rFonts w:hint="eastAsia" w:ascii="Arial" w:hAnsi="Arial" w:cs="Arial"/>
                <w:i w:val="0"/>
                <w:color w:val="auto"/>
                <w:sz w:val="18"/>
                <w:szCs w:val="18"/>
                <w:highlight w:val="none"/>
                <w:u w:val="none"/>
              </w:rPr>
            </w:pPr>
          </w:p>
        </w:tc>
        <w:tc>
          <w:tcPr>
            <w:tcW w:w="7593" w:type="dxa"/>
            <w:gridSpan w:val="3"/>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764" w:type="dxa"/>
            <w:gridSpan w:val="3"/>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：许昌市住房保障中心</w:t>
            </w:r>
          </w:p>
        </w:tc>
        <w:tc>
          <w:tcPr>
            <w:tcW w:w="7593" w:type="dxa"/>
            <w:gridSpan w:val="3"/>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5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8843" w:type="dxa"/>
            <w:gridSpan w:val="4"/>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448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3375" w:type="dxa"/>
            <w:gridSpan w:val="2"/>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280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2663"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2029"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448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375"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80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66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2029"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448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375"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80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66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514"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337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28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266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514"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884.62</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604.13</w:t>
            </w:r>
          </w:p>
        </w:tc>
        <w:tc>
          <w:tcPr>
            <w:tcW w:w="266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280.49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工会事务</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106.44</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事业单位离退休</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64.56</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64.56</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机关事业单位基本养老保险缴费支出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37.43</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37.43</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机关事业单位职业年金缴费支出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4.46</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4.46</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事业单位医疗</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6.86</w:t>
            </w:r>
          </w:p>
        </w:tc>
        <w:tc>
          <w:tcPr>
            <w:tcW w:w="266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c>
          <w:tcPr>
            <w:tcW w:w="28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266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城乡社区公共设施</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c>
          <w:tcPr>
            <w:tcW w:w="28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266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2120399</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其他城乡社区公共设施支出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c>
          <w:tcPr>
            <w:tcW w:w="280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266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资源勘探工业信息等支出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759.12</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487.90</w:t>
            </w:r>
          </w:p>
        </w:tc>
        <w:tc>
          <w:tcPr>
            <w:tcW w:w="266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21503</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建筑业</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759.12</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487.90</w:t>
            </w:r>
          </w:p>
        </w:tc>
        <w:tc>
          <w:tcPr>
            <w:tcW w:w="266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02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2150399</w:t>
            </w:r>
          </w:p>
        </w:tc>
        <w:tc>
          <w:tcPr>
            <w:tcW w:w="44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其他建筑业支出</w:t>
            </w:r>
          </w:p>
        </w:tc>
        <w:tc>
          <w:tcPr>
            <w:tcW w:w="337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759.12</w:t>
            </w:r>
          </w:p>
        </w:tc>
        <w:tc>
          <w:tcPr>
            <w:tcW w:w="280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487.90</w:t>
            </w:r>
          </w:p>
        </w:tc>
        <w:tc>
          <w:tcPr>
            <w:tcW w:w="266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5357" w:type="dxa"/>
            <w:gridSpan w:val="6"/>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454" w:right="720" w:bottom="720" w:left="720" w:header="720" w:footer="720" w:gutter="0"/>
          <w:pgNumType w:fmt="numberInDash"/>
          <w:cols w:space="720" w:num="1"/>
          <w:rtlGutter w:val="0"/>
          <w:docGrid w:type="lines" w:linePitch="312" w:charSpace="0"/>
        </w:sectPr>
      </w:pPr>
    </w:p>
    <w:tbl>
      <w:tblPr>
        <w:tblStyle w:val="5"/>
        <w:tblW w:w="14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4"/>
        <w:gridCol w:w="3345"/>
        <w:gridCol w:w="1230"/>
        <w:gridCol w:w="675"/>
        <w:gridCol w:w="620"/>
        <w:gridCol w:w="2185"/>
        <w:gridCol w:w="1155"/>
        <w:gridCol w:w="630"/>
        <w:gridCol w:w="2535"/>
        <w:gridCol w:w="1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280" w:type="dxa"/>
            <w:gridSpan w:val="10"/>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一般公共预算财政拨款基本支出决算</w:t>
            </w:r>
            <w:r>
              <w:rPr>
                <w:rFonts w:hint="eastAsia" w:ascii="宋体" w:hAnsi="宋体" w:cs="宋体"/>
                <w:i w:val="0"/>
                <w:color w:val="auto"/>
                <w:kern w:val="0"/>
                <w:sz w:val="30"/>
                <w:szCs w:val="30"/>
                <w:highlight w:val="none"/>
                <w:u w:val="none"/>
                <w:lang w:val="en-US" w:eastAsia="zh-CN" w:bidi="ar"/>
              </w:rPr>
              <w:t>明细</w:t>
            </w:r>
            <w:r>
              <w:rPr>
                <w:rFonts w:hint="eastAsia" w:ascii="宋体" w:hAnsi="宋体" w:eastAsia="宋体" w:cs="宋体"/>
                <w:i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009" w:type="dxa"/>
            <w:gridSpan w:val="9"/>
            <w:vAlign w:val="bottom"/>
          </w:tcPr>
          <w:p>
            <w:pPr>
              <w:jc w:val="center"/>
              <w:rPr>
                <w:rFonts w:hint="eastAsia" w:ascii="Arial" w:hAnsi="Arial" w:cs="Arial"/>
                <w:i w:val="0"/>
                <w:color w:val="auto"/>
                <w:sz w:val="20"/>
                <w:szCs w:val="20"/>
                <w:highlight w:val="none"/>
                <w:u w:val="none"/>
              </w:rPr>
            </w:pPr>
          </w:p>
        </w:tc>
        <w:tc>
          <w:tcPr>
            <w:tcW w:w="1271" w:type="dxa"/>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04" w:type="dxa"/>
            <w:gridSpan w:val="5"/>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：许昌市住房保障中心</w:t>
            </w:r>
          </w:p>
        </w:tc>
        <w:tc>
          <w:tcPr>
            <w:tcW w:w="7776" w:type="dxa"/>
            <w:gridSpan w:val="5"/>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52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w:t>
            </w:r>
          </w:p>
        </w:tc>
        <w:tc>
          <w:tcPr>
            <w:tcW w:w="9071" w:type="dxa"/>
            <w:gridSpan w:val="7"/>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334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23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67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805" w:type="dxa"/>
            <w:gridSpan w:val="2"/>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15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63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53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271"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34"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334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23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67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805"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15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63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253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271"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工资福利支出</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488.14</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商品和服务支出</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27.28</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债务利息及费用支出</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30101</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基本工资</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147.13</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30201</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办公费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5.80</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30701</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国内债务付息</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30102</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津贴补贴</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155.26</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30202</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印刷费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30702</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国外债务付息</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30103</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奖金</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56.32</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30203</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咨询费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资本性支出</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30106</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伙食补助费</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30204</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手续费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31001</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房屋建筑物购建</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30107</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绩效工资</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6.19</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30205</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0.08</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31002</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办公设备购置</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30108</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机关事业单位基本养老保险缴费</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37.43</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30206</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1.46</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31003</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专用设备购置</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30109</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职业年金缴费</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18.77</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30207</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邮电费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1.29</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31005</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基础设施建设</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30110</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职工基本医疗保险缴费</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19.84</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30208</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取暖费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31006</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大型修缮</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30111</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公务员医疗补助缴费</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30209</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物业管理费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2.00</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31007</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信息网络及软件购置更新</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30112</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其他社会保障缴费</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12.78</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30211</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差旅费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31008</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物资储备</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30113</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住房公积金</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34.42</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30212</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因公出国（境）费用</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31009</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土地补偿</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30114</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医疗费</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30213</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维修（护）费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31010</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安置补助</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30199</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其他工资福利支出</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30214</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租赁费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31011</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地上附着物和青苗补偿</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对个人和家庭的补助</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88.72</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30215</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会议费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31012</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拆迁补偿</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30301</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离休费</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30216</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培训费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0.17</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31013</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30302</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退休费</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73.45</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30217</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31019</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其他交通工具购置</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30303</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退职（役）费</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30218</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专用材料费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31021</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文物和陈列品购置</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30304</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抚恤金</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30224</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被装购置费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31022</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无形资产购置</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30305</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生活补助</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0.83</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30225</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专用燃料费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31099</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其他资本性支出</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30306</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救济费</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14.44</w:t>
            </w: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30226</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劳务费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1.33</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30307</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医疗费补助</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30227</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委托业务费</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39906</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赠与</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30308</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助学金</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30228</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工会经费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2.92</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39907</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国家赔偿费用支出</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30309</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奖励金</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30229</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福利费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4.97</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39908</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对民间非营利组织和群众性自治组织补贴</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30310</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个人农业生产补贴</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30231</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公务用车运行维护费</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2.42</w:t>
            </w:r>
          </w:p>
        </w:tc>
        <w:tc>
          <w:tcPr>
            <w:tcW w:w="63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39999</w:t>
            </w:r>
          </w:p>
        </w:tc>
        <w:tc>
          <w:tcPr>
            <w:tcW w:w="253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30311</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代缴社会保险费</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30239</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其他交通费用</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3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253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30399</w:t>
            </w:r>
          </w:p>
        </w:tc>
        <w:tc>
          <w:tcPr>
            <w:tcW w:w="33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其他对个人和家庭的补助</w:t>
            </w: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30240</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税金及附加费用</w:t>
            </w:r>
          </w:p>
        </w:tc>
        <w:tc>
          <w:tcPr>
            <w:tcW w:w="115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3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253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63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334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23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7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30299</w:t>
            </w:r>
          </w:p>
        </w:tc>
        <w:tc>
          <w:tcPr>
            <w:tcW w:w="280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其他商品和服务支出</w:t>
            </w:r>
          </w:p>
        </w:tc>
        <w:tc>
          <w:tcPr>
            <w:tcW w:w="115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1.52</w:t>
            </w:r>
          </w:p>
        </w:tc>
        <w:tc>
          <w:tcPr>
            <w:tcW w:w="63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253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auto"/>
                <w:sz w:val="22"/>
                <w:szCs w:val="22"/>
                <w:highlight w:val="none"/>
                <w:u w:val="none"/>
              </w:rPr>
            </w:pPr>
          </w:p>
        </w:tc>
        <w:tc>
          <w:tcPr>
            <w:tcW w:w="127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3979"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人员经费合计</w:t>
            </w:r>
          </w:p>
        </w:tc>
        <w:tc>
          <w:tcPr>
            <w:tcW w:w="123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576.86</w:t>
            </w:r>
          </w:p>
        </w:tc>
        <w:tc>
          <w:tcPr>
            <w:tcW w:w="7800" w:type="dxa"/>
            <w:gridSpan w:val="6"/>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公用经费合计</w:t>
            </w:r>
          </w:p>
        </w:tc>
        <w:tc>
          <w:tcPr>
            <w:tcW w:w="127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4280" w:type="dxa"/>
            <w:gridSpan w:val="1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7"/>
        <w:gridCol w:w="945"/>
        <w:gridCol w:w="975"/>
        <w:gridCol w:w="960"/>
        <w:gridCol w:w="945"/>
        <w:gridCol w:w="900"/>
        <w:gridCol w:w="1110"/>
        <w:gridCol w:w="1034"/>
        <w:gridCol w:w="950"/>
        <w:gridCol w:w="1826"/>
        <w:gridCol w:w="70"/>
        <w:gridCol w:w="174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3807" w:type="dxa"/>
            <w:gridSpan w:val="13"/>
            <w:vAlign w:val="bottom"/>
          </w:tcPr>
          <w:p>
            <w:pPr>
              <w:keepNext w:val="0"/>
              <w:keepLines w:val="0"/>
              <w:widowControl/>
              <w:suppressLineNumbers w:val="0"/>
              <w:jc w:val="center"/>
              <w:textAlignment w:val="bottom"/>
              <w:rPr>
                <w:rFonts w:hint="eastAsia" w:ascii="宋体" w:hAnsi="宋体" w:eastAsia="宋体" w:cs="宋体"/>
                <w:i w:val="0"/>
                <w:color w:val="auto"/>
                <w:sz w:val="44"/>
                <w:szCs w:val="44"/>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0712" w:type="dxa"/>
            <w:gridSpan w:val="11"/>
            <w:vAlign w:val="bottom"/>
          </w:tcPr>
          <w:p>
            <w:pPr>
              <w:jc w:val="center"/>
              <w:rPr>
                <w:rFonts w:hint="eastAsia" w:ascii="Arial" w:hAnsi="Arial" w:cs="Arial"/>
                <w:i w:val="0"/>
                <w:color w:val="auto"/>
                <w:sz w:val="20"/>
                <w:szCs w:val="20"/>
                <w:highlight w:val="none"/>
                <w:u w:val="none"/>
              </w:rPr>
            </w:pPr>
          </w:p>
        </w:tc>
        <w:tc>
          <w:tcPr>
            <w:tcW w:w="3095"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12" w:type="dxa"/>
            <w:gridSpan w:val="11"/>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：许昌市住房保障中心</w:t>
            </w:r>
          </w:p>
        </w:tc>
        <w:tc>
          <w:tcPr>
            <w:tcW w:w="3095" w:type="dxa"/>
            <w:gridSpan w:val="2"/>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atLeast"/>
        </w:trPr>
        <w:tc>
          <w:tcPr>
            <w:tcW w:w="57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预算数</w:t>
            </w:r>
          </w:p>
        </w:tc>
        <w:tc>
          <w:tcPr>
            <w:tcW w:w="8085" w:type="dxa"/>
            <w:gridSpan w:val="7"/>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997"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94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2880" w:type="dxa"/>
            <w:gridSpan w:val="3"/>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90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c>
          <w:tcPr>
            <w:tcW w:w="111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034"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4591" w:type="dxa"/>
            <w:gridSpan w:val="4"/>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35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97"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94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9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96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94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90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11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03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95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826"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81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35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997"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94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9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96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94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90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11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03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95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826"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81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35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97"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6.00</w:t>
            </w:r>
          </w:p>
        </w:tc>
        <w:tc>
          <w:tcPr>
            <w:tcW w:w="94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97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6.00</w:t>
            </w:r>
          </w:p>
        </w:tc>
        <w:tc>
          <w:tcPr>
            <w:tcW w:w="96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94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6.00</w:t>
            </w:r>
          </w:p>
        </w:tc>
        <w:tc>
          <w:tcPr>
            <w:tcW w:w="90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2.42</w:t>
            </w:r>
          </w:p>
        </w:tc>
        <w:tc>
          <w:tcPr>
            <w:tcW w:w="1034"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950"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2.42</w:t>
            </w:r>
          </w:p>
        </w:tc>
        <w:tc>
          <w:tcPr>
            <w:tcW w:w="1826"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81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2.42</w:t>
            </w:r>
          </w:p>
        </w:tc>
        <w:tc>
          <w:tcPr>
            <w:tcW w:w="135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3807" w:type="dxa"/>
            <w:gridSpan w:val="13"/>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36"/>
        <w:gridCol w:w="4750"/>
        <w:gridCol w:w="1723"/>
        <w:gridCol w:w="1485"/>
        <w:gridCol w:w="713"/>
        <w:gridCol w:w="682"/>
        <w:gridCol w:w="1275"/>
        <w:gridCol w:w="121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13984" w:type="dxa"/>
            <w:gridSpan w:val="9"/>
            <w:vAlign w:val="bottom"/>
          </w:tcPr>
          <w:p>
            <w:pPr>
              <w:keepNext w:val="0"/>
              <w:keepLines w:val="0"/>
              <w:widowControl/>
              <w:suppressLineNumbers w:val="0"/>
              <w:jc w:val="center"/>
              <w:textAlignment w:val="bottom"/>
              <w:rPr>
                <w:rFonts w:hint="eastAsia" w:ascii="宋体" w:hAnsi="宋体" w:eastAsia="宋体" w:cs="宋体"/>
                <w:i w:val="0"/>
                <w:color w:val="auto"/>
                <w:kern w:val="0"/>
                <w:sz w:val="30"/>
                <w:szCs w:val="30"/>
                <w:highlight w:val="none"/>
                <w:u w:val="none"/>
                <w:lang w:val="en-US" w:eastAsia="zh-CN" w:bidi="ar"/>
              </w:rPr>
            </w:pPr>
            <w:r>
              <w:rPr>
                <w:rFonts w:hint="eastAsia" w:ascii="宋体" w:hAnsi="宋体" w:eastAsia="宋体" w:cs="宋体"/>
                <w:i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679" w:type="dxa"/>
            <w:gridSpan w:val="8"/>
            <w:vAlign w:val="bottom"/>
          </w:tcPr>
          <w:p>
            <w:pPr>
              <w:jc w:val="center"/>
              <w:rPr>
                <w:rFonts w:hint="eastAsia" w:ascii="Arial" w:hAnsi="Arial" w:cs="Arial"/>
                <w:i w:val="0"/>
                <w:color w:val="auto"/>
                <w:sz w:val="18"/>
                <w:szCs w:val="18"/>
                <w:highlight w:val="none"/>
                <w:u w:val="none"/>
              </w:rPr>
            </w:pPr>
          </w:p>
        </w:tc>
        <w:tc>
          <w:tcPr>
            <w:tcW w:w="1305" w:type="dxa"/>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507" w:type="dxa"/>
            <w:gridSpan w:val="5"/>
            <w:vAlign w:val="bottom"/>
          </w:tcPr>
          <w:p>
            <w:pPr>
              <w:keepNext w:val="0"/>
              <w:keepLines w:val="0"/>
              <w:widowControl/>
              <w:suppressLineNumbers w:val="0"/>
              <w:jc w:val="left"/>
              <w:textAlignment w:val="bottom"/>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：许昌市住房保障中心</w:t>
            </w:r>
          </w:p>
        </w:tc>
        <w:tc>
          <w:tcPr>
            <w:tcW w:w="4477" w:type="dxa"/>
            <w:gridSpan w:val="4"/>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55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723"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48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w:t>
            </w:r>
          </w:p>
        </w:tc>
        <w:tc>
          <w:tcPr>
            <w:tcW w:w="3885" w:type="dxa"/>
            <w:gridSpan w:val="4"/>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c>
          <w:tcPr>
            <w:tcW w:w="13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475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723"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48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95" w:type="dxa"/>
            <w:gridSpan w:val="2"/>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27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21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475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723"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48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95"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27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2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3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475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723"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48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95"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27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2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5586"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72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4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395"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27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2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3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5586"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72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190.36</w:t>
            </w:r>
          </w:p>
        </w:tc>
        <w:tc>
          <w:tcPr>
            <w:tcW w:w="148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15.04</w:t>
            </w:r>
          </w:p>
        </w:tc>
        <w:tc>
          <w:tcPr>
            <w:tcW w:w="139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205.39</w:t>
            </w:r>
          </w:p>
        </w:tc>
        <w:tc>
          <w:tcPr>
            <w:tcW w:w="12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auto"/>
                <w:sz w:val="22"/>
                <w:szCs w:val="22"/>
                <w:highlight w:val="none"/>
                <w:u w:val="none"/>
              </w:rPr>
            </w:pPr>
          </w:p>
        </w:tc>
        <w:tc>
          <w:tcPr>
            <w:tcW w:w="121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205.39</w:t>
            </w: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475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城乡社区支出</w:t>
            </w:r>
          </w:p>
        </w:tc>
        <w:tc>
          <w:tcPr>
            <w:tcW w:w="172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8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39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2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1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w:t>
            </w:r>
          </w:p>
        </w:tc>
        <w:tc>
          <w:tcPr>
            <w:tcW w:w="475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国有土地使用权出让收入安排的支出</w:t>
            </w:r>
          </w:p>
        </w:tc>
        <w:tc>
          <w:tcPr>
            <w:tcW w:w="172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8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39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2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1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2120813</w:t>
            </w:r>
          </w:p>
        </w:tc>
        <w:tc>
          <w:tcPr>
            <w:tcW w:w="475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保障性住房租金补贴</w:t>
            </w:r>
          </w:p>
        </w:tc>
        <w:tc>
          <w:tcPr>
            <w:tcW w:w="1723"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8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39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2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1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475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72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48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39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2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1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3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22904</w:t>
            </w:r>
          </w:p>
        </w:tc>
        <w:tc>
          <w:tcPr>
            <w:tcW w:w="475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其他政府性基金及对应专项债务收入安排的支出</w:t>
            </w:r>
          </w:p>
        </w:tc>
        <w:tc>
          <w:tcPr>
            <w:tcW w:w="172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48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39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2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1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2290401</w:t>
            </w:r>
          </w:p>
        </w:tc>
        <w:tc>
          <w:tcPr>
            <w:tcW w:w="475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其他政府性基金安排的支出</w:t>
            </w:r>
          </w:p>
        </w:tc>
        <w:tc>
          <w:tcPr>
            <w:tcW w:w="172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48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39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27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1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475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172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8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95"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475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172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8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95"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475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172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8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95"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3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475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172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48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95"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3984" w:type="dxa"/>
            <w:gridSpan w:val="9"/>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1090.02</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651.01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37.39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当年财政拨款收入减少、统筹使用上年结转结余资金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543.33</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543.33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1090.02</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604.13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55.42</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485.89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44.58</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1090.02</w:t>
      </w:r>
      <w:r>
        <w:rPr>
          <w:rFonts w:hint="eastAsia" w:ascii="仿宋_GB2312" w:hAnsi="仿宋_GB2312" w:eastAsia="仿宋_GB2312" w:cs="仿宋_GB2312"/>
          <w:color w:val="auto"/>
          <w:sz w:val="32"/>
          <w:szCs w:val="32"/>
          <w:highlight w:val="none"/>
        </w:rPr>
        <w:t>万元。与上年度相比，财政拨款收、支总计</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651.01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37.39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当年财政拨款收入减少、统筹使用上年结转结余资金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884.62</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81.16</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154.43</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14.86</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减少办理房产证费用、退休人员增加2人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884.62</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2.92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0.33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社会保障和就业支出</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106.44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12.03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卫生健康</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支出6.86万元，占 0.78%；城乡社区（类）支出9.28万元，占1.05%；资源勘探工业信息等（类）支出759.12万元，占85.81%</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1061.29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884.62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83.35</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2.92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2.92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事业单位离退休费</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67.91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64.56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95.07</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w:t>
      </w:r>
      <w:r>
        <w:rPr>
          <w:rFonts w:hint="eastAsia" w:ascii="仿宋_GB2312" w:hAnsi="仿宋_GB2312" w:eastAsia="仿宋_GB2312" w:cs="仿宋_GB2312"/>
          <w:color w:val="auto"/>
          <w:sz w:val="32"/>
          <w:szCs w:val="32"/>
          <w:highlight w:val="none"/>
          <w:lang w:val="en-US" w:eastAsia="zh-CN"/>
        </w:rPr>
        <w:t>是根据单位实际情况支付退休人员相关经费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37.43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37.43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机关事业单位职业年金缴费支出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21.00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4.46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21.24</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w:t>
      </w:r>
      <w:r>
        <w:rPr>
          <w:rFonts w:hint="eastAsia" w:ascii="仿宋_GB2312" w:hAnsi="仿宋_GB2312" w:eastAsia="仿宋_GB2312" w:cs="仿宋_GB2312"/>
          <w:color w:val="auto"/>
          <w:sz w:val="32"/>
          <w:szCs w:val="32"/>
          <w:highlight w:val="none"/>
          <w:lang w:val="en-US" w:eastAsia="zh-CN"/>
        </w:rPr>
        <w:t>是统筹使用上年结转资金。</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5.卫生健康支出（类）行政事业单位医疗（款）事业单位医疗（项）。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18.00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6.86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38.11</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w:t>
      </w:r>
      <w:r>
        <w:rPr>
          <w:rFonts w:hint="eastAsia" w:ascii="仿宋_GB2312" w:hAnsi="仿宋_GB2312" w:eastAsia="仿宋_GB2312" w:cs="仿宋_GB2312"/>
          <w:color w:val="auto"/>
          <w:sz w:val="32"/>
          <w:szCs w:val="32"/>
          <w:highlight w:val="none"/>
          <w:lang w:val="en-US" w:eastAsia="zh-CN"/>
        </w:rPr>
        <w:t>是统筹使用上年结转资金。</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6.城乡社区支出（类）城乡社区公共设施（款）其他城乡社区公共设施支出（项）。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9.28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w:t>
      </w:r>
      <w:r>
        <w:rPr>
          <w:rFonts w:hint="eastAsia" w:ascii="仿宋_GB2312" w:hAnsi="仿宋_GB2312" w:eastAsia="仿宋_GB2312" w:cs="仿宋_GB2312"/>
          <w:color w:val="auto"/>
          <w:sz w:val="32"/>
          <w:szCs w:val="32"/>
          <w:highlight w:val="none"/>
          <w:lang w:val="en-US" w:eastAsia="zh-CN"/>
        </w:rPr>
        <w:t>是当年追加廉租户取暖补贴支出。</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7.资源勘探工业信息等（类）建筑业（款）其他建筑业支出（项）。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914.03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759.12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83.05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w:t>
      </w:r>
      <w:r>
        <w:rPr>
          <w:rFonts w:hint="eastAsia" w:ascii="仿宋_GB2312" w:hAnsi="仿宋_GB2312" w:eastAsia="仿宋_GB2312" w:cs="仿宋_GB2312"/>
          <w:color w:val="auto"/>
          <w:sz w:val="32"/>
          <w:szCs w:val="32"/>
          <w:highlight w:val="none"/>
          <w:lang w:val="en-US" w:eastAsia="zh-CN"/>
        </w:rPr>
        <w:t>是统筹使用上年结转资金。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604.13</w:t>
      </w:r>
      <w:r>
        <w:rPr>
          <w:rFonts w:hint="eastAsia" w:ascii="仿宋_GB2312" w:hAnsi="仿宋_GB2312" w:eastAsia="仿宋_GB2312" w:cs="仿宋_GB2312"/>
          <w:color w:val="auto"/>
          <w:sz w:val="32"/>
          <w:szCs w:val="32"/>
          <w:highlight w:val="none"/>
        </w:rPr>
        <w:t>万元。其</w:t>
      </w:r>
      <w:r>
        <w:rPr>
          <w:rFonts w:hint="eastAsia" w:ascii="仿宋_GB2312" w:hAnsi="仿宋_GB2312" w:eastAsia="仿宋_GB2312" w:cs="仿宋_GB2312"/>
          <w:color w:val="auto"/>
          <w:sz w:val="32"/>
          <w:szCs w:val="32"/>
          <w:highlight w:val="none"/>
        </w:rPr>
        <w:t>中：人员经费</w:t>
      </w:r>
      <w:r>
        <w:rPr>
          <w:rFonts w:hint="eastAsia" w:ascii="仿宋_GB2312" w:hAnsi="仿宋_GB2312" w:eastAsia="仿宋_GB2312" w:cs="仿宋_GB2312"/>
          <w:color w:val="auto"/>
          <w:sz w:val="32"/>
          <w:szCs w:val="32"/>
          <w:highlight w:val="none"/>
          <w:lang w:val="en-US" w:eastAsia="zh-CN"/>
        </w:rPr>
        <w:t>576.86</w:t>
      </w:r>
      <w:r>
        <w:rPr>
          <w:rFonts w:hint="eastAsia" w:ascii="仿宋_GB2312" w:hAnsi="仿宋_GB2312" w:eastAsia="仿宋_GB2312" w:cs="仿宋_GB2312"/>
          <w:color w:val="auto"/>
          <w:sz w:val="32"/>
          <w:szCs w:val="32"/>
          <w:highlight w:val="none"/>
        </w:rPr>
        <w:t>万元，主要包括：基本工资、津贴补贴、绩效工资、</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color w:val="auto"/>
          <w:sz w:val="32"/>
          <w:szCs w:val="32"/>
          <w:highlight w:val="none"/>
        </w:rPr>
        <w:t>机关事业单位基本养老保险缴费、职业年金缴费、其他社会保障缴费、</w:t>
      </w:r>
      <w:r>
        <w:rPr>
          <w:rFonts w:hint="eastAsia" w:ascii="仿宋_GB2312" w:hAnsi="仿宋_GB2312" w:eastAsia="仿宋_GB2312" w:cs="仿宋_GB2312"/>
          <w:color w:val="auto"/>
          <w:sz w:val="32"/>
          <w:szCs w:val="32"/>
          <w:highlight w:val="none"/>
          <w:lang w:val="en-US" w:eastAsia="zh-CN"/>
        </w:rPr>
        <w:t>职工基本医疗保险缴费、救济费、</w:t>
      </w:r>
      <w:r>
        <w:rPr>
          <w:rFonts w:hint="eastAsia" w:ascii="仿宋_GB2312" w:hAnsi="仿宋_GB2312" w:eastAsia="仿宋_GB2312" w:cs="仿宋_GB2312"/>
          <w:color w:val="auto"/>
          <w:sz w:val="32"/>
          <w:szCs w:val="32"/>
          <w:highlight w:val="none"/>
        </w:rPr>
        <w:t>退休费、生活补助、住房公积金；公用经费</w:t>
      </w:r>
      <w:r>
        <w:rPr>
          <w:rFonts w:hint="eastAsia" w:ascii="仿宋_GB2312" w:hAnsi="仿宋_GB2312" w:eastAsia="仿宋_GB2312" w:cs="仿宋_GB2312"/>
          <w:color w:val="auto"/>
          <w:sz w:val="32"/>
          <w:szCs w:val="32"/>
          <w:highlight w:val="none"/>
          <w:lang w:val="en-US" w:eastAsia="zh-CN"/>
        </w:rPr>
        <w:t>27.28</w:t>
      </w:r>
      <w:r>
        <w:rPr>
          <w:rFonts w:hint="eastAsia" w:ascii="仿宋_GB2312" w:hAnsi="仿宋_GB2312" w:eastAsia="仿宋_GB2312" w:cs="仿宋_GB2312"/>
          <w:color w:val="auto"/>
          <w:sz w:val="32"/>
          <w:szCs w:val="32"/>
          <w:highlight w:val="none"/>
        </w:rPr>
        <w:t>万元，主要包括：办公费、水费、电费、邮电费、物业管理费、差旅费、维修（护）费、培训费、劳务费、工会经费、福利费、公务用车运行维护费、其他商品和服务支出</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6.00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2.42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40.33</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w:t>
      </w:r>
      <w:r>
        <w:rPr>
          <w:rFonts w:hint="eastAsia" w:ascii="仿宋_GB2312" w:hAnsi="仿宋_GB2312" w:eastAsia="仿宋_GB2312" w:cs="仿宋_GB2312"/>
          <w:color w:val="auto"/>
          <w:sz w:val="32"/>
          <w:szCs w:val="32"/>
          <w:highlight w:val="none"/>
          <w:lang w:eastAsia="zh-CN"/>
        </w:rPr>
        <w:t>的原因是厉行节约、严控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三公</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经费支出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2.42</w:t>
      </w:r>
      <w:r>
        <w:rPr>
          <w:rFonts w:hint="eastAsia" w:ascii="仿宋_GB2312" w:hAnsi="仿宋_GB2312" w:eastAsia="仿宋_GB2312" w:cs="仿宋_GB2312"/>
          <w:color w:val="auto"/>
          <w:sz w:val="32"/>
          <w:szCs w:val="32"/>
          <w:highlight w:val="none"/>
        </w:rPr>
        <w:t>万元，完成预算的</w:t>
      </w:r>
      <w:r>
        <w:rPr>
          <w:rFonts w:hint="default" w:ascii="仿宋_GB2312" w:hAnsi="仿宋_GB2312" w:eastAsia="仿宋_GB2312" w:cs="仿宋_GB2312"/>
          <w:color w:val="auto"/>
          <w:sz w:val="32"/>
          <w:szCs w:val="32"/>
          <w:highlight w:val="none"/>
          <w:lang w:eastAsia="zh-CN"/>
        </w:rPr>
        <w:t>40.33%</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b/>
          <w:bCs/>
          <w:color w:val="auto"/>
          <w:sz w:val="32"/>
          <w:szCs w:val="32"/>
          <w:highlight w:val="none"/>
        </w:rPr>
        <w:t xml:space="preserve"> 1.</w:t>
      </w:r>
      <w:r>
        <w:rPr>
          <w:rFonts w:hint="eastAsia" w:ascii="仿宋_GB2312" w:hAnsi="仿宋_GB2312" w:eastAsia="仿宋_GB2312" w:cs="仿宋_GB2312"/>
          <w:b/>
          <w:bCs/>
          <w:color w:val="auto"/>
          <w:sz w:val="32"/>
          <w:szCs w:val="32"/>
          <w:highlight w:val="none"/>
        </w:rPr>
        <w:t>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lang w:val="en-US" w:eastAsia="zh-CN"/>
        </w:rPr>
        <w:t>全年因公出国（境）团组0个，累计0人次。</w:t>
      </w:r>
    </w:p>
    <w:p>
      <w:pPr>
        <w:widowControl/>
        <w:numPr>
          <w:ilvl w:val="0"/>
          <w:numId w:val="0"/>
        </w:numPr>
        <w:spacing w:line="590" w:lineRule="exac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6.00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2.42</w:t>
      </w:r>
      <w:r>
        <w:rPr>
          <w:rFonts w:hint="eastAsia" w:ascii="仿宋_GB2312" w:hAnsi="仿宋_GB2312" w:eastAsia="仿宋_GB2312" w:cs="仿宋_GB2312"/>
          <w:color w:val="auto"/>
          <w:sz w:val="32"/>
          <w:szCs w:val="32"/>
          <w:highlight w:val="none"/>
        </w:rPr>
        <w:t>万元，完成预算的</w:t>
      </w:r>
      <w:r>
        <w:rPr>
          <w:rFonts w:hint="default" w:ascii="仿宋_GB2312" w:hAnsi="仿宋_GB2312" w:eastAsia="仿宋_GB2312" w:cs="仿宋_GB2312"/>
          <w:color w:val="auto"/>
          <w:sz w:val="32"/>
          <w:szCs w:val="32"/>
          <w:highlight w:val="none"/>
          <w:lang w:eastAsia="zh-CN"/>
        </w:rPr>
        <w:t>40.33</w:t>
      </w:r>
      <w:r>
        <w:rPr>
          <w:rFonts w:hint="eastAsia" w:ascii="仿宋_GB2312" w:hAnsi="仿宋_GB2312" w:eastAsia="仿宋_GB2312" w:cs="仿宋_GB2312"/>
          <w:color w:val="auto"/>
          <w:sz w:val="32"/>
          <w:szCs w:val="32"/>
          <w:highlight w:val="none"/>
        </w:rPr>
        <w:t>%。决算数与预算数存在差异</w:t>
      </w:r>
      <w:r>
        <w:rPr>
          <w:rFonts w:hint="eastAsia" w:ascii="仿宋_GB2312" w:hAnsi="仿宋_GB2312" w:eastAsia="仿宋_GB2312" w:cs="仿宋_GB2312"/>
          <w:color w:val="auto"/>
          <w:sz w:val="32"/>
          <w:szCs w:val="32"/>
          <w:highlight w:val="none"/>
          <w:lang w:eastAsia="zh-CN"/>
        </w:rPr>
        <w:t>的原因是厉行节约、严控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三公</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经费支出</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2.42</w:t>
      </w:r>
      <w:r>
        <w:rPr>
          <w:rFonts w:hint="eastAsia" w:ascii="仿宋_GB2312" w:hAnsi="仿宋_GB2312" w:eastAsia="仿宋_GB2312" w:cs="仿宋_GB2312"/>
          <w:color w:val="auto"/>
          <w:sz w:val="32"/>
          <w:szCs w:val="32"/>
          <w:highlight w:val="none"/>
        </w:rPr>
        <w:t>万元。主要用</w:t>
      </w:r>
      <w:r>
        <w:rPr>
          <w:rFonts w:hint="eastAsia" w:ascii="仿宋_GB2312" w:hAnsi="仿宋_GB2312" w:eastAsia="仿宋_GB2312" w:cs="仿宋_GB2312"/>
          <w:color w:val="auto"/>
          <w:sz w:val="32"/>
          <w:szCs w:val="32"/>
          <w:highlight w:val="none"/>
          <w:lang w:val="en-US" w:eastAsia="zh-CN"/>
        </w:rPr>
        <w:t>于购买汽油、车辆维修、购买保险、通行费等支出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2辆</w:t>
      </w:r>
      <w:r>
        <w:rPr>
          <w:rFonts w:hint="eastAsia" w:ascii="仿宋_GB2312" w:hAnsi="仿宋_GB2312" w:eastAsia="仿宋_GB2312" w:cs="仿宋_GB2312"/>
          <w:color w:val="auto"/>
          <w:sz w:val="32"/>
          <w:szCs w:val="32"/>
          <w:highlight w:val="none"/>
        </w:rPr>
        <w:t>。</w:t>
      </w:r>
    </w:p>
    <w:p>
      <w:pPr>
        <w:widowControl/>
        <w:numPr>
          <w:ilvl w:val="0"/>
          <w:numId w:val="0"/>
        </w:numPr>
        <w:spacing w:line="590" w:lineRule="exac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b/>
          <w:bCs/>
          <w:color w:val="auto"/>
          <w:sz w:val="32"/>
          <w:szCs w:val="32"/>
          <w:highlight w:val="none"/>
        </w:rPr>
        <w:t xml:space="preserve">    3.</w:t>
      </w:r>
      <w:r>
        <w:rPr>
          <w:rFonts w:hint="eastAsia" w:ascii="仿宋_GB2312" w:hAnsi="仿宋_GB2312" w:eastAsia="仿宋_GB2312" w:cs="仿宋_GB2312"/>
          <w:b/>
          <w:bCs/>
          <w:color w:val="auto"/>
          <w:sz w:val="32"/>
          <w:szCs w:val="32"/>
          <w:highlight w:val="none"/>
        </w:rPr>
        <w:t>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其中：</w:t>
      </w:r>
    </w:p>
    <w:p>
      <w:pPr>
        <w:widowControl/>
        <w:numPr>
          <w:ilvl w:val="0"/>
          <w:numId w:val="0"/>
        </w:numPr>
        <w:spacing w:line="590" w:lineRule="exact"/>
        <w:rPr>
          <w:rFonts w:ascii="仿宋_GB2312" w:hAnsi="仿宋_GB2312" w:eastAsia="仿宋_GB2312" w:cs="仿宋_GB2312"/>
          <w:color w:val="auto"/>
          <w:sz w:val="32"/>
          <w:szCs w:val="32"/>
          <w:highlight w:val="none"/>
        </w:rPr>
      </w:pPr>
      <w:r>
        <w:rPr>
          <w:rFonts w:hint="default"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b/>
          <w:bCs/>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205.39</w:t>
      </w:r>
      <w:r>
        <w:rPr>
          <w:rFonts w:hint="eastAsia" w:ascii="仿宋_GB2312" w:hAnsi="仿宋_GB2312" w:eastAsia="仿宋_GB2312" w:cs="仿宋_GB2312"/>
          <w:color w:val="auto"/>
          <w:sz w:val="32"/>
          <w:szCs w:val="32"/>
          <w:highlight w:val="none"/>
        </w:rPr>
        <w:t>万元</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主要用于</w:t>
      </w:r>
      <w:r>
        <w:rPr>
          <w:rFonts w:hint="eastAsia" w:ascii="仿宋_GB2312" w:hAnsi="仿宋_GB2312" w:eastAsia="仿宋_GB2312" w:cs="仿宋_GB2312"/>
          <w:color w:val="auto"/>
          <w:sz w:val="32"/>
          <w:szCs w:val="32"/>
          <w:highlight w:val="none"/>
          <w:lang w:val="en-US" w:eastAsia="zh-CN"/>
        </w:rPr>
        <w:t>发放低收入家庭住房补贴和保障房后期维修维护及辅助性支出。不存在项目年末结转结余资金数额较大的项目。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260.13</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260.13</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组织单位相关科室人员学习文件精神，并依据文件内容制定单位内部《预算绩效管理实施办法》。拟定主要工作职责，由计财科负责预算绩效管理工作的实施。加强预算管理，优化资源配置。树立“花钱必问效、无效必问责”的绩效管理理念，使我单位的财政资金使用绩效和科学精细化管理水平得到提升。</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根据部门整体绩效评价指标规定的内容，经过综合整体绩效评价，2021年我单位整体绩效评价分数为100分。二是项目绩效自评情况。我单位对三个项目支出进行了绩效自评，自评覆盖率100%。由工程科、计财科、保障房管理科等科室人员成立绩效自评小组，进行资料收集和整理工作，根据整理的数据分项打分。资料来源为2021年部门预算数据、2021年部门决算数据、2021年财务账册等、工程维修项目维修清单、预结算报告、保障房管理考核情况等资料。我单位共有3个项目批复了绩效目标，项目金额</w:t>
      </w:r>
      <w:r>
        <w:rPr>
          <w:rFonts w:hint="default" w:ascii="仿宋_GB2312" w:hAnsi="仿宋_GB2312" w:eastAsia="仿宋_GB2312" w:cs="仿宋_GB2312"/>
          <w:color w:val="auto"/>
          <w:sz w:val="32"/>
          <w:szCs w:val="32"/>
          <w:highlight w:val="none"/>
          <w:lang w:eastAsia="zh-CN"/>
        </w:rPr>
        <w:t>85.50</w:t>
      </w:r>
      <w:r>
        <w:rPr>
          <w:rFonts w:hint="eastAsia" w:ascii="仿宋_GB2312" w:hAnsi="仿宋_GB2312" w:eastAsia="仿宋_GB2312" w:cs="仿宋_GB2312"/>
          <w:color w:val="auto"/>
          <w:sz w:val="32"/>
          <w:szCs w:val="32"/>
          <w:highlight w:val="none"/>
          <w:lang w:val="en-US" w:eastAsia="zh-CN"/>
        </w:rPr>
        <w:t>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99分。其中：3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6A90DB0"/>
    <w:rsid w:val="0799329C"/>
    <w:rsid w:val="08397436"/>
    <w:rsid w:val="086F16A7"/>
    <w:rsid w:val="08DF4483"/>
    <w:rsid w:val="08F85810"/>
    <w:rsid w:val="09616F12"/>
    <w:rsid w:val="0A0F7225"/>
    <w:rsid w:val="0A1567FB"/>
    <w:rsid w:val="0A2B7D82"/>
    <w:rsid w:val="0ADC40E9"/>
    <w:rsid w:val="0AE607F4"/>
    <w:rsid w:val="0AFD0EBC"/>
    <w:rsid w:val="0B386127"/>
    <w:rsid w:val="0B451598"/>
    <w:rsid w:val="0BEC73F4"/>
    <w:rsid w:val="0C392698"/>
    <w:rsid w:val="0EF7E27A"/>
    <w:rsid w:val="0FB3423F"/>
    <w:rsid w:val="10BD36F6"/>
    <w:rsid w:val="11343F39"/>
    <w:rsid w:val="11553BE8"/>
    <w:rsid w:val="11BF0649"/>
    <w:rsid w:val="123E3E08"/>
    <w:rsid w:val="1319085D"/>
    <w:rsid w:val="133212F4"/>
    <w:rsid w:val="13D22E22"/>
    <w:rsid w:val="14C270BD"/>
    <w:rsid w:val="161C2DFF"/>
    <w:rsid w:val="16373578"/>
    <w:rsid w:val="16D3336B"/>
    <w:rsid w:val="16E9CA5A"/>
    <w:rsid w:val="17200028"/>
    <w:rsid w:val="17806C36"/>
    <w:rsid w:val="17A74F62"/>
    <w:rsid w:val="18A47774"/>
    <w:rsid w:val="1A8D28EB"/>
    <w:rsid w:val="1A9F2D78"/>
    <w:rsid w:val="1B2E6FD8"/>
    <w:rsid w:val="1B877D21"/>
    <w:rsid w:val="1BF65BDF"/>
    <w:rsid w:val="1C3C50F0"/>
    <w:rsid w:val="1C4319A9"/>
    <w:rsid w:val="1D0EC0E0"/>
    <w:rsid w:val="1D394FB4"/>
    <w:rsid w:val="1DFFA936"/>
    <w:rsid w:val="1E443B4B"/>
    <w:rsid w:val="1E994F4A"/>
    <w:rsid w:val="1EAF0224"/>
    <w:rsid w:val="1EF5E7E0"/>
    <w:rsid w:val="1F2230A4"/>
    <w:rsid w:val="20210932"/>
    <w:rsid w:val="202448E0"/>
    <w:rsid w:val="203812C0"/>
    <w:rsid w:val="20F614FE"/>
    <w:rsid w:val="21302EEA"/>
    <w:rsid w:val="22376FB5"/>
    <w:rsid w:val="22BD0866"/>
    <w:rsid w:val="23E152D7"/>
    <w:rsid w:val="23EE2489"/>
    <w:rsid w:val="24F533AF"/>
    <w:rsid w:val="255D43C8"/>
    <w:rsid w:val="26714EF8"/>
    <w:rsid w:val="26876BDD"/>
    <w:rsid w:val="2714632A"/>
    <w:rsid w:val="27541E73"/>
    <w:rsid w:val="276F892E"/>
    <w:rsid w:val="279C3D60"/>
    <w:rsid w:val="27B0539E"/>
    <w:rsid w:val="28B210E0"/>
    <w:rsid w:val="29365CF8"/>
    <w:rsid w:val="299469B3"/>
    <w:rsid w:val="29B2010C"/>
    <w:rsid w:val="2A805789"/>
    <w:rsid w:val="2ADC0D75"/>
    <w:rsid w:val="2B4A0E52"/>
    <w:rsid w:val="2B7F24B9"/>
    <w:rsid w:val="2BEFF165"/>
    <w:rsid w:val="2C882884"/>
    <w:rsid w:val="2C975890"/>
    <w:rsid w:val="2DEF21BB"/>
    <w:rsid w:val="2E4A2F05"/>
    <w:rsid w:val="2ECC1061"/>
    <w:rsid w:val="2F9E4C2B"/>
    <w:rsid w:val="2FA476AD"/>
    <w:rsid w:val="2FF37CEF"/>
    <w:rsid w:val="2FF73891"/>
    <w:rsid w:val="303F7540"/>
    <w:rsid w:val="30C10818"/>
    <w:rsid w:val="31DD00BF"/>
    <w:rsid w:val="3293174C"/>
    <w:rsid w:val="32BB38D4"/>
    <w:rsid w:val="32C9376D"/>
    <w:rsid w:val="33780472"/>
    <w:rsid w:val="33AF0905"/>
    <w:rsid w:val="34FD4F89"/>
    <w:rsid w:val="355932F4"/>
    <w:rsid w:val="35611882"/>
    <w:rsid w:val="36746FC3"/>
    <w:rsid w:val="368763AE"/>
    <w:rsid w:val="370C2303"/>
    <w:rsid w:val="37F232A7"/>
    <w:rsid w:val="38064DE9"/>
    <w:rsid w:val="38676EE3"/>
    <w:rsid w:val="395D59E7"/>
    <w:rsid w:val="398BE223"/>
    <w:rsid w:val="3997626B"/>
    <w:rsid w:val="39A93932"/>
    <w:rsid w:val="39F604EF"/>
    <w:rsid w:val="39FFFCA5"/>
    <w:rsid w:val="3A915562"/>
    <w:rsid w:val="3AD91EF1"/>
    <w:rsid w:val="3B8D4765"/>
    <w:rsid w:val="3BFF899B"/>
    <w:rsid w:val="3C000DBA"/>
    <w:rsid w:val="3CFF93F7"/>
    <w:rsid w:val="3D1B4263"/>
    <w:rsid w:val="3DC045D3"/>
    <w:rsid w:val="3E504FFB"/>
    <w:rsid w:val="3E615CD0"/>
    <w:rsid w:val="3E9C47F6"/>
    <w:rsid w:val="3ED3CB13"/>
    <w:rsid w:val="3F6F9B5A"/>
    <w:rsid w:val="3F8B0112"/>
    <w:rsid w:val="3FAB3095"/>
    <w:rsid w:val="3FB7963C"/>
    <w:rsid w:val="3FCE72E4"/>
    <w:rsid w:val="3FE45947"/>
    <w:rsid w:val="40155246"/>
    <w:rsid w:val="41242965"/>
    <w:rsid w:val="4237359D"/>
    <w:rsid w:val="435671EA"/>
    <w:rsid w:val="43C0335D"/>
    <w:rsid w:val="43C80225"/>
    <w:rsid w:val="440809E9"/>
    <w:rsid w:val="442407A6"/>
    <w:rsid w:val="44805EA1"/>
    <w:rsid w:val="45710696"/>
    <w:rsid w:val="46142B1B"/>
    <w:rsid w:val="47E60DD0"/>
    <w:rsid w:val="48735039"/>
    <w:rsid w:val="48B01ACA"/>
    <w:rsid w:val="492C684B"/>
    <w:rsid w:val="49500594"/>
    <w:rsid w:val="49E7604E"/>
    <w:rsid w:val="4B437615"/>
    <w:rsid w:val="4BF67CDD"/>
    <w:rsid w:val="4CC62ED0"/>
    <w:rsid w:val="4D173441"/>
    <w:rsid w:val="4D603DD6"/>
    <w:rsid w:val="4E2652FB"/>
    <w:rsid w:val="4EBF010F"/>
    <w:rsid w:val="4F471EB0"/>
    <w:rsid w:val="4FD67341"/>
    <w:rsid w:val="51331326"/>
    <w:rsid w:val="51740A7F"/>
    <w:rsid w:val="51A5541E"/>
    <w:rsid w:val="51C96242"/>
    <w:rsid w:val="51ED3919"/>
    <w:rsid w:val="53906AE1"/>
    <w:rsid w:val="53F0636E"/>
    <w:rsid w:val="542A18AE"/>
    <w:rsid w:val="54F46F60"/>
    <w:rsid w:val="55A37BEA"/>
    <w:rsid w:val="5608061A"/>
    <w:rsid w:val="56362CD2"/>
    <w:rsid w:val="56E6467A"/>
    <w:rsid w:val="5784687B"/>
    <w:rsid w:val="57846959"/>
    <w:rsid w:val="578E6A87"/>
    <w:rsid w:val="57FBA0F9"/>
    <w:rsid w:val="59BCD506"/>
    <w:rsid w:val="59CF43BF"/>
    <w:rsid w:val="5AC2203A"/>
    <w:rsid w:val="5BFD7C6F"/>
    <w:rsid w:val="5CBB3334"/>
    <w:rsid w:val="5CFF22CA"/>
    <w:rsid w:val="5D115FAF"/>
    <w:rsid w:val="5E5E75F5"/>
    <w:rsid w:val="5EEB6596"/>
    <w:rsid w:val="5EFF27C3"/>
    <w:rsid w:val="5F8FB409"/>
    <w:rsid w:val="5FAFED1F"/>
    <w:rsid w:val="5FBFDE65"/>
    <w:rsid w:val="5FDEDFA4"/>
    <w:rsid w:val="5FF7FC97"/>
    <w:rsid w:val="5FFFC72F"/>
    <w:rsid w:val="606528E8"/>
    <w:rsid w:val="617778CA"/>
    <w:rsid w:val="62811722"/>
    <w:rsid w:val="62E75A72"/>
    <w:rsid w:val="64571880"/>
    <w:rsid w:val="649125B6"/>
    <w:rsid w:val="64DF4A2F"/>
    <w:rsid w:val="652F4C1A"/>
    <w:rsid w:val="656F1F8D"/>
    <w:rsid w:val="65FFC293"/>
    <w:rsid w:val="66593B4F"/>
    <w:rsid w:val="666D37F1"/>
    <w:rsid w:val="66FF4D1F"/>
    <w:rsid w:val="67087D8F"/>
    <w:rsid w:val="671F687E"/>
    <w:rsid w:val="675F6F61"/>
    <w:rsid w:val="679B2764"/>
    <w:rsid w:val="67F415F8"/>
    <w:rsid w:val="682640D1"/>
    <w:rsid w:val="684B73E5"/>
    <w:rsid w:val="69BE145A"/>
    <w:rsid w:val="69FB8688"/>
    <w:rsid w:val="6A047A2A"/>
    <w:rsid w:val="6AF615A8"/>
    <w:rsid w:val="6EAC637B"/>
    <w:rsid w:val="6EE55F6B"/>
    <w:rsid w:val="6EFB7548"/>
    <w:rsid w:val="6F3831C3"/>
    <w:rsid w:val="6F8B71C1"/>
    <w:rsid w:val="6FF91274"/>
    <w:rsid w:val="6FFF8FE2"/>
    <w:rsid w:val="70753482"/>
    <w:rsid w:val="707B522A"/>
    <w:rsid w:val="70D440A0"/>
    <w:rsid w:val="70EE606B"/>
    <w:rsid w:val="73194D05"/>
    <w:rsid w:val="73A83B0E"/>
    <w:rsid w:val="744D3EF9"/>
    <w:rsid w:val="74794411"/>
    <w:rsid w:val="757BC656"/>
    <w:rsid w:val="75867C40"/>
    <w:rsid w:val="75B10B26"/>
    <w:rsid w:val="75EF6A40"/>
    <w:rsid w:val="75F27938"/>
    <w:rsid w:val="75FF4B39"/>
    <w:rsid w:val="76432199"/>
    <w:rsid w:val="76F44829"/>
    <w:rsid w:val="77A267C0"/>
    <w:rsid w:val="77DBCF46"/>
    <w:rsid w:val="77EF9752"/>
    <w:rsid w:val="77F9A038"/>
    <w:rsid w:val="78882278"/>
    <w:rsid w:val="78B118A6"/>
    <w:rsid w:val="78B7A211"/>
    <w:rsid w:val="79135044"/>
    <w:rsid w:val="7937038E"/>
    <w:rsid w:val="79C954DC"/>
    <w:rsid w:val="79D51AB9"/>
    <w:rsid w:val="79FE1093"/>
    <w:rsid w:val="7A7D0F99"/>
    <w:rsid w:val="7AED9A17"/>
    <w:rsid w:val="7AEFC678"/>
    <w:rsid w:val="7B2DCBDE"/>
    <w:rsid w:val="7BAEA28D"/>
    <w:rsid w:val="7BB64793"/>
    <w:rsid w:val="7BEFE9BA"/>
    <w:rsid w:val="7BF323D1"/>
    <w:rsid w:val="7D20750E"/>
    <w:rsid w:val="7DF64F33"/>
    <w:rsid w:val="7E4A0E7C"/>
    <w:rsid w:val="7E7E31B2"/>
    <w:rsid w:val="7EBFAD70"/>
    <w:rsid w:val="7EDE471F"/>
    <w:rsid w:val="7EEAA161"/>
    <w:rsid w:val="7EF745D2"/>
    <w:rsid w:val="7EFD449D"/>
    <w:rsid w:val="7F273A2E"/>
    <w:rsid w:val="7F2B7D37"/>
    <w:rsid w:val="7F7F6297"/>
    <w:rsid w:val="7F9D93EF"/>
    <w:rsid w:val="7FB397A8"/>
    <w:rsid w:val="7FD7A313"/>
    <w:rsid w:val="7FDDBB4B"/>
    <w:rsid w:val="7FF59F9A"/>
    <w:rsid w:val="7FF7FF9A"/>
    <w:rsid w:val="7FFBEBBF"/>
    <w:rsid w:val="7FFED010"/>
    <w:rsid w:val="7FFF36A2"/>
    <w:rsid w:val="9DFF03E2"/>
    <w:rsid w:val="9F7FED17"/>
    <w:rsid w:val="9FD36194"/>
    <w:rsid w:val="9FF73CC8"/>
    <w:rsid w:val="9FFB5671"/>
    <w:rsid w:val="A17F9C18"/>
    <w:rsid w:val="A2D74783"/>
    <w:rsid w:val="A7CF3B5B"/>
    <w:rsid w:val="A8B80DFB"/>
    <w:rsid w:val="ADFF1693"/>
    <w:rsid w:val="AFFF0C22"/>
    <w:rsid w:val="B17FAB86"/>
    <w:rsid w:val="B77F82A4"/>
    <w:rsid w:val="B877AE95"/>
    <w:rsid w:val="BB7D41D9"/>
    <w:rsid w:val="BBCDB029"/>
    <w:rsid w:val="BD6E400C"/>
    <w:rsid w:val="BDF8FBBC"/>
    <w:rsid w:val="BEFF3110"/>
    <w:rsid w:val="BF5F6CEE"/>
    <w:rsid w:val="BF75759A"/>
    <w:rsid w:val="BFD72B6C"/>
    <w:rsid w:val="BFFFB059"/>
    <w:rsid w:val="C0DB448B"/>
    <w:rsid w:val="C5AF73E8"/>
    <w:rsid w:val="CD6DF98B"/>
    <w:rsid w:val="CDFF40B3"/>
    <w:rsid w:val="CFFFC79D"/>
    <w:rsid w:val="D5B45607"/>
    <w:rsid w:val="D76F7BC9"/>
    <w:rsid w:val="D7A9DB26"/>
    <w:rsid w:val="DC9FBA88"/>
    <w:rsid w:val="DEBF7A00"/>
    <w:rsid w:val="DF7D9536"/>
    <w:rsid w:val="DFF648C4"/>
    <w:rsid w:val="E75E2B33"/>
    <w:rsid w:val="EE3BBC39"/>
    <w:rsid w:val="EF5B535D"/>
    <w:rsid w:val="EF5EBB64"/>
    <w:rsid w:val="EFBFB7C8"/>
    <w:rsid w:val="EFFA4896"/>
    <w:rsid w:val="F28D3A9A"/>
    <w:rsid w:val="F2EF1EC8"/>
    <w:rsid w:val="F3E6145C"/>
    <w:rsid w:val="F46E21DC"/>
    <w:rsid w:val="F5FBFA78"/>
    <w:rsid w:val="F77A1D5D"/>
    <w:rsid w:val="F7EDC2B6"/>
    <w:rsid w:val="F7FA767C"/>
    <w:rsid w:val="F7FBB5FE"/>
    <w:rsid w:val="F8DFBB2B"/>
    <w:rsid w:val="F9330222"/>
    <w:rsid w:val="F95B0238"/>
    <w:rsid w:val="FACD0ECB"/>
    <w:rsid w:val="FBBB69CD"/>
    <w:rsid w:val="FBBD9153"/>
    <w:rsid w:val="FBC6F991"/>
    <w:rsid w:val="FBE5BD7A"/>
    <w:rsid w:val="FBFDD30C"/>
    <w:rsid w:val="FD6E75BD"/>
    <w:rsid w:val="FD7FC617"/>
    <w:rsid w:val="FDBF7867"/>
    <w:rsid w:val="FDDEA9A0"/>
    <w:rsid w:val="FDE5A36C"/>
    <w:rsid w:val="FDED10B5"/>
    <w:rsid w:val="FE7758DE"/>
    <w:rsid w:val="FE7F2011"/>
    <w:rsid w:val="FEBF4F87"/>
    <w:rsid w:val="FF622993"/>
    <w:rsid w:val="FF7F329B"/>
    <w:rsid w:val="FF9F7F70"/>
    <w:rsid w:val="FFCF30AF"/>
    <w:rsid w:val="FFDF8ACA"/>
    <w:rsid w:val="FFE71CB8"/>
    <w:rsid w:val="FFFB58D9"/>
    <w:rsid w:val="FFFBDFF8"/>
    <w:rsid w:val="FFFDC8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41"/>
    <w:qFormat/>
    <w:uiPriority w:val="0"/>
    <w:rPr>
      <w:rFonts w:hint="eastAsia" w:ascii="宋体" w:hAnsi="宋体" w:eastAsia="宋体" w:cs="宋体"/>
      <w:color w:val="000000"/>
      <w:sz w:val="24"/>
      <w:szCs w:val="24"/>
      <w:u w:val="none"/>
    </w:rPr>
  </w:style>
  <w:style w:type="character" w:customStyle="1" w:styleId="1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8304</Words>
  <Characters>10474</Characters>
  <Lines>60</Lines>
  <Paragraphs>16</Paragraphs>
  <TotalTime>216</TotalTime>
  <ScaleCrop>false</ScaleCrop>
  <LinksUpToDate>false</LinksUpToDate>
  <CharactersWithSpaces>10529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悟の</cp:lastModifiedBy>
  <cp:lastPrinted>2018-07-26T10:50:00Z</cp:lastPrinted>
  <dcterms:modified xsi:type="dcterms:W3CDTF">2023-09-17T11:13:03Z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7BA27CDF44CB44AD9D18CE04043357B5_13</vt:lpwstr>
  </property>
</Properties>
</file>