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许昌市价格监督检查局</w:t>
      </w: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许昌市价格监督检查局</w:t>
      </w:r>
      <w:r>
        <w:rPr>
          <w:rFonts w:hint="eastAsia" w:ascii="黑体" w:hAnsi="黑体" w:eastAsia="黑体" w:cs="黑体"/>
          <w:color w:val="auto"/>
          <w:sz w:val="32"/>
          <w:szCs w:val="32"/>
          <w:highlight w:val="none"/>
        </w:rPr>
        <w:t>概况</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w:t>
      </w:r>
      <w:r>
        <w:rPr>
          <w:rFonts w:hint="eastAsia" w:ascii="黑体" w:hAnsi="黑体" w:eastAsia="黑体" w:cs="黑体"/>
          <w:color w:val="auto"/>
          <w:sz w:val="32"/>
          <w:szCs w:val="32"/>
          <w:highlight w:val="none"/>
        </w:rPr>
        <w:t>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w:t>
      </w:r>
      <w:r>
        <w:rPr>
          <w:rFonts w:hint="eastAsia" w:ascii="黑体" w:hAnsi="黑体" w:eastAsia="黑体" w:cs="黑体"/>
          <w:color w:val="auto"/>
          <w:sz w:val="32"/>
          <w:szCs w:val="32"/>
          <w:highlight w:val="none"/>
        </w:rPr>
        <w:t>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许昌市价格监督检查局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320" w:firstLineChars="1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 一、单位</w:t>
      </w:r>
      <w:r>
        <w:rPr>
          <w:rFonts w:hint="eastAsia" w:ascii="黑体" w:hAnsi="黑体" w:eastAsia="黑体" w:cs="黑体"/>
          <w:bCs/>
          <w:color w:val="auto"/>
          <w:sz w:val="32"/>
          <w:szCs w:val="32"/>
          <w:highlight w:val="none"/>
        </w:rPr>
        <w:t>职责</w:t>
      </w:r>
    </w:p>
    <w:p>
      <w:pPr>
        <w:numPr>
          <w:ilvl w:val="0"/>
          <w:numId w:val="0"/>
        </w:numPr>
        <w:ind w:left="319" w:leftChars="152" w:firstLine="0" w:firstLineChars="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负责全市价格和收费方面的监督检查工</w:t>
      </w:r>
      <w:r>
        <w:rPr>
          <w:rFonts w:hint="eastAsia" w:ascii="仿宋_GB2312" w:hAnsi="仿宋_GB2312" w:eastAsia="仿宋_GB2312" w:cs="仿宋_GB2312"/>
          <w:color w:val="auto"/>
          <w:sz w:val="32"/>
          <w:szCs w:val="32"/>
          <w:highlight w:val="none"/>
          <w:lang w:val="en-US" w:eastAsia="zh-CN"/>
        </w:rPr>
        <w:t xml:space="preserve">作。        </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负责对中央、省驻许有关单位的价格行为和收费行为进行监督检查；</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依法受理公民法人和其他组织对价格违法行为的举报、投诉，承办价格举报案件；</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组织实施全市商品价格、服务价格以及国家机关、事业性收费的监督检查工作；</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查处价格收费违法违规行为。</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许昌市价格监督检查局内设机构4个，包括：检查一科、检查二科、检查三科、综合办公室。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从决算单位构成看，许昌市价格监督检查局单位决算包括：本级决算（1个）。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年度单位决算编制范围的</w:t>
      </w:r>
      <w:r>
        <w:rPr>
          <w:rFonts w:hint="eastAsia" w:ascii="仿宋_GB2312" w:hAnsi="仿宋_GB2312" w:eastAsia="仿宋_GB2312" w:cs="仿宋_GB2312"/>
          <w:b w:val="0"/>
          <w:bCs w:val="0"/>
          <w:color w:val="auto"/>
          <w:kern w:val="0"/>
          <w:sz w:val="32"/>
          <w:szCs w:val="32"/>
          <w:highlight w:val="none"/>
          <w:lang w:val="en-US" w:eastAsia="zh-CN"/>
        </w:rPr>
        <w:t>单位共1个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1.许昌市价格监督检查局</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8"/>
        <w:gridCol w:w="839"/>
        <w:gridCol w:w="1125"/>
        <w:gridCol w:w="4507"/>
        <w:gridCol w:w="839"/>
        <w:gridCol w:w="2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89"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9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3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8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：许昌市价格监督检查局</w:t>
            </w:r>
          </w:p>
        </w:tc>
        <w:tc>
          <w:tcPr>
            <w:tcW w:w="2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9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3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8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2617"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332.12</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332.12</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25.68</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9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3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222"/>
        <w:gridCol w:w="179"/>
        <w:gridCol w:w="43"/>
        <w:gridCol w:w="462"/>
        <w:gridCol w:w="1300"/>
        <w:gridCol w:w="2196"/>
        <w:gridCol w:w="1193"/>
        <w:gridCol w:w="184"/>
        <w:gridCol w:w="65"/>
        <w:gridCol w:w="505"/>
        <w:gridCol w:w="439"/>
        <w:gridCol w:w="371"/>
        <w:gridCol w:w="74"/>
        <w:gridCol w:w="289"/>
        <w:gridCol w:w="496"/>
        <w:gridCol w:w="235"/>
        <w:gridCol w:w="275"/>
        <w:gridCol w:w="349"/>
        <w:gridCol w:w="108"/>
        <w:gridCol w:w="615"/>
        <w:gridCol w:w="136"/>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1"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9"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8"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2"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：许昌市价格监督检查局</w:t>
            </w: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1"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9"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8"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2"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45"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2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421" w:type="pct"/>
            <w:gridSpan w:val="4"/>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259"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258"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258"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262"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57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395" w:type="pct"/>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9"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8"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8"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9"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8"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8"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1"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9"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8"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8"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2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1" w:type="pct"/>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59"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58"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5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7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332.12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332.12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241.36</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241.36</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发展与改革事务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市场监督管理事务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230.64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230.64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230.64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230.64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76.97</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76.97</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61.03</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61.03</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47.51</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47.51</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13.79</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13.79</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13.79</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13.79</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6.35</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6.35</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5000" w:type="pct"/>
            <w:gridSpan w:val="2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6"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7"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：许昌市价格监督检查局</w:t>
            </w: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6"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7"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45"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86"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487" w:type="pct"/>
            <w:gridSpan w:val="4"/>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303"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03"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303"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395" w:type="pct"/>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8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7"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7"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7"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86"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7" w:type="pct"/>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0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0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0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7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357.80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357.80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261.87</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261.87</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发展与改革事务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市场监督管理事务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64.20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64.20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48.02</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48.02</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8.25</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8.25</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5000" w:type="pct"/>
            <w:gridSpan w:val="2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4" w:type="pct"/>
            <w:gridSpan w:val="3"/>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84"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2"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7"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8"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17"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4"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：许昌市价格监督检查局</w:t>
            </w:r>
          </w:p>
        </w:tc>
        <w:tc>
          <w:tcPr>
            <w:tcW w:w="1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84"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2"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7"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8"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17"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1"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3228" w:type="pct"/>
            <w:gridSpan w:val="17"/>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3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8"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5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284" w:type="pct"/>
            <w:gridSpan w:val="4"/>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312" w:type="pct"/>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57" w:type="pct"/>
            <w:gridSpan w:val="4"/>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378" w:type="pct"/>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617"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3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5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84" w:type="pct"/>
            <w:gridSpan w:val="4"/>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2"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57" w:type="pct"/>
            <w:gridSpan w:val="4"/>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8"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17"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8" w:type="pct"/>
            <w:gridSpan w:val="2"/>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8"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78"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17"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332.12</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261.87</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261.87</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80.14</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80.14</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332.12</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25.68</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25.68</w:t>
            </w:r>
          </w:p>
        </w:tc>
        <w:tc>
          <w:tcPr>
            <w:tcW w:w="1284" w:type="pct"/>
            <w:gridSpan w:val="4"/>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84" w:type="pct"/>
            <w:gridSpan w:val="4"/>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8"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357.80</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2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50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566"/>
        <w:gridCol w:w="289"/>
        <w:gridCol w:w="298"/>
        <w:gridCol w:w="972"/>
        <w:gridCol w:w="785"/>
        <w:gridCol w:w="2064"/>
        <w:gridCol w:w="820"/>
        <w:gridCol w:w="195"/>
        <w:gridCol w:w="671"/>
        <w:gridCol w:w="787"/>
        <w:gridCol w:w="1534"/>
        <w:gridCol w:w="1579"/>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0" w:type="pct"/>
            <w:gridSpan w:val="2"/>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0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81" w:type="pct"/>
            <w:gridSpan w:val="5"/>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6"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0" w:type="pct"/>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：许昌市价格监督检查局</w:t>
            </w:r>
          </w:p>
        </w:tc>
        <w:tc>
          <w:tcPr>
            <w:tcW w:w="10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81" w:type="pct"/>
            <w:gridSpan w:val="5"/>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6"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5" w:type="pct"/>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914" w:type="pct"/>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4"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681" w:type="pct"/>
            <w:gridSpan w:val="5"/>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06"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53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873"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04"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1" w:type="pct"/>
            <w:gridSpan w:val="5"/>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06"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7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4"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81" w:type="pct"/>
            <w:gridSpan w:val="5"/>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06"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7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3085" w:type="pct"/>
            <w:gridSpan w:val="9"/>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3"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3085" w:type="pct"/>
            <w:gridSpan w:val="9"/>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357.80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357.80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261.87</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261.87</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发展与改革事务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市场监督管理事务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248.25</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64.20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64.20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48.02</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15.79</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8.25</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096" w:type="pct"/>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3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1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1"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80"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4" w:type="pct"/>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：许昌市价格监督检查局</w:t>
            </w:r>
          </w:p>
        </w:tc>
        <w:tc>
          <w:tcPr>
            <w:tcW w:w="33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1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1"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80"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2"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3257" w:type="pct"/>
            <w:gridSpan w:val="9"/>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096" w:type="pct"/>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3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27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71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8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301"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356" w:type="pct"/>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2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6"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1"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6"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266.03</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27.80</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105.77</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12.18</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100.20</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0.64</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8.25</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7.54</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0.51</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0.71</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15.33</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0.08</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63.96</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48.02</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11.95</w:t>
            </w:r>
          </w:p>
        </w:tc>
        <w:tc>
          <w:tcPr>
            <w:tcW w:w="301" w:type="pct"/>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1" w:type="pct"/>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301" w:type="pct"/>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329.99</w:t>
            </w:r>
          </w:p>
        </w:tc>
        <w:tc>
          <w:tcPr>
            <w:tcW w:w="2933" w:type="pct"/>
            <w:gridSpan w:val="8"/>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3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1107"/>
        <w:gridCol w:w="1032"/>
        <w:gridCol w:w="788"/>
        <w:gridCol w:w="1032"/>
        <w:gridCol w:w="791"/>
        <w:gridCol w:w="1032"/>
        <w:gridCol w:w="1108"/>
        <w:gridCol w:w="1032"/>
        <w:gridCol w:w="788"/>
        <w:gridCol w:w="103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1"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1"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：许昌市价格监督检查局</w:t>
            </w: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2"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2367"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081"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3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38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081"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48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3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30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48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30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30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30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4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4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3"/>
        <w:gridCol w:w="1021"/>
        <w:gridCol w:w="465"/>
        <w:gridCol w:w="1499"/>
        <w:gridCol w:w="1282"/>
        <w:gridCol w:w="1282"/>
        <w:gridCol w:w="1282"/>
        <w:gridCol w:w="1284"/>
        <w:gridCol w:w="1183"/>
        <w:gridCol w:w="3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769"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21" w:type="dxa"/>
            <w:tcBorders>
              <w:top w:val="nil"/>
              <w:left w:val="nil"/>
              <w:bottom w:val="nil"/>
              <w:right w:val="nil"/>
            </w:tcBorders>
            <w:shd w:val="clear" w:color="auto" w:fill="FFFFFF"/>
            <w:noWrap/>
            <w:vAlign w:val="bottom"/>
          </w:tcPr>
          <w:p>
            <w:pPr>
              <w:rPr>
                <w:rFonts w:hint="eastAsia" w:ascii="Arial" w:hAnsi="Arial" w:cs="Arial"/>
                <w:i w:val="0"/>
                <w:iCs w:val="0"/>
                <w:color w:val="auto"/>
                <w:sz w:val="20"/>
                <w:szCs w:val="20"/>
                <w:highlight w:val="none"/>
                <w:u w:val="none"/>
              </w:rPr>
            </w:pPr>
          </w:p>
        </w:tc>
        <w:tc>
          <w:tcPr>
            <w:tcW w:w="747"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932" w:type="dxa"/>
            <w:gridSpan w:val="8"/>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：许昌市市价格监督检查局</w:t>
            </w: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4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176"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354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5"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42"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9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54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5"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54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5"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4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2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54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932" w:type="dxa"/>
            <w:gridSpan w:val="8"/>
            <w:tcBorders>
              <w:top w:val="nil"/>
              <w:left w:val="nil"/>
              <w:bottom w:val="nil"/>
              <w:right w:val="nil"/>
            </w:tcBorders>
            <w:shd w:val="clear" w:color="auto" w:fill="FFFFFF"/>
            <w:noWrap/>
            <w:vAlign w:val="bottom"/>
          </w:tcPr>
          <w:p>
            <w:pPr>
              <w:widowControl/>
              <w:jc w:val="left"/>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说明：我单位没有政府性基金收入，也没有使用政府性基金安排的支出，故本表无数据。</w:t>
            </w:r>
          </w:p>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21"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747"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21"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747"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highlight w:val="none"/>
                <w:u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0.67</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val="en-US" w:eastAsia="zh-CN"/>
        </w:rPr>
        <w:t>是2021年我单位新增公务应急用车一辆</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332.12</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332.12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0.67</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val="en-US" w:eastAsia="zh-CN"/>
        </w:rPr>
        <w:t>是2021年我单位新增公务应急用车一辆</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34.87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1.2021年我单位新增公务应急用车一辆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2.退休人员经费增加。</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万元，主要用于以下方面：一般公共服务</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261.87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w:t>
      </w:r>
      <w:r>
        <w:rPr>
          <w:rFonts w:hint="eastAsia" w:ascii="仿宋_GB2312" w:hAnsi="仿宋_GB2312" w:eastAsia="仿宋_GB2312" w:cs="仿宋_GB2312"/>
          <w:color w:val="auto"/>
          <w:sz w:val="32"/>
          <w:szCs w:val="32"/>
          <w:highlight w:val="none"/>
        </w:rPr>
        <w:t>支出（类）支出</w:t>
      </w:r>
      <w:r>
        <w:rPr>
          <w:rFonts w:hint="eastAsia" w:ascii="仿宋_GB2312" w:hAnsi="仿宋_GB2312" w:eastAsia="仿宋_GB2312" w:cs="仿宋_GB2312"/>
          <w:color w:val="auto"/>
          <w:sz w:val="32"/>
          <w:szCs w:val="32"/>
          <w:highlight w:val="none"/>
          <w:lang w:val="en-US" w:eastAsia="zh-CN"/>
        </w:rPr>
        <w:t>80.14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22.40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卫生健康支出（类）支出15.79万元，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4.41</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default" w:ascii="仿宋_GB2312" w:hAnsi="仿宋_GB2312" w:eastAsia="仿宋_GB2312" w:cs="仿宋_GB2312"/>
          <w:b/>
          <w:bCs/>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342.35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104.51</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发展与改革事务(款）行政运行(项）。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12.32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w:t>
      </w:r>
      <w:r>
        <w:rPr>
          <w:rFonts w:hint="eastAsia" w:ascii="仿宋_GB2312" w:hAnsi="仿宋_GB2312" w:eastAsia="仿宋_GB2312" w:cs="仿宋_GB2312"/>
          <w:color w:val="auto"/>
          <w:sz w:val="32"/>
          <w:szCs w:val="32"/>
          <w:highlight w:val="none"/>
          <w:lang w:val="en-US" w:eastAsia="zh-CN"/>
        </w:rPr>
        <w:t>数差异主要原因是财政拨款时从</w:t>
      </w:r>
      <w:r>
        <w:rPr>
          <w:rFonts w:hint="eastAsia" w:ascii="仿宋_GB2312" w:hAnsi="仿宋_GB2312" w:eastAsia="仿宋_GB2312" w:cs="仿宋_GB2312"/>
          <w:b w:val="0"/>
          <w:bCs w:val="0"/>
          <w:color w:val="auto"/>
          <w:sz w:val="32"/>
          <w:szCs w:val="32"/>
          <w:highlight w:val="none"/>
          <w:lang w:val="en-US" w:eastAsia="zh-CN"/>
        </w:rPr>
        <w:t>一般公共服务支出</w:t>
      </w:r>
      <w:r>
        <w:rPr>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val="en-US" w:eastAsia="zh-CN"/>
        </w:rPr>
        <w:t>市场监督管理事务</w:t>
      </w:r>
      <w:r>
        <w:rPr>
          <w:rFonts w:hint="eastAsia" w:ascii="仿宋_GB2312" w:hAnsi="仿宋_GB2312" w:eastAsia="仿宋_GB2312" w:cs="仿宋_GB2312"/>
          <w:b w:val="0"/>
          <w:bCs w:val="0"/>
          <w:color w:val="auto"/>
          <w:sz w:val="32"/>
          <w:szCs w:val="32"/>
          <w:highlight w:val="none"/>
        </w:rPr>
        <w:t>（款）</w:t>
      </w:r>
      <w:r>
        <w:rPr>
          <w:rFonts w:hint="eastAsia" w:ascii="仿宋_GB2312" w:hAnsi="仿宋_GB2312" w:eastAsia="仿宋_GB2312" w:cs="仿宋_GB2312"/>
          <w:b w:val="0"/>
          <w:bCs w:val="0"/>
          <w:color w:val="auto"/>
          <w:sz w:val="32"/>
          <w:szCs w:val="32"/>
          <w:highlight w:val="none"/>
          <w:lang w:val="en-US" w:eastAsia="zh-CN"/>
        </w:rPr>
        <w:t>行政运行</w:t>
      </w:r>
      <w:r>
        <w:rPr>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lang w:val="en-US" w:eastAsia="zh-CN"/>
        </w:rPr>
        <w:t>中分离出该项，在决算中单独显示该数据。年初的预算包含在市场监督管理事务中</w:t>
      </w:r>
      <w:r>
        <w:rPr>
          <w:rFonts w:hint="eastAsia" w:ascii="仿宋_GB2312" w:hAnsi="仿宋_GB2312" w:eastAsia="仿宋_GB2312" w:cs="仿宋_GB2312"/>
          <w:b w:val="0"/>
          <w:bCs w:val="0"/>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无差异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市场监督管理事务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261.19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248.25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95.05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年</w:t>
      </w:r>
      <w:r>
        <w:rPr>
          <w:rFonts w:hint="eastAsia" w:ascii="仿宋_GB2312" w:hAnsi="仿宋_GB2312" w:eastAsia="仿宋_GB2312" w:cs="仿宋_GB2312"/>
          <w:b w:val="0"/>
          <w:bCs w:val="0"/>
          <w:color w:val="auto"/>
          <w:sz w:val="32"/>
          <w:szCs w:val="32"/>
          <w:highlight w:val="none"/>
          <w:lang w:val="en-US" w:eastAsia="zh-CN"/>
        </w:rPr>
        <w:t>初预算中包含一般公共服务支出</w:t>
      </w:r>
      <w:r>
        <w:rPr>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val="en-US" w:eastAsia="zh-CN"/>
        </w:rPr>
        <w:t>发展与改革事务(款），该款在决算中单独显示数据</w:t>
      </w:r>
      <w:r>
        <w:rPr>
          <w:rFonts w:hint="eastAsia" w:ascii="仿宋_GB2312" w:hAnsi="仿宋_GB2312" w:eastAsia="仿宋_GB2312" w:cs="仿宋_GB2312"/>
          <w:b w:val="0"/>
          <w:bCs w:val="0"/>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行政单位离退休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48.10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48.02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val="en-US" w:eastAsia="zh-CN"/>
        </w:rPr>
        <w:t>99.83%。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核算基数四舍五入造成差异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15.91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16.17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val="en-US" w:eastAsia="zh-CN"/>
        </w:rPr>
        <w:t>101.63%。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养老缴费基数调整。</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抚恤</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死亡抚恤</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0.00万元，支出决算为15.94万元，主要原因是</w:t>
      </w:r>
      <w:r>
        <w:rPr>
          <w:rFonts w:hint="eastAsia" w:ascii="仿宋_GB2312" w:hAnsi="仿宋_GB2312" w:eastAsia="仿宋_GB2312" w:cs="仿宋_GB2312"/>
          <w:color w:val="auto"/>
          <w:sz w:val="32"/>
          <w:szCs w:val="32"/>
          <w:highlight w:val="none"/>
          <w:lang w:val="en-US" w:eastAsia="zh-CN"/>
        </w:rPr>
        <w:t>人员自然减员，追加抚恤金。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8.12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8.25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101.60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支付其他同类医疗项。</w:t>
      </w:r>
    </w:p>
    <w:p>
      <w:pPr>
        <w:widowControl/>
        <w:spacing w:line="590" w:lineRule="exact"/>
        <w:ind w:firstLine="643" w:firstLineChars="200"/>
        <w:rPr>
          <w:rFonts w:hint="default" w:ascii="仿宋" w:hAnsi="仿宋" w:eastAsia="仿宋_GB2312" w:cs="仿宋"/>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lang w:eastAsia="zh-CN"/>
        </w:rPr>
        <w:t>（款）</w:t>
      </w:r>
      <w:r>
        <w:rPr>
          <w:rFonts w:hint="eastAsia" w:ascii="仿宋_GB2312" w:hAnsi="仿宋_GB2312" w:eastAsia="仿宋_GB2312" w:cs="仿宋_GB2312"/>
          <w:b/>
          <w:bCs/>
          <w:color w:val="auto"/>
          <w:sz w:val="32"/>
          <w:szCs w:val="32"/>
          <w:highlight w:val="none"/>
          <w:lang w:val="en-US" w:eastAsia="zh-CN"/>
        </w:rPr>
        <w:t>公务员医疗补助（项）</w:t>
      </w:r>
      <w:r>
        <w:rPr>
          <w:rFonts w:hint="eastAsia" w:ascii="仿宋_GB2312" w:hAnsi="仿宋_GB2312" w:eastAsia="仿宋_GB2312" w:cs="仿宋_GB2312"/>
          <w:color w:val="auto"/>
          <w:sz w:val="32"/>
          <w:szCs w:val="32"/>
          <w:highlight w:val="none"/>
          <w:lang w:eastAsia="zh-CN"/>
        </w:rPr>
        <w:t>年初预算为</w:t>
      </w:r>
      <w:r>
        <w:rPr>
          <w:rFonts w:hint="eastAsia" w:ascii="仿宋_GB2312" w:hAnsi="仿宋_GB2312" w:eastAsia="仿宋_GB2312" w:cs="仿宋_GB2312"/>
          <w:color w:val="auto"/>
          <w:sz w:val="32"/>
          <w:szCs w:val="32"/>
          <w:highlight w:val="none"/>
          <w:lang w:val="en-US" w:eastAsia="zh-CN"/>
        </w:rPr>
        <w:t>7.73万元，支出决算为7.54万元，</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97.54</w:t>
      </w:r>
      <w:r>
        <w:rPr>
          <w:rFonts w:hint="eastAsia" w:ascii="仿宋_GB2312" w:hAnsi="仿宋_GB2312" w:eastAsia="仿宋_GB2312" w:cs="仿宋_GB2312"/>
          <w:color w:val="auto"/>
          <w:sz w:val="32"/>
          <w:szCs w:val="32"/>
          <w:highlight w:val="none"/>
        </w:rPr>
        <w:t>%。决算数与年初预算数存在差异的原因是</w:t>
      </w:r>
      <w:r>
        <w:rPr>
          <w:rFonts w:hint="eastAsia" w:ascii="仿宋_GB2312" w:hAnsi="仿宋_GB2312" w:eastAsia="仿宋_GB2312" w:cs="仿宋_GB2312"/>
          <w:color w:val="auto"/>
          <w:sz w:val="32"/>
          <w:szCs w:val="32"/>
          <w:highlight w:val="none"/>
          <w:lang w:val="en-US" w:eastAsia="zh-CN"/>
        </w:rPr>
        <w:t>医疗基数调整</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357.80</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329.99</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职工基本医疗保险费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公务员医疗补助费</w:t>
      </w:r>
      <w:r>
        <w:rPr>
          <w:rFonts w:hint="eastAsia" w:ascii="仿宋_GB2312" w:hAnsi="仿宋_GB2312" w:eastAsia="仿宋_GB2312" w:cs="仿宋_GB2312"/>
          <w:color w:val="auto"/>
          <w:sz w:val="32"/>
          <w:szCs w:val="32"/>
          <w:highlight w:val="none"/>
        </w:rPr>
        <w:t>、机关事业单位基本养老保险缴费、其他社会保障缴费、其他工资福利支出、退休费、抚恤金、住房公积金；公用经费</w:t>
      </w:r>
      <w:r>
        <w:rPr>
          <w:rFonts w:hint="eastAsia" w:ascii="仿宋_GB2312" w:hAnsi="仿宋_GB2312" w:eastAsia="仿宋_GB2312" w:cs="仿宋_GB2312"/>
          <w:color w:val="auto"/>
          <w:sz w:val="32"/>
          <w:szCs w:val="32"/>
          <w:highlight w:val="none"/>
          <w:lang w:val="en-US" w:eastAsia="zh-CN"/>
        </w:rPr>
        <w:t>27.80</w:t>
      </w:r>
      <w:r>
        <w:rPr>
          <w:rFonts w:hint="eastAsia" w:ascii="仿宋_GB2312" w:hAnsi="仿宋_GB2312" w:eastAsia="仿宋_GB2312" w:cs="仿宋_GB2312"/>
          <w:color w:val="auto"/>
          <w:sz w:val="32"/>
          <w:szCs w:val="32"/>
          <w:highlight w:val="none"/>
        </w:rPr>
        <w:t>万元，主要包括：办公费、邮电费、差旅费、工会经费、福利费、公务用车运行维护费、其他交通费用、其他商品和服务支出。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3.00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72.00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压缩开支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72.00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72.00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原因是，厉行节约，压缩开支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bCs/>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车辆维修保养，加油，购买车辆保险</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无差异。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不存在项目年末结转和结余资金数</w:t>
      </w:r>
      <w:r>
        <w:rPr>
          <w:rFonts w:hint="eastAsia" w:ascii="仿宋_GB2312" w:hAnsi="仿宋_GB2312" w:eastAsia="仿宋_GB2312" w:cs="仿宋_GB2312"/>
          <w:color w:val="auto"/>
          <w:sz w:val="32"/>
          <w:szCs w:val="32"/>
          <w:highlight w:val="none"/>
          <w:lang w:eastAsia="zh-CN"/>
        </w:rPr>
        <w:t>额</w:t>
      </w:r>
      <w:r>
        <w:rPr>
          <w:rFonts w:hint="eastAsia" w:ascii="仿宋_GB2312" w:hAnsi="仿宋_GB2312" w:eastAsia="仿宋_GB2312" w:cs="仿宋_GB2312"/>
          <w:color w:val="auto"/>
          <w:sz w:val="32"/>
          <w:szCs w:val="32"/>
          <w:highlight w:val="none"/>
          <w:lang w:val="en-US" w:eastAsia="zh-CN"/>
        </w:rPr>
        <w:t>较大，</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38.85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27.80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71.56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2021年度我单位</w:t>
      </w:r>
      <w:r>
        <w:rPr>
          <w:rFonts w:hint="eastAsia" w:ascii="仿宋_GB2312" w:hAnsi="仿宋_GB2312" w:eastAsia="仿宋_GB2312" w:cs="仿宋_GB2312"/>
          <w:color w:val="auto"/>
          <w:sz w:val="32"/>
          <w:szCs w:val="32"/>
          <w:highlight w:val="none"/>
        </w:rPr>
        <w:t>纳入预算绩效管理的支出总额为</w:t>
      </w:r>
      <w:r>
        <w:rPr>
          <w:rFonts w:hint="eastAsia" w:ascii="仿宋_GB2312" w:hAnsi="仿宋_GB2312" w:eastAsia="仿宋_GB2312" w:cs="仿宋_GB2312"/>
          <w:color w:val="auto"/>
          <w:sz w:val="32"/>
          <w:szCs w:val="32"/>
          <w:highlight w:val="none"/>
          <w:lang w:val="en-US" w:eastAsia="zh-CN"/>
        </w:rPr>
        <w:t>342.35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342.35</w:t>
      </w:r>
      <w:r>
        <w:rPr>
          <w:rFonts w:hint="eastAsia" w:ascii="仿宋_GB2312" w:hAnsi="仿宋_GB2312" w:eastAsia="仿宋_GB2312" w:cs="仿宋_GB2312"/>
          <w:color w:val="auto"/>
          <w:sz w:val="32"/>
          <w:szCs w:val="32"/>
          <w:highlight w:val="none"/>
        </w:rPr>
        <w:t>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整体绩效情况良好，预算执行总额控制在预算批复，年度绩效目标完成情况良好。</w:t>
      </w:r>
      <w:r>
        <w:rPr>
          <w:rFonts w:hint="eastAsia" w:ascii="仿宋_GB2312" w:hAnsi="仿宋_GB2312" w:eastAsia="仿宋_GB2312" w:cs="仿宋_GB2312"/>
          <w:b w:val="0"/>
          <w:bCs w:val="0"/>
          <w:color w:val="auto"/>
          <w:sz w:val="32"/>
          <w:szCs w:val="32"/>
          <w:highlight w:val="none"/>
          <w:lang w:val="en-US" w:eastAsia="zh-CN"/>
        </w:rPr>
        <w:t>资金拨付履行完整的审批程序和手续，严格遵守财务管理各项规章制度，提升了资金使用效益</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w:t>
      </w:r>
      <w:r>
        <w:rPr>
          <w:rFonts w:hint="eastAsia" w:ascii="仿宋_GB2312" w:hAnsi="仿宋_GB2312" w:eastAsia="仿宋_GB2312"/>
          <w:color w:val="auto"/>
          <w:sz w:val="32"/>
          <w:szCs w:val="24"/>
          <w:highlight w:val="none"/>
          <w:lang w:val="en-US" w:eastAsia="zh-CN"/>
        </w:rPr>
        <w:t>0.00</w:t>
      </w:r>
      <w:r>
        <w:rPr>
          <w:rFonts w:hint="eastAsia" w:ascii="仿宋_GB2312" w:hAnsi="仿宋_GB2312" w:eastAsia="仿宋_GB2312" w:cs="仿宋_GB2312"/>
          <w:color w:val="auto"/>
          <w:sz w:val="32"/>
          <w:szCs w:val="32"/>
          <w:highlight w:val="none"/>
          <w:lang w:val="en-US" w:eastAsia="zh-CN"/>
        </w:rPr>
        <w:t xml:space="preserve">万元。基于项目预期目标的实现程度，对2021年度项目支出绩效进行自评，绩效自评平均得分为/分。其中：0个项目评价等级为“优”、0个项目评价等级为“良”、0个项目评价等级为“中”、0个项目评价等级为“差”。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left="0" w:leftChars="0" w:firstLine="640" w:firstLineChars="200"/>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737AF6"/>
    <w:rsid w:val="02A3489A"/>
    <w:rsid w:val="02AF11B6"/>
    <w:rsid w:val="02CA138D"/>
    <w:rsid w:val="033646FC"/>
    <w:rsid w:val="03C75F80"/>
    <w:rsid w:val="040C56F4"/>
    <w:rsid w:val="0478364D"/>
    <w:rsid w:val="04944330"/>
    <w:rsid w:val="05085BEB"/>
    <w:rsid w:val="053D4C0D"/>
    <w:rsid w:val="0557532E"/>
    <w:rsid w:val="057B2C72"/>
    <w:rsid w:val="059765A7"/>
    <w:rsid w:val="0799329C"/>
    <w:rsid w:val="08397436"/>
    <w:rsid w:val="086F16A7"/>
    <w:rsid w:val="09F32B7E"/>
    <w:rsid w:val="0A0F7225"/>
    <w:rsid w:val="0A2A37A7"/>
    <w:rsid w:val="0A2B7D82"/>
    <w:rsid w:val="0ADC40E9"/>
    <w:rsid w:val="0AE607F4"/>
    <w:rsid w:val="0B386127"/>
    <w:rsid w:val="0B451598"/>
    <w:rsid w:val="0B613371"/>
    <w:rsid w:val="0B9065E0"/>
    <w:rsid w:val="0BEC73F4"/>
    <w:rsid w:val="0C392698"/>
    <w:rsid w:val="0E702F0F"/>
    <w:rsid w:val="0EEA7F39"/>
    <w:rsid w:val="0F627311"/>
    <w:rsid w:val="0FE25476"/>
    <w:rsid w:val="0FFA4603"/>
    <w:rsid w:val="10BD36F6"/>
    <w:rsid w:val="11BF0649"/>
    <w:rsid w:val="123E3E08"/>
    <w:rsid w:val="133212F4"/>
    <w:rsid w:val="134B2297"/>
    <w:rsid w:val="13D22E22"/>
    <w:rsid w:val="140A6BA1"/>
    <w:rsid w:val="148C62A0"/>
    <w:rsid w:val="149C6F28"/>
    <w:rsid w:val="14D73F88"/>
    <w:rsid w:val="14E14263"/>
    <w:rsid w:val="160F3E51"/>
    <w:rsid w:val="161C2DFF"/>
    <w:rsid w:val="16373578"/>
    <w:rsid w:val="16D3336B"/>
    <w:rsid w:val="16EA4A4C"/>
    <w:rsid w:val="17200028"/>
    <w:rsid w:val="17806C36"/>
    <w:rsid w:val="17A74F62"/>
    <w:rsid w:val="17FF4B69"/>
    <w:rsid w:val="18A47774"/>
    <w:rsid w:val="19A51D40"/>
    <w:rsid w:val="1A2813DD"/>
    <w:rsid w:val="1A8D28EB"/>
    <w:rsid w:val="1A9F2D78"/>
    <w:rsid w:val="1B2E6FD8"/>
    <w:rsid w:val="1B877D21"/>
    <w:rsid w:val="1C4319A9"/>
    <w:rsid w:val="1D431660"/>
    <w:rsid w:val="1D5431B9"/>
    <w:rsid w:val="1D5F55C0"/>
    <w:rsid w:val="1E2E1DA1"/>
    <w:rsid w:val="1E443B4B"/>
    <w:rsid w:val="1E994F4A"/>
    <w:rsid w:val="1EAF0224"/>
    <w:rsid w:val="1F2230A4"/>
    <w:rsid w:val="1F727E54"/>
    <w:rsid w:val="20202633"/>
    <w:rsid w:val="20210932"/>
    <w:rsid w:val="202448E0"/>
    <w:rsid w:val="20D9734B"/>
    <w:rsid w:val="20F614FE"/>
    <w:rsid w:val="21302EEA"/>
    <w:rsid w:val="21387687"/>
    <w:rsid w:val="21D3414A"/>
    <w:rsid w:val="22376FB5"/>
    <w:rsid w:val="23E152D7"/>
    <w:rsid w:val="23EA25D3"/>
    <w:rsid w:val="23EE2489"/>
    <w:rsid w:val="24FE1675"/>
    <w:rsid w:val="255D43C8"/>
    <w:rsid w:val="26714EF8"/>
    <w:rsid w:val="26876BDD"/>
    <w:rsid w:val="2714632A"/>
    <w:rsid w:val="27541E73"/>
    <w:rsid w:val="27B0539E"/>
    <w:rsid w:val="284712AB"/>
    <w:rsid w:val="2896449F"/>
    <w:rsid w:val="29365CF8"/>
    <w:rsid w:val="299469B3"/>
    <w:rsid w:val="2A805789"/>
    <w:rsid w:val="2ADC0D75"/>
    <w:rsid w:val="2B4A0E52"/>
    <w:rsid w:val="2BC46DBB"/>
    <w:rsid w:val="2C975890"/>
    <w:rsid w:val="2DEF21BB"/>
    <w:rsid w:val="2E4A2F05"/>
    <w:rsid w:val="2E4C6C0A"/>
    <w:rsid w:val="2E7B9045"/>
    <w:rsid w:val="2ECC1061"/>
    <w:rsid w:val="2F9C23BC"/>
    <w:rsid w:val="2FA476AD"/>
    <w:rsid w:val="2FAC6889"/>
    <w:rsid w:val="2FDF0DBF"/>
    <w:rsid w:val="303F7540"/>
    <w:rsid w:val="31DD00BF"/>
    <w:rsid w:val="322546D1"/>
    <w:rsid w:val="3293174C"/>
    <w:rsid w:val="32B31C7D"/>
    <w:rsid w:val="32BB38D4"/>
    <w:rsid w:val="32C8371D"/>
    <w:rsid w:val="32C9376D"/>
    <w:rsid w:val="33780472"/>
    <w:rsid w:val="33AF0905"/>
    <w:rsid w:val="348928C8"/>
    <w:rsid w:val="355932F4"/>
    <w:rsid w:val="35611882"/>
    <w:rsid w:val="358F7104"/>
    <w:rsid w:val="35D73F34"/>
    <w:rsid w:val="36746FC3"/>
    <w:rsid w:val="368763AE"/>
    <w:rsid w:val="368C7D18"/>
    <w:rsid w:val="37365C3A"/>
    <w:rsid w:val="376B0612"/>
    <w:rsid w:val="38864ED3"/>
    <w:rsid w:val="395D59E7"/>
    <w:rsid w:val="39A93932"/>
    <w:rsid w:val="3A8E2B60"/>
    <w:rsid w:val="3A915562"/>
    <w:rsid w:val="3B8D4765"/>
    <w:rsid w:val="3B9F0ED7"/>
    <w:rsid w:val="3BDE1DEC"/>
    <w:rsid w:val="3C000DBA"/>
    <w:rsid w:val="3DC045D3"/>
    <w:rsid w:val="3DD31FF0"/>
    <w:rsid w:val="3E504FFB"/>
    <w:rsid w:val="3E615CD0"/>
    <w:rsid w:val="3E9C47F6"/>
    <w:rsid w:val="3EB799A9"/>
    <w:rsid w:val="3F8B0112"/>
    <w:rsid w:val="3FAB3095"/>
    <w:rsid w:val="3FBD6CA4"/>
    <w:rsid w:val="3FE45947"/>
    <w:rsid w:val="40D66464"/>
    <w:rsid w:val="41242965"/>
    <w:rsid w:val="41773658"/>
    <w:rsid w:val="43496482"/>
    <w:rsid w:val="435671EA"/>
    <w:rsid w:val="43B03CF8"/>
    <w:rsid w:val="440809E9"/>
    <w:rsid w:val="442407A6"/>
    <w:rsid w:val="44805EA1"/>
    <w:rsid w:val="45710696"/>
    <w:rsid w:val="46142B1B"/>
    <w:rsid w:val="467B474A"/>
    <w:rsid w:val="468F25E5"/>
    <w:rsid w:val="46AC1735"/>
    <w:rsid w:val="476E1929"/>
    <w:rsid w:val="47E60DD0"/>
    <w:rsid w:val="482A4397"/>
    <w:rsid w:val="48475A03"/>
    <w:rsid w:val="48735039"/>
    <w:rsid w:val="492C684B"/>
    <w:rsid w:val="49492F43"/>
    <w:rsid w:val="49500594"/>
    <w:rsid w:val="49E7604E"/>
    <w:rsid w:val="4BF67CDD"/>
    <w:rsid w:val="4C5C2E8C"/>
    <w:rsid w:val="4D173441"/>
    <w:rsid w:val="4D603DD6"/>
    <w:rsid w:val="4E7454BB"/>
    <w:rsid w:val="4EAD4746"/>
    <w:rsid w:val="4EBF010F"/>
    <w:rsid w:val="4F005086"/>
    <w:rsid w:val="4F471EB0"/>
    <w:rsid w:val="50B676E4"/>
    <w:rsid w:val="511830B4"/>
    <w:rsid w:val="51331326"/>
    <w:rsid w:val="51740A7F"/>
    <w:rsid w:val="51A5541E"/>
    <w:rsid w:val="51C96242"/>
    <w:rsid w:val="53906AE1"/>
    <w:rsid w:val="541B4C8A"/>
    <w:rsid w:val="54F46F60"/>
    <w:rsid w:val="552E0BE5"/>
    <w:rsid w:val="55A37BEA"/>
    <w:rsid w:val="56362CD2"/>
    <w:rsid w:val="5784687B"/>
    <w:rsid w:val="57846959"/>
    <w:rsid w:val="578E6A87"/>
    <w:rsid w:val="57D26A53"/>
    <w:rsid w:val="58153DDD"/>
    <w:rsid w:val="59B92CB8"/>
    <w:rsid w:val="5AC2203A"/>
    <w:rsid w:val="5AD36D5D"/>
    <w:rsid w:val="5BFA2A6D"/>
    <w:rsid w:val="5CBB3334"/>
    <w:rsid w:val="5D115FAF"/>
    <w:rsid w:val="5DBA5079"/>
    <w:rsid w:val="5DEF0CCB"/>
    <w:rsid w:val="5E97BB11"/>
    <w:rsid w:val="5EAFD88B"/>
    <w:rsid w:val="5F55508F"/>
    <w:rsid w:val="60D635FA"/>
    <w:rsid w:val="61072B68"/>
    <w:rsid w:val="61402619"/>
    <w:rsid w:val="62312A8F"/>
    <w:rsid w:val="62811722"/>
    <w:rsid w:val="62E75A72"/>
    <w:rsid w:val="63835D40"/>
    <w:rsid w:val="64203B0C"/>
    <w:rsid w:val="64571880"/>
    <w:rsid w:val="649125B6"/>
    <w:rsid w:val="64AB2B3A"/>
    <w:rsid w:val="64F83045"/>
    <w:rsid w:val="652F4C1A"/>
    <w:rsid w:val="65B25CA0"/>
    <w:rsid w:val="65CE5585"/>
    <w:rsid w:val="666D37F1"/>
    <w:rsid w:val="67087D8F"/>
    <w:rsid w:val="671F687E"/>
    <w:rsid w:val="679F17C5"/>
    <w:rsid w:val="67F415F8"/>
    <w:rsid w:val="681F61F3"/>
    <w:rsid w:val="682640D1"/>
    <w:rsid w:val="684B73E5"/>
    <w:rsid w:val="68E66A81"/>
    <w:rsid w:val="699E56D3"/>
    <w:rsid w:val="6A047A2A"/>
    <w:rsid w:val="6E89739A"/>
    <w:rsid w:val="6EFB7548"/>
    <w:rsid w:val="6F3831C3"/>
    <w:rsid w:val="6F8B71C1"/>
    <w:rsid w:val="70753482"/>
    <w:rsid w:val="707B522A"/>
    <w:rsid w:val="71960FB5"/>
    <w:rsid w:val="72EE5B70"/>
    <w:rsid w:val="730C7FF9"/>
    <w:rsid w:val="73194D05"/>
    <w:rsid w:val="73A83B0E"/>
    <w:rsid w:val="744D3EF9"/>
    <w:rsid w:val="74794411"/>
    <w:rsid w:val="7557399B"/>
    <w:rsid w:val="75867C40"/>
    <w:rsid w:val="75B10B26"/>
    <w:rsid w:val="76432199"/>
    <w:rsid w:val="76470EAE"/>
    <w:rsid w:val="76625932"/>
    <w:rsid w:val="76B47C2E"/>
    <w:rsid w:val="76F44829"/>
    <w:rsid w:val="773B69F0"/>
    <w:rsid w:val="776B0EC9"/>
    <w:rsid w:val="7791673B"/>
    <w:rsid w:val="77A267C0"/>
    <w:rsid w:val="77D27876"/>
    <w:rsid w:val="77FF03A5"/>
    <w:rsid w:val="78882278"/>
    <w:rsid w:val="78ADCB05"/>
    <w:rsid w:val="78B118A6"/>
    <w:rsid w:val="78ED1D64"/>
    <w:rsid w:val="78FF0277"/>
    <w:rsid w:val="79135044"/>
    <w:rsid w:val="79445C1F"/>
    <w:rsid w:val="7A7D0F99"/>
    <w:rsid w:val="7AFFB322"/>
    <w:rsid w:val="7CC83BA3"/>
    <w:rsid w:val="7D7653AD"/>
    <w:rsid w:val="7DF7E0DF"/>
    <w:rsid w:val="7E4A0E7C"/>
    <w:rsid w:val="7EF346D0"/>
    <w:rsid w:val="7EFD449D"/>
    <w:rsid w:val="7F170573"/>
    <w:rsid w:val="7F214A58"/>
    <w:rsid w:val="7F49402C"/>
    <w:rsid w:val="7F7B011D"/>
    <w:rsid w:val="7F7BFDA8"/>
    <w:rsid w:val="7FC71089"/>
    <w:rsid w:val="7FF7492F"/>
    <w:rsid w:val="9DFF0619"/>
    <w:rsid w:val="AFE36EA0"/>
    <w:rsid w:val="B33BAEB2"/>
    <w:rsid w:val="B6BF1542"/>
    <w:rsid w:val="BBFE5B00"/>
    <w:rsid w:val="D3EF72DA"/>
    <w:rsid w:val="E4DCFFB5"/>
    <w:rsid w:val="E7F76C60"/>
    <w:rsid w:val="EDFB0B2B"/>
    <w:rsid w:val="EEFFCF64"/>
    <w:rsid w:val="F07B6837"/>
    <w:rsid w:val="F7DB01CA"/>
    <w:rsid w:val="F9F7103A"/>
    <w:rsid w:val="FEDDA380"/>
    <w:rsid w:val="FFD71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8129</Words>
  <Characters>9977</Characters>
  <Lines>60</Lines>
  <Paragraphs>16</Paragraphs>
  <TotalTime>4</TotalTime>
  <ScaleCrop>false</ScaleCrop>
  <LinksUpToDate>false</LinksUpToDate>
  <CharactersWithSpaces>10309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2023-05-10T09:02:00Z</cp:lastPrinted>
  <dcterms:modified xsi:type="dcterms:W3CDTF">2023-09-17T11:08:29Z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096DE84DC67D477A8C1F720AB61FA396_13</vt:lpwstr>
  </property>
</Properties>
</file>