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rPr>
      </w:pPr>
      <w:bookmarkStart w:id="9" w:name="_GoBack"/>
      <w:r>
        <w:rPr>
          <w:rFonts w:hint="eastAsia" w:ascii="黑体" w:hAnsi="宋体" w:eastAsia="黑体" w:cs="宋体"/>
          <w:color w:val="auto"/>
          <w:kern w:val="0"/>
          <w:sz w:val="28"/>
          <w:szCs w:val="28"/>
        </w:rPr>
        <w:t xml:space="preserve"> </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rPr>
          <w:rFonts w:ascii="黑体" w:hAnsi="黑体" w:eastAsia="黑体" w:cs="黑体"/>
          <w:color w:val="auto"/>
          <w:sz w:val="52"/>
          <w:szCs w:val="52"/>
        </w:rPr>
      </w:pPr>
      <w:r>
        <w:rPr>
          <w:rFonts w:hint="eastAsia" w:ascii="黑体" w:hAnsi="黑体" w:eastAsia="黑体" w:cs="黑体"/>
          <w:color w:val="auto"/>
          <w:sz w:val="52"/>
          <w:szCs w:val="52"/>
        </w:rPr>
        <w:t>202</w:t>
      </w:r>
      <w:r>
        <w:rPr>
          <w:rFonts w:ascii="黑体" w:hAnsi="黑体" w:eastAsia="黑体" w:cs="黑体"/>
          <w:color w:val="auto"/>
          <w:sz w:val="52"/>
          <w:szCs w:val="52"/>
        </w:rPr>
        <w:t>1</w:t>
      </w:r>
      <w:r>
        <w:rPr>
          <w:rFonts w:hint="eastAsia" w:ascii="黑体" w:hAnsi="黑体" w:eastAsia="黑体" w:cs="黑体"/>
          <w:color w:val="auto"/>
          <w:sz w:val="52"/>
          <w:szCs w:val="52"/>
        </w:rPr>
        <w:t>年度</w:t>
      </w:r>
    </w:p>
    <w:p>
      <w:pPr>
        <w:jc w:val="center"/>
        <w:rPr>
          <w:rFonts w:ascii="黑体" w:hAnsi="黑体" w:eastAsia="黑体" w:cs="黑体"/>
          <w:color w:val="auto"/>
          <w:sz w:val="52"/>
          <w:szCs w:val="52"/>
        </w:rPr>
      </w:pPr>
      <w:r>
        <w:rPr>
          <w:rFonts w:hint="eastAsia" w:ascii="黑体" w:hAnsi="黑体" w:eastAsia="黑体" w:cs="黑体"/>
          <w:color w:val="auto"/>
          <w:sz w:val="52"/>
          <w:szCs w:val="52"/>
        </w:rPr>
        <w:t>许昌市交通局交通工程定额质量</w:t>
      </w:r>
    </w:p>
    <w:p>
      <w:pPr>
        <w:jc w:val="center"/>
        <w:rPr>
          <w:rFonts w:ascii="黑体" w:hAnsi="黑体" w:eastAsia="黑体" w:cs="黑体"/>
          <w:color w:val="auto"/>
          <w:sz w:val="52"/>
          <w:szCs w:val="52"/>
        </w:rPr>
      </w:pPr>
      <w:r>
        <w:rPr>
          <w:rFonts w:hint="eastAsia" w:ascii="黑体" w:hAnsi="黑体" w:eastAsia="黑体" w:cs="黑体"/>
          <w:color w:val="auto"/>
          <w:sz w:val="52"/>
          <w:szCs w:val="52"/>
        </w:rPr>
        <w:t>监督站</w:t>
      </w:r>
      <w:r>
        <w:rPr>
          <w:rFonts w:hint="eastAsia" w:ascii="黑体" w:hAnsi="黑体" w:eastAsia="黑体" w:cs="黑体"/>
          <w:color w:val="auto"/>
          <w:sz w:val="52"/>
          <w:szCs w:val="52"/>
          <w:lang w:eastAsia="zh-CN"/>
        </w:rPr>
        <w:t>单位</w:t>
      </w:r>
      <w:r>
        <w:rPr>
          <w:rFonts w:hint="eastAsia" w:ascii="黑体" w:hAnsi="黑体" w:eastAsia="黑体" w:cs="黑体"/>
          <w:color w:val="auto"/>
          <w:sz w:val="52"/>
          <w:szCs w:val="52"/>
        </w:rPr>
        <w:t>决算</w:t>
      </w: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rPr>
        <w:t>二〇二二年九月</w:t>
      </w:r>
    </w:p>
    <w:p>
      <w:pPr>
        <w:jc w:val="center"/>
        <w:rPr>
          <w:rFonts w:ascii="黑体" w:hAnsi="黑体" w:eastAsia="黑体" w:cs="黑体"/>
          <w:color w:val="auto"/>
          <w:sz w:val="36"/>
          <w:szCs w:val="36"/>
        </w:rPr>
      </w:pPr>
      <w:r>
        <w:rPr>
          <w:rFonts w:hint="eastAsia" w:ascii="黑体" w:hAnsi="黑体" w:eastAsia="黑体" w:cs="黑体"/>
          <w:color w:val="auto"/>
          <w:sz w:val="36"/>
          <w:szCs w:val="36"/>
        </w:rPr>
        <w:t>目　　录</w:t>
      </w:r>
    </w:p>
    <w:p>
      <w:pPr>
        <w:jc w:val="left"/>
        <w:rPr>
          <w:rFonts w:ascii="黑体" w:hAnsi="黑体" w:eastAsia="黑体" w:cs="黑体"/>
          <w:color w:val="auto"/>
          <w:sz w:val="32"/>
          <w:szCs w:val="32"/>
        </w:rPr>
      </w:pPr>
      <w:r>
        <w:rPr>
          <w:rFonts w:hint="eastAsia" w:ascii="黑体" w:hAnsi="黑体" w:eastAsia="黑体" w:cs="黑体"/>
          <w:color w:val="auto"/>
          <w:sz w:val="32"/>
          <w:szCs w:val="32"/>
        </w:rPr>
        <w:t>第一部分　　许昌市交通局交通工程定额质量监督站概况</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lang w:val="en-US" w:eastAsia="zh-CN"/>
        </w:rPr>
        <w:t>单位</w:t>
      </w:r>
      <w:r>
        <w:rPr>
          <w:rFonts w:hint="eastAsia" w:ascii="宋体" w:hAnsi="宋体" w:cs="宋体"/>
          <w:color w:val="auto"/>
          <w:sz w:val="32"/>
          <w:szCs w:val="32"/>
        </w:rPr>
        <w:t>职责</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机构设置</w:t>
      </w:r>
    </w:p>
    <w:p>
      <w:pPr>
        <w:jc w:val="left"/>
        <w:rPr>
          <w:rFonts w:ascii="黑体" w:hAnsi="黑体" w:eastAsia="黑体" w:cs="黑体"/>
          <w:color w:val="auto"/>
          <w:sz w:val="32"/>
          <w:szCs w:val="32"/>
        </w:rPr>
      </w:pPr>
      <w:r>
        <w:rPr>
          <w:rFonts w:hint="eastAsia" w:ascii="黑体" w:hAnsi="黑体" w:eastAsia="黑体" w:cs="黑体"/>
          <w:color w:val="auto"/>
          <w:sz w:val="32"/>
          <w:szCs w:val="32"/>
        </w:rPr>
        <w:t>第二部分　　202</w:t>
      </w:r>
      <w:r>
        <w:rPr>
          <w:rFonts w:ascii="黑体" w:hAnsi="黑体" w:eastAsia="黑体" w:cs="黑体"/>
          <w:color w:val="auto"/>
          <w:sz w:val="32"/>
          <w:szCs w:val="32"/>
        </w:rPr>
        <w:t>1</w:t>
      </w:r>
      <w:r>
        <w:rPr>
          <w:rFonts w:hint="eastAsia" w:ascii="黑体" w:hAnsi="黑体" w:eastAsia="黑体" w:cs="黑体"/>
          <w:color w:val="auto"/>
          <w:sz w:val="32"/>
          <w:szCs w:val="32"/>
        </w:rPr>
        <w:t>年度</w:t>
      </w:r>
      <w:r>
        <w:rPr>
          <w:rFonts w:hint="eastAsia" w:ascii="黑体" w:hAnsi="黑体" w:eastAsia="黑体" w:cs="黑体"/>
          <w:color w:val="auto"/>
          <w:sz w:val="32"/>
          <w:szCs w:val="32"/>
          <w:lang w:eastAsia="zh-CN"/>
        </w:rPr>
        <w:t>单位</w:t>
      </w:r>
      <w:r>
        <w:rPr>
          <w:rFonts w:hint="eastAsia" w:ascii="黑体" w:hAnsi="黑体" w:eastAsia="黑体" w:cs="黑体"/>
          <w:color w:val="auto"/>
          <w:sz w:val="32"/>
          <w:szCs w:val="32"/>
        </w:rPr>
        <w:t>决算表</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一、收入支出决算总表</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二、收入决算表</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三、支出决算表</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四、财政拨款收入支出决算总表</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五、一般公共预算财政拨款支出决算表</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六、一般公共预算财政拨款基本支出决算明细表</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七、一般公共预算财政拨款“三公”经费支出决算表</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八、政府性基金预算财政拨款收入支出决算表</w:t>
      </w:r>
    </w:p>
    <w:p>
      <w:pPr>
        <w:jc w:val="left"/>
        <w:rPr>
          <w:rFonts w:ascii="黑体" w:hAnsi="黑体" w:eastAsia="黑体" w:cs="黑体"/>
          <w:color w:val="auto"/>
          <w:sz w:val="32"/>
          <w:szCs w:val="32"/>
        </w:rPr>
      </w:pPr>
      <w:r>
        <w:rPr>
          <w:rFonts w:hint="eastAsia" w:ascii="黑体" w:hAnsi="黑体" w:eastAsia="黑体" w:cs="黑体"/>
          <w:color w:val="auto"/>
          <w:sz w:val="32"/>
          <w:szCs w:val="32"/>
        </w:rPr>
        <w:t>第三部分　　202</w:t>
      </w:r>
      <w:r>
        <w:rPr>
          <w:rFonts w:ascii="黑体" w:hAnsi="黑体" w:eastAsia="黑体" w:cs="黑体"/>
          <w:color w:val="auto"/>
          <w:sz w:val="32"/>
          <w:szCs w:val="32"/>
        </w:rPr>
        <w:t>1</w:t>
      </w:r>
      <w:r>
        <w:rPr>
          <w:rFonts w:hint="eastAsia" w:ascii="黑体" w:hAnsi="黑体" w:eastAsia="黑体" w:cs="黑体"/>
          <w:color w:val="auto"/>
          <w:sz w:val="32"/>
          <w:szCs w:val="32"/>
        </w:rPr>
        <w:t>年度</w:t>
      </w:r>
      <w:r>
        <w:rPr>
          <w:rFonts w:hint="eastAsia" w:ascii="黑体" w:hAnsi="黑体" w:eastAsia="黑体" w:cs="黑体"/>
          <w:color w:val="auto"/>
          <w:sz w:val="32"/>
          <w:szCs w:val="32"/>
          <w:lang w:eastAsia="zh-CN"/>
        </w:rPr>
        <w:t>单位</w:t>
      </w:r>
      <w:r>
        <w:rPr>
          <w:rFonts w:hint="eastAsia" w:ascii="黑体" w:hAnsi="黑体" w:eastAsia="黑体" w:cs="黑体"/>
          <w:color w:val="auto"/>
          <w:sz w:val="32"/>
          <w:szCs w:val="32"/>
        </w:rPr>
        <w:t>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一、收入支出决算总体情况说明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二、收入决算情况说明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三、支出决算情况说明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四、财政拨款收入支出决算总体情况说明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五、一般公共预算财政拨款支出决算情况说明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六、一般公共预算财政拨款基本支出决算情况说明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七、一般公共预算财政拨款“三公”经费支出决算情况说明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八、政府性基金预算财政拨款支出决算情况说明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九、机关运行经费支出情况说明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十、政府采购支出情况说明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十一、国有资产占用情况说明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十二、预算绩效情况说明</w:t>
      </w:r>
    </w:p>
    <w:p>
      <w:pPr>
        <w:jc w:val="left"/>
        <w:rPr>
          <w:rFonts w:ascii="黑体" w:hAnsi="黑体" w:eastAsia="黑体" w:cs="黑体"/>
          <w:color w:val="auto"/>
          <w:sz w:val="32"/>
          <w:szCs w:val="32"/>
        </w:rPr>
      </w:pPr>
      <w:r>
        <w:rPr>
          <w:rFonts w:hint="eastAsia" w:ascii="黑体" w:hAnsi="黑体" w:eastAsia="黑体" w:cs="黑体"/>
          <w:color w:val="auto"/>
          <w:sz w:val="32"/>
          <w:szCs w:val="32"/>
        </w:rPr>
        <w:t>第四部分　　名词解释</w:t>
      </w:r>
    </w:p>
    <w:p>
      <w:pPr>
        <w:jc w:val="left"/>
        <w:rPr>
          <w:rFonts w:ascii="黑体" w:hAnsi="黑体" w:eastAsia="黑体" w:cs="黑体"/>
          <w:color w:val="auto"/>
          <w:sz w:val="32"/>
          <w:szCs w:val="32"/>
        </w:rPr>
      </w:pPr>
    </w:p>
    <w:p>
      <w:pPr>
        <w:ind w:firstLine="640" w:firstLineChars="200"/>
        <w:jc w:val="left"/>
        <w:rPr>
          <w:rFonts w:ascii="宋体" w:hAnsi="宋体" w:cs="宋体"/>
          <w:color w:val="auto"/>
          <w:sz w:val="32"/>
          <w:szCs w:val="32"/>
        </w:rPr>
      </w:pPr>
    </w:p>
    <w:p>
      <w:pPr>
        <w:jc w:val="left"/>
        <w:rPr>
          <w:rFonts w:ascii="黑体" w:hAnsi="黑体" w:eastAsia="黑体" w:cs="黑体"/>
          <w:color w:val="auto"/>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center"/>
        <w:outlineLvl w:val="0"/>
        <w:rPr>
          <w:rFonts w:ascii="黑体" w:hAnsi="宋体" w:eastAsia="黑体" w:cs="宋体"/>
          <w:color w:val="auto"/>
          <w:kern w:val="0"/>
          <w:sz w:val="48"/>
          <w:szCs w:val="48"/>
        </w:rPr>
      </w:pPr>
      <w:r>
        <w:rPr>
          <w:rFonts w:hint="eastAsia" w:ascii="黑体" w:hAnsi="黑体" w:eastAsia="黑体" w:cs="黑体"/>
          <w:color w:val="auto"/>
          <w:sz w:val="48"/>
          <w:szCs w:val="48"/>
        </w:rPr>
        <w:t>第一部分  许昌市交通局交通工程定额质量监督站概况</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val="en-US" w:eastAsia="zh-CN"/>
        </w:rPr>
        <w:t>单位</w:t>
      </w:r>
      <w:r>
        <w:rPr>
          <w:rFonts w:hint="eastAsia" w:ascii="黑体" w:hAnsi="黑体" w:eastAsia="黑体" w:cs="黑体"/>
          <w:bCs/>
          <w:color w:val="auto"/>
          <w:sz w:val="32"/>
          <w:szCs w:val="32"/>
        </w:rPr>
        <w:t>职责</w:t>
      </w:r>
    </w:p>
    <w:p>
      <w:pPr>
        <w:spacing w:line="6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主要承担全市公路水运工程建设的质量安全生产监督和定额管理职能。</w:t>
      </w: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二、机构设置</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许昌市交通局交通工程定额质量监督站内设机构4个，包括：综安科、监督监理科、定额造价科、试验检测科。</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从决算单位构成看，许昌市交通局交通工程定额质量监督站</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决算包括：本级决算</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1个</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纳入本</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202</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决算编制范围的单位共1个，具体是：</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许昌市交通局交通工程定额质量监督站</w:t>
      </w:r>
    </w:p>
    <w:p>
      <w:pPr>
        <w:widowControl/>
        <w:jc w:val="left"/>
        <w:rPr>
          <w:rFonts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第二部分  202</w:t>
      </w:r>
      <w:r>
        <w:rPr>
          <w:rFonts w:ascii="黑体" w:hAnsi="黑体" w:eastAsia="黑体" w:cs="黑体"/>
          <w:color w:val="auto"/>
          <w:sz w:val="48"/>
          <w:szCs w:val="48"/>
        </w:rPr>
        <w:t>1</w:t>
      </w:r>
      <w:r>
        <w:rPr>
          <w:rFonts w:hint="eastAsia" w:ascii="黑体" w:hAnsi="黑体" w:eastAsia="黑体" w:cs="黑体"/>
          <w:color w:val="auto"/>
          <w:sz w:val="48"/>
          <w:szCs w:val="48"/>
        </w:rPr>
        <w:t>年度</w:t>
      </w:r>
      <w:r>
        <w:rPr>
          <w:rFonts w:hint="eastAsia" w:ascii="黑体" w:hAnsi="黑体" w:eastAsia="黑体" w:cs="黑体"/>
          <w:color w:val="auto"/>
          <w:sz w:val="48"/>
          <w:szCs w:val="48"/>
          <w:lang w:eastAsia="zh-CN"/>
        </w:rPr>
        <w:t>单位</w:t>
      </w:r>
      <w:r>
        <w:rPr>
          <w:rFonts w:hint="eastAsia" w:ascii="黑体" w:hAnsi="黑体" w:eastAsia="黑体" w:cs="黑体"/>
          <w:color w:val="auto"/>
          <w:sz w:val="48"/>
          <w:szCs w:val="48"/>
        </w:rPr>
        <w:t>决算表</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8"/>
        <w:tblW w:w="13988" w:type="dxa"/>
        <w:tblInd w:w="0" w:type="dxa"/>
        <w:tblLayout w:type="fixed"/>
        <w:tblCellMar>
          <w:top w:w="0" w:type="dxa"/>
          <w:left w:w="0" w:type="dxa"/>
          <w:bottom w:w="0" w:type="dxa"/>
          <w:right w:w="0" w:type="dxa"/>
        </w:tblCellMar>
      </w:tblPr>
      <w:tblGrid>
        <w:gridCol w:w="20"/>
        <w:gridCol w:w="4259"/>
        <w:gridCol w:w="620"/>
        <w:gridCol w:w="205"/>
        <w:gridCol w:w="441"/>
        <w:gridCol w:w="1323"/>
        <w:gridCol w:w="532"/>
        <w:gridCol w:w="4139"/>
        <w:gridCol w:w="633"/>
        <w:gridCol w:w="117"/>
        <w:gridCol w:w="557"/>
        <w:gridCol w:w="1061"/>
        <w:gridCol w:w="81"/>
      </w:tblGrid>
      <w:tr>
        <w:tblPrEx>
          <w:tblCellMar>
            <w:top w:w="0" w:type="dxa"/>
            <w:left w:w="0" w:type="dxa"/>
            <w:bottom w:w="0" w:type="dxa"/>
            <w:right w:w="0" w:type="dxa"/>
          </w:tblCellMar>
        </w:tblPrEx>
        <w:trPr>
          <w:trHeight w:val="360" w:hRule="atLeast"/>
        </w:trPr>
        <w:tc>
          <w:tcPr>
            <w:tcW w:w="13988" w:type="dxa"/>
            <w:gridSpan w:val="13"/>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0"/>
                <w:szCs w:val="30"/>
              </w:rPr>
            </w:pPr>
            <w:r>
              <w:rPr>
                <w:rFonts w:hint="eastAsia" w:ascii="宋体" w:hAnsi="宋体" w:cs="宋体"/>
                <w:color w:val="auto"/>
                <w:kern w:val="0"/>
                <w:sz w:val="30"/>
                <w:szCs w:val="30"/>
                <w:lang w:bidi="ar"/>
              </w:rPr>
              <w:t>收入支出决算总表</w:t>
            </w:r>
          </w:p>
        </w:tc>
      </w:tr>
      <w:tr>
        <w:tblPrEx>
          <w:tblCellMar>
            <w:top w:w="0" w:type="dxa"/>
            <w:left w:w="0" w:type="dxa"/>
            <w:bottom w:w="0" w:type="dxa"/>
            <w:right w:w="0" w:type="dxa"/>
          </w:tblCellMar>
        </w:tblPrEx>
        <w:trPr>
          <w:trHeight w:val="297" w:hRule="atLeast"/>
        </w:trPr>
        <w:tc>
          <w:tcPr>
            <w:tcW w:w="4279"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825"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1764"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467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75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1699"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公开01表</w:t>
            </w:r>
          </w:p>
        </w:tc>
      </w:tr>
      <w:tr>
        <w:tblPrEx>
          <w:tblCellMar>
            <w:top w:w="0" w:type="dxa"/>
            <w:left w:w="0" w:type="dxa"/>
            <w:bottom w:w="0" w:type="dxa"/>
            <w:right w:w="0" w:type="dxa"/>
          </w:tblCellMar>
        </w:tblPrEx>
        <w:trPr>
          <w:trHeight w:val="300" w:hRule="atLeast"/>
        </w:trPr>
        <w:tc>
          <w:tcPr>
            <w:tcW w:w="4279" w:type="dxa"/>
            <w:gridSpan w:val="2"/>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：许昌市交通局交通工程定额质量监督站</w:t>
            </w:r>
          </w:p>
        </w:tc>
        <w:tc>
          <w:tcPr>
            <w:tcW w:w="825"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1764"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467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75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1699"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单位：万元</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7380" w:type="dxa"/>
            <w:gridSpan w:val="6"/>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收入</w:t>
            </w:r>
          </w:p>
        </w:tc>
        <w:tc>
          <w:tcPr>
            <w:tcW w:w="6507" w:type="dxa"/>
            <w:gridSpan w:val="5"/>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支出</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项目</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行次</w:t>
            </w:r>
          </w:p>
        </w:tc>
        <w:tc>
          <w:tcPr>
            <w:tcW w:w="1855"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决算数</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项目</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行次</w:t>
            </w:r>
          </w:p>
        </w:tc>
        <w:tc>
          <w:tcPr>
            <w:tcW w:w="106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金额</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栏次</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1855"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栏次</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106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2</w:t>
            </w:r>
          </w:p>
        </w:tc>
      </w:tr>
      <w:tr>
        <w:tblPrEx>
          <w:tblCellMar>
            <w:top w:w="0" w:type="dxa"/>
            <w:left w:w="108" w:type="dxa"/>
            <w:bottom w:w="0" w:type="dxa"/>
            <w:right w:w="108" w:type="dxa"/>
          </w:tblCellMar>
        </w:tblPrEx>
        <w:trPr>
          <w:gridBefore w:val="1"/>
          <w:gridAfter w:val="1"/>
          <w:wBefore w:w="20" w:type="dxa"/>
          <w:wAfter w:w="81" w:type="dxa"/>
          <w:trHeight w:val="384"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一、一般公共预算财政拨款收入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cs="Arial" w:asciiTheme="minorEastAsia" w:hAnsiTheme="minorEastAsia" w:eastAsiaTheme="minorEastAsia"/>
                <w:color w:val="auto"/>
                <w:kern w:val="0"/>
                <w:sz w:val="22"/>
              </w:rPr>
              <w:t>160.65</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一、一般公共服务支出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32</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0.94</w:t>
            </w:r>
          </w:p>
        </w:tc>
      </w:tr>
      <w:tr>
        <w:tblPrEx>
          <w:tblCellMar>
            <w:top w:w="0" w:type="dxa"/>
            <w:left w:w="108" w:type="dxa"/>
            <w:bottom w:w="0" w:type="dxa"/>
            <w:right w:w="108" w:type="dxa"/>
          </w:tblCellMar>
        </w:tblPrEx>
        <w:trPr>
          <w:gridBefore w:val="1"/>
          <w:gridAfter w:val="1"/>
          <w:wBefore w:w="20" w:type="dxa"/>
          <w:wAfter w:w="81" w:type="dxa"/>
          <w:trHeight w:val="291"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二、政府性基金预算财政拨款收入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2</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二、外交支出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33</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三、国有资本经营预算财政拨款收入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3</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三、国防支出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34</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四、上级补助收入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4</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四、公共安全支出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35</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五、事业收入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5</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五、教育支出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36</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六、经营收入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6</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六、科学技术支出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37</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七、附属单位上缴收入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7</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七、文化旅游体育与传媒支出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38</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32"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八、其他收入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8</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八、社会保障和就业支出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39</w:t>
            </w:r>
          </w:p>
        </w:tc>
        <w:tc>
          <w:tcPr>
            <w:tcW w:w="1061" w:type="dxa"/>
            <w:tcBorders>
              <w:top w:val="nil"/>
              <w:left w:val="nil"/>
              <w:bottom w:val="single" w:color="000000" w:sz="4" w:space="0"/>
              <w:right w:val="single" w:color="000000" w:sz="4" w:space="0"/>
            </w:tcBorders>
            <w:shd w:val="clear" w:color="000000" w:fill="FFFFFF"/>
            <w:noWrap/>
            <w:vAlign w:val="center"/>
          </w:tcPr>
          <w:p>
            <w:pPr>
              <w:widowControl/>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xml:space="preserve"> </w:t>
            </w:r>
            <w:r>
              <w:rPr>
                <w:rFonts w:cs="Arial" w:asciiTheme="minorEastAsia" w:hAnsiTheme="minorEastAsia" w:eastAsiaTheme="minorEastAsia"/>
                <w:color w:val="auto"/>
                <w:kern w:val="0"/>
                <w:sz w:val="22"/>
              </w:rPr>
              <w:t xml:space="preserve"> </w:t>
            </w:r>
            <w:r>
              <w:rPr>
                <w:rFonts w:hint="eastAsia" w:cs="Arial" w:asciiTheme="minorEastAsia" w:hAnsiTheme="minorEastAsia" w:eastAsiaTheme="minorEastAsia"/>
                <w:color w:val="auto"/>
                <w:kern w:val="0"/>
                <w:sz w:val="22"/>
              </w:rPr>
              <w:t>17.51</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9</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九、卫生健康支出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40</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6.08</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10</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十、节能环保支出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41</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11</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十一、城乡社区支出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42</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12</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十二、农林水支出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43</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13</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十三、交通运输支出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44</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167.00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14</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十四、资源勘探工业信息等支出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45</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15</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十五、商业服务业等支出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46</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16</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十六、金融支出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47</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17</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十七、援助其他地区支出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48</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18</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十八、自然资源海洋气象等支出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49</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19</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十九、住房保障支出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50</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20</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二十、粮油物资储备支出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51</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21</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二十一、国有资本经营预算支出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52</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22</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二十二、灾害防治及应急管理支出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53</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23</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二十三、其他支出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54</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auto"/>
                <w:kern w:val="0"/>
                <w:sz w:val="22"/>
              </w:rPr>
            </w:pPr>
            <w:r>
              <w:rPr>
                <w:rFonts w:hint="eastAsia" w:cs="Arial" w:asciiTheme="minorEastAsia" w:hAnsiTheme="minorEastAsia" w:eastAsiaTheme="minorEastAsia"/>
                <w:b/>
                <w:bCs/>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24</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二十四、债务还本支出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55</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25</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二十五、债务付息支出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56</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26</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二十六、抗疫特别国债安排的支出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57</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auto"/>
                <w:kern w:val="0"/>
                <w:sz w:val="22"/>
              </w:rPr>
            </w:pPr>
            <w:r>
              <w:rPr>
                <w:rFonts w:hint="eastAsia" w:cs="Arial" w:asciiTheme="minorEastAsia" w:hAnsiTheme="minorEastAsia" w:eastAsiaTheme="minorEastAsia"/>
                <w:b/>
                <w:bCs/>
                <w:color w:val="auto"/>
                <w:kern w:val="0"/>
                <w:sz w:val="22"/>
              </w:rPr>
              <w:t>本年收入合计</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27</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cs="Arial" w:asciiTheme="minorEastAsia" w:hAnsiTheme="minorEastAsia" w:eastAsiaTheme="minorEastAsia"/>
                <w:color w:val="auto"/>
                <w:kern w:val="0"/>
                <w:sz w:val="22"/>
              </w:rPr>
              <w:t>160.65</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auto"/>
                <w:kern w:val="0"/>
                <w:sz w:val="22"/>
              </w:rPr>
            </w:pPr>
            <w:r>
              <w:rPr>
                <w:rFonts w:hint="eastAsia" w:cs="Arial" w:asciiTheme="minorEastAsia" w:hAnsiTheme="minorEastAsia" w:eastAsiaTheme="minorEastAsia"/>
                <w:b/>
                <w:bCs/>
                <w:color w:val="auto"/>
                <w:kern w:val="0"/>
                <w:sz w:val="22"/>
              </w:rPr>
              <w:t>本年支出合计</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58</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191.53</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使用非财政拨款结余</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28</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结余分配</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59</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年初结转和结余</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29</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cs="Arial" w:asciiTheme="minorEastAsia" w:hAnsiTheme="minorEastAsia" w:eastAsiaTheme="minorEastAsia"/>
                <w:color w:val="auto"/>
                <w:kern w:val="0"/>
                <w:sz w:val="22"/>
              </w:rPr>
              <w:t>30.88</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年末结转和结余</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60</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30</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61</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　</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auto"/>
                <w:kern w:val="0"/>
                <w:sz w:val="22"/>
              </w:rPr>
            </w:pPr>
            <w:r>
              <w:rPr>
                <w:rFonts w:hint="eastAsia" w:cs="Arial" w:asciiTheme="minorEastAsia" w:hAnsiTheme="minorEastAsia" w:eastAsiaTheme="minorEastAsia"/>
                <w:b/>
                <w:bCs/>
                <w:color w:val="auto"/>
                <w:kern w:val="0"/>
                <w:sz w:val="22"/>
              </w:rPr>
              <w:t>总计</w:t>
            </w:r>
          </w:p>
        </w:tc>
        <w:tc>
          <w:tcPr>
            <w:tcW w:w="646" w:type="dxa"/>
            <w:gridSpan w:val="2"/>
            <w:tcBorders>
              <w:top w:val="nil"/>
              <w:left w:val="nil"/>
              <w:bottom w:val="single" w:color="000000" w:sz="8"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31</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cs="Arial" w:asciiTheme="minorEastAsia" w:hAnsiTheme="minorEastAsia" w:eastAsiaTheme="minorEastAsia"/>
                <w:color w:val="auto"/>
                <w:kern w:val="0"/>
                <w:sz w:val="22"/>
              </w:rPr>
              <w:t>191.53</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auto"/>
                <w:kern w:val="0"/>
                <w:sz w:val="22"/>
              </w:rPr>
            </w:pPr>
            <w:r>
              <w:rPr>
                <w:rFonts w:hint="eastAsia" w:cs="Arial" w:asciiTheme="minorEastAsia" w:hAnsiTheme="minorEastAsia" w:eastAsiaTheme="minorEastAsia"/>
                <w:b/>
                <w:bCs/>
                <w:color w:val="auto"/>
                <w:kern w:val="0"/>
                <w:sz w:val="22"/>
              </w:rPr>
              <w:t>总计</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62</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auto"/>
                <w:kern w:val="0"/>
                <w:sz w:val="22"/>
              </w:rPr>
            </w:pPr>
            <w:r>
              <w:rPr>
                <w:rFonts w:hint="eastAsia" w:cs="Arial" w:asciiTheme="minorEastAsia" w:hAnsiTheme="minorEastAsia" w:eastAsiaTheme="minorEastAsia"/>
                <w:color w:val="auto"/>
                <w:kern w:val="0"/>
                <w:sz w:val="22"/>
              </w:rPr>
              <w:t>191.53</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13887" w:type="dxa"/>
            <w:gridSpan w:val="11"/>
            <w:tcBorders>
              <w:top w:val="nil"/>
              <w:left w:val="nil"/>
              <w:bottom w:val="nil"/>
              <w:right w:val="nil"/>
            </w:tcBorders>
            <w:shd w:val="clear" w:color="000000" w:fill="FFFFFF"/>
            <w:noWrap/>
            <w:vAlign w:val="center"/>
          </w:tcPr>
          <w:p>
            <w:pPr>
              <w:widowControl/>
              <w:jc w:val="left"/>
              <w:rPr>
                <w:rFonts w:ascii="宋体" w:hAnsi="宋体" w:cs="Arial"/>
                <w:color w:val="auto"/>
                <w:kern w:val="0"/>
                <w:sz w:val="18"/>
                <w:szCs w:val="18"/>
              </w:rPr>
            </w:pPr>
            <w:r>
              <w:rPr>
                <w:rFonts w:hint="eastAsia" w:ascii="宋体" w:hAnsi="宋体" w:cs="Arial"/>
                <w:color w:val="auto"/>
                <w:kern w:val="0"/>
                <w:sz w:val="18"/>
                <w:szCs w:val="18"/>
              </w:rPr>
              <w:t>注：本表反映</w:t>
            </w:r>
            <w:r>
              <w:rPr>
                <w:rFonts w:hint="eastAsia" w:ascii="宋体" w:hAnsi="宋体" w:cs="宋体"/>
                <w:color w:val="auto"/>
                <w:kern w:val="0"/>
                <w:sz w:val="18"/>
                <w:szCs w:val="18"/>
                <w:lang w:val="en-US" w:eastAsia="zh-CN" w:bidi="ar"/>
              </w:rPr>
              <w:t>单位</w:t>
            </w:r>
            <w:r>
              <w:rPr>
                <w:rFonts w:hint="eastAsia" w:ascii="宋体" w:hAnsi="宋体" w:cs="Arial"/>
                <w:color w:val="auto"/>
                <w:kern w:val="0"/>
                <w:sz w:val="18"/>
                <w:szCs w:val="18"/>
              </w:rPr>
              <w:t>本年度的总收支和年末结转结余情况。本套报表金额单位转换时可能存在尾数误差。</w:t>
            </w:r>
          </w:p>
        </w:tc>
      </w:tr>
    </w:tbl>
    <w:p>
      <w:pPr>
        <w:rPr>
          <w:rFonts w:ascii="仿宋_GB2312" w:hAnsi="仿宋_GB2312" w:eastAsia="仿宋_GB2312" w:cs="仿宋_GB2312"/>
          <w:color w:val="auto"/>
          <w:sz w:val="20"/>
          <w:szCs w:val="20"/>
        </w:rPr>
      </w:pPr>
    </w:p>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845" w:type="dxa"/>
        <w:tblInd w:w="0" w:type="dxa"/>
        <w:tblLayout w:type="fixed"/>
        <w:tblCellMar>
          <w:top w:w="0" w:type="dxa"/>
          <w:left w:w="0" w:type="dxa"/>
          <w:bottom w:w="0" w:type="dxa"/>
          <w:right w:w="0" w:type="dxa"/>
        </w:tblCellMar>
      </w:tblPr>
      <w:tblGrid>
        <w:gridCol w:w="1027"/>
        <w:gridCol w:w="59"/>
        <w:gridCol w:w="2331"/>
        <w:gridCol w:w="493"/>
        <w:gridCol w:w="783"/>
        <w:gridCol w:w="770"/>
        <w:gridCol w:w="931"/>
        <w:gridCol w:w="622"/>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rPr>
            </w:pPr>
            <w:r>
              <w:rPr>
                <w:rFonts w:hint="eastAsia" w:ascii="宋体" w:hAnsi="宋体" w:cs="宋体"/>
                <w:color w:val="auto"/>
                <w:kern w:val="0"/>
                <w:sz w:val="30"/>
                <w:szCs w:val="30"/>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233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49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公开02表</w:t>
            </w:r>
          </w:p>
        </w:tc>
      </w:tr>
      <w:tr>
        <w:tblPrEx>
          <w:tblCellMar>
            <w:top w:w="0" w:type="dxa"/>
            <w:left w:w="0" w:type="dxa"/>
            <w:bottom w:w="0" w:type="dxa"/>
            <w:right w:w="0" w:type="dxa"/>
          </w:tblCellMar>
        </w:tblPrEx>
        <w:trPr>
          <w:trHeight w:val="300" w:hRule="atLeast"/>
        </w:trPr>
        <w:tc>
          <w:tcPr>
            <w:tcW w:w="7016" w:type="dxa"/>
            <w:gridSpan w:val="8"/>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：许昌市交通局交通工程定额质量监督站</w:t>
            </w: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18"/>
                <w:szCs w:val="18"/>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单位：万元</w:t>
            </w:r>
          </w:p>
        </w:tc>
      </w:tr>
      <w:tr>
        <w:tblPrEx>
          <w:tblCellMar>
            <w:top w:w="0" w:type="dxa"/>
            <w:left w:w="0" w:type="dxa"/>
            <w:bottom w:w="0" w:type="dxa"/>
            <w:right w:w="0" w:type="dxa"/>
          </w:tblCellMar>
        </w:tblPrEx>
        <w:trPr>
          <w:trHeight w:val="450" w:hRule="atLeast"/>
        </w:trPr>
        <w:tc>
          <w:tcPr>
            <w:tcW w:w="341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    目</w:t>
            </w:r>
          </w:p>
        </w:tc>
        <w:tc>
          <w:tcPr>
            <w:tcW w:w="127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本年收入合计</w:t>
            </w:r>
          </w:p>
        </w:tc>
        <w:tc>
          <w:tcPr>
            <w:tcW w:w="170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财政拨款收入</w:t>
            </w:r>
          </w:p>
        </w:tc>
        <w:tc>
          <w:tcPr>
            <w:tcW w:w="88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功能分类</w:t>
            </w:r>
          </w:p>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科目编码</w:t>
            </w:r>
          </w:p>
        </w:tc>
        <w:tc>
          <w:tcPr>
            <w:tcW w:w="23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2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88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23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88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3417"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r>
      <w:tr>
        <w:tblPrEx>
          <w:tblCellMar>
            <w:top w:w="0" w:type="dxa"/>
            <w:left w:w="0" w:type="dxa"/>
            <w:bottom w:w="0" w:type="dxa"/>
            <w:right w:w="0" w:type="dxa"/>
          </w:tblCellMar>
        </w:tblPrEx>
        <w:trPr>
          <w:trHeight w:val="450" w:hRule="atLeast"/>
        </w:trPr>
        <w:tc>
          <w:tcPr>
            <w:tcW w:w="3417"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160.65</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160.65</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201</w:t>
            </w:r>
          </w:p>
        </w:tc>
        <w:tc>
          <w:tcPr>
            <w:tcW w:w="233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一般公共服务支出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20129</w:t>
            </w:r>
          </w:p>
        </w:tc>
        <w:tc>
          <w:tcPr>
            <w:tcW w:w="233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群众团体事务</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012906</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工会事务</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208</w:t>
            </w:r>
          </w:p>
        </w:tc>
        <w:tc>
          <w:tcPr>
            <w:tcW w:w="233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社会保障和就业支出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15.33</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15.33</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20805</w:t>
            </w:r>
          </w:p>
        </w:tc>
        <w:tc>
          <w:tcPr>
            <w:tcW w:w="233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行政事业单位养老支出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15.33</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15.33</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080502</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事业单位离退休</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6.57</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6.57</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080505</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机关事业单位基本养老保险缴费支出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8.76</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8.76</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210</w:t>
            </w:r>
          </w:p>
        </w:tc>
        <w:tc>
          <w:tcPr>
            <w:tcW w:w="233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卫生健康支出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5.28</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5.28</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21011</w:t>
            </w:r>
          </w:p>
        </w:tc>
        <w:tc>
          <w:tcPr>
            <w:tcW w:w="233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行政事业单位医疗</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5.28</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5.28</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101102</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事业单位医疗</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5.28</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5.28</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14</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交通运输支出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139.10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139.10</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1401</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公路水路运输</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139.10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139.10</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140199</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其他公路水路运输支出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139.10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139.10</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p>
        </w:tc>
        <w:tc>
          <w:tcPr>
            <w:tcW w:w="233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8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0"/>
                <w:szCs w:val="20"/>
              </w:rPr>
            </w:pPr>
            <w:r>
              <w:rPr>
                <w:rFonts w:hint="eastAsia" w:ascii="宋体" w:hAnsi="宋体" w:cs="宋体"/>
                <w:color w:val="auto"/>
                <w:kern w:val="0"/>
                <w:sz w:val="20"/>
                <w:szCs w:val="20"/>
                <w:lang w:bidi="ar"/>
              </w:rPr>
              <w:t>注：本表反映</w:t>
            </w:r>
            <w:r>
              <w:rPr>
                <w:rFonts w:hint="eastAsia" w:ascii="宋体" w:hAnsi="宋体" w:cs="宋体"/>
                <w:color w:val="auto"/>
                <w:kern w:val="0"/>
                <w:sz w:val="20"/>
                <w:szCs w:val="20"/>
                <w:lang w:val="en-US" w:eastAsia="zh-CN" w:bidi="ar"/>
              </w:rPr>
              <w:t>单位</w:t>
            </w:r>
            <w:r>
              <w:rPr>
                <w:rFonts w:hint="eastAsia" w:ascii="宋体" w:hAnsi="宋体" w:cs="宋体"/>
                <w:color w:val="auto"/>
                <w:kern w:val="0"/>
                <w:sz w:val="20"/>
                <w:szCs w:val="20"/>
                <w:lang w:bidi="ar"/>
              </w:rPr>
              <w:t>本年度取得的各项收入情况。本表金额转换为万元时，因四舍五入可能存在尾差。</w:t>
            </w:r>
          </w:p>
        </w:tc>
      </w:tr>
    </w:tbl>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88" w:type="dxa"/>
        <w:tblInd w:w="0" w:type="dxa"/>
        <w:tblLayout w:type="fixed"/>
        <w:tblCellMar>
          <w:top w:w="0" w:type="dxa"/>
          <w:left w:w="0" w:type="dxa"/>
          <w:bottom w:w="0" w:type="dxa"/>
          <w:right w:w="0" w:type="dxa"/>
        </w:tblCellMar>
      </w:tblPr>
      <w:tblGrid>
        <w:gridCol w:w="1120"/>
        <w:gridCol w:w="63"/>
        <w:gridCol w:w="27"/>
        <w:gridCol w:w="2207"/>
        <w:gridCol w:w="916"/>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rPr>
            </w:pPr>
            <w:r>
              <w:rPr>
                <w:rFonts w:hint="eastAsia" w:ascii="宋体" w:hAnsi="宋体" w:cs="宋体"/>
                <w:color w:val="auto"/>
                <w:kern w:val="0"/>
                <w:sz w:val="30"/>
                <w:szCs w:val="30"/>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220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916"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公开03表</w:t>
            </w:r>
          </w:p>
        </w:tc>
      </w:tr>
      <w:tr>
        <w:tblPrEx>
          <w:tblCellMar>
            <w:top w:w="0" w:type="dxa"/>
            <w:left w:w="0" w:type="dxa"/>
            <w:bottom w:w="0" w:type="dxa"/>
            <w:right w:w="0" w:type="dxa"/>
          </w:tblCellMar>
        </w:tblPrEx>
        <w:trPr>
          <w:trHeight w:val="300" w:hRule="atLeast"/>
        </w:trPr>
        <w:tc>
          <w:tcPr>
            <w:tcW w:w="7936" w:type="dxa"/>
            <w:gridSpan w:val="9"/>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：许昌市交通局交通工程定额质量监督站</w:t>
            </w: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单位：万元</w:t>
            </w:r>
          </w:p>
        </w:tc>
      </w:tr>
      <w:tr>
        <w:tblPrEx>
          <w:tblCellMar>
            <w:top w:w="0" w:type="dxa"/>
            <w:left w:w="0" w:type="dxa"/>
            <w:bottom w:w="0" w:type="dxa"/>
            <w:right w:w="0" w:type="dxa"/>
          </w:tblCellMar>
        </w:tblPrEx>
        <w:trPr>
          <w:trHeight w:val="450" w:hRule="atLeast"/>
        </w:trPr>
        <w:tc>
          <w:tcPr>
            <w:tcW w:w="3417"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    目</w:t>
            </w:r>
          </w:p>
        </w:tc>
        <w:tc>
          <w:tcPr>
            <w:tcW w:w="104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功能分类</w:t>
            </w:r>
          </w:p>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科目编码</w:t>
            </w:r>
          </w:p>
        </w:tc>
        <w:tc>
          <w:tcPr>
            <w:tcW w:w="223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04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223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04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3417"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r>
      <w:tr>
        <w:tblPrEx>
          <w:tblCellMar>
            <w:top w:w="0" w:type="dxa"/>
            <w:left w:w="0" w:type="dxa"/>
            <w:bottom w:w="0" w:type="dxa"/>
            <w:right w:w="0" w:type="dxa"/>
          </w:tblCellMar>
        </w:tblPrEx>
        <w:trPr>
          <w:trHeight w:val="450" w:hRule="atLeast"/>
        </w:trPr>
        <w:tc>
          <w:tcPr>
            <w:tcW w:w="3417"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191.53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191.53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201</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一般公共服务支出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20129</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群众团体事务</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2012906</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工会事务</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208</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社会保障和就业支出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17.51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17.51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20805</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行政事业单位养老支出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17.51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17.51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2080502</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事业单位离退休</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6.57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6.57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2080505</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机关事业单位基本养老保险缴费支出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210</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卫生健康支出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21011</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行政事业单位医疗</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101102</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事业单位医疗</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14</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交通运输支出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167.00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167.00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1401</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公路水路运输</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167.00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167.00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2140101</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行政运行</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140199</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其他公路水路运输支出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165.24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165.24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注：本表反映</w:t>
            </w: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本年度各项支出情况。本表金额转换为万元时，因四舍五入可能存在尾差。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07" w:type="dxa"/>
        <w:tblInd w:w="-15" w:type="dxa"/>
        <w:tblLayout w:type="fixed"/>
        <w:tblCellMar>
          <w:top w:w="0" w:type="dxa"/>
          <w:left w:w="0" w:type="dxa"/>
          <w:bottom w:w="0" w:type="dxa"/>
          <w:right w:w="0" w:type="dxa"/>
        </w:tblCellMar>
      </w:tblPr>
      <w:tblGrid>
        <w:gridCol w:w="1276"/>
        <w:gridCol w:w="2718"/>
        <w:gridCol w:w="720"/>
        <w:gridCol w:w="1210"/>
        <w:gridCol w:w="1276"/>
        <w:gridCol w:w="2124"/>
        <w:gridCol w:w="597"/>
        <w:gridCol w:w="708"/>
        <w:gridCol w:w="1152"/>
        <w:gridCol w:w="124"/>
        <w:gridCol w:w="868"/>
        <w:gridCol w:w="1134"/>
      </w:tblGrid>
      <w:tr>
        <w:tblPrEx>
          <w:tblCellMar>
            <w:top w:w="0" w:type="dxa"/>
            <w:left w:w="0" w:type="dxa"/>
            <w:bottom w:w="0" w:type="dxa"/>
            <w:right w:w="0" w:type="dxa"/>
          </w:tblCellMar>
        </w:tblPrEx>
        <w:trPr>
          <w:trHeight w:val="360" w:hRule="atLeast"/>
        </w:trPr>
        <w:tc>
          <w:tcPr>
            <w:tcW w:w="1276" w:type="dxa"/>
            <w:tcBorders>
              <w:top w:val="nil"/>
              <w:left w:val="nil"/>
              <w:bottom w:val="nil"/>
              <w:right w:val="nil"/>
            </w:tcBorders>
          </w:tcPr>
          <w:p>
            <w:pPr>
              <w:widowControl/>
              <w:jc w:val="center"/>
              <w:textAlignment w:val="center"/>
              <w:rPr>
                <w:rFonts w:ascii="华文中宋" w:hAnsi="华文中宋" w:eastAsia="华文中宋" w:cs="华文中宋"/>
                <w:color w:val="auto"/>
                <w:kern w:val="0"/>
                <w:sz w:val="32"/>
                <w:szCs w:val="32"/>
                <w:lang w:bidi="ar"/>
              </w:rPr>
            </w:pPr>
          </w:p>
        </w:tc>
        <w:tc>
          <w:tcPr>
            <w:tcW w:w="12631"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rPr>
            </w:pPr>
            <w:r>
              <w:rPr>
                <w:rFonts w:hint="eastAsia" w:ascii="宋体" w:hAnsi="宋体" w:cs="宋体"/>
                <w:color w:val="auto"/>
                <w:kern w:val="0"/>
                <w:sz w:val="30"/>
                <w:szCs w:val="30"/>
                <w:lang w:bidi="ar"/>
              </w:rPr>
              <w:t>财政拨款收入支出决算总表</w:t>
            </w:r>
          </w:p>
        </w:tc>
      </w:tr>
      <w:tr>
        <w:tblPrEx>
          <w:tblCellMar>
            <w:top w:w="0" w:type="dxa"/>
            <w:left w:w="0" w:type="dxa"/>
            <w:bottom w:w="0" w:type="dxa"/>
            <w:right w:w="0" w:type="dxa"/>
          </w:tblCellMar>
        </w:tblPrEx>
        <w:trPr>
          <w:trHeight w:val="199" w:hRule="atLeast"/>
        </w:trPr>
        <w:tc>
          <w:tcPr>
            <w:tcW w:w="3994"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340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59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70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1276" w:type="dxa"/>
            <w:gridSpan w:val="2"/>
            <w:tcBorders>
              <w:top w:val="nil"/>
              <w:left w:val="nil"/>
              <w:bottom w:val="nil"/>
              <w:right w:val="nil"/>
            </w:tcBorders>
            <w:shd w:val="clear" w:color="auto" w:fill="FFFFFF"/>
          </w:tcPr>
          <w:p>
            <w:pPr>
              <w:jc w:val="right"/>
              <w:rPr>
                <w:rFonts w:ascii="宋体" w:hAnsi="宋体" w:cs="宋体"/>
                <w:color w:val="auto"/>
                <w:sz w:val="20"/>
                <w:szCs w:val="20"/>
              </w:rPr>
            </w:pPr>
          </w:p>
        </w:tc>
        <w:tc>
          <w:tcPr>
            <w:tcW w:w="2002"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公开04表</w:t>
            </w:r>
          </w:p>
        </w:tc>
      </w:tr>
      <w:tr>
        <w:tblPrEx>
          <w:tblCellMar>
            <w:top w:w="0" w:type="dxa"/>
            <w:left w:w="0" w:type="dxa"/>
            <w:bottom w:w="0" w:type="dxa"/>
            <w:right w:w="0" w:type="dxa"/>
          </w:tblCellMar>
        </w:tblPrEx>
        <w:trPr>
          <w:trHeight w:val="300" w:hRule="atLeast"/>
        </w:trPr>
        <w:tc>
          <w:tcPr>
            <w:tcW w:w="3994" w:type="dxa"/>
            <w:gridSpan w:val="2"/>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：许昌市交通局交通工程定额质量监督站</w:t>
            </w: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340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59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70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0"/>
                <w:szCs w:val="20"/>
              </w:rPr>
            </w:pPr>
          </w:p>
        </w:tc>
        <w:tc>
          <w:tcPr>
            <w:tcW w:w="1276" w:type="dxa"/>
            <w:gridSpan w:val="2"/>
            <w:tcBorders>
              <w:top w:val="nil"/>
              <w:left w:val="nil"/>
              <w:bottom w:val="nil"/>
              <w:right w:val="nil"/>
            </w:tcBorders>
            <w:shd w:val="clear" w:color="auto" w:fill="FFFFFF"/>
          </w:tcPr>
          <w:p>
            <w:pPr>
              <w:jc w:val="right"/>
              <w:rPr>
                <w:rFonts w:ascii="宋体" w:hAnsi="宋体" w:cs="宋体"/>
                <w:color w:val="auto"/>
                <w:sz w:val="20"/>
                <w:szCs w:val="20"/>
              </w:rPr>
            </w:pPr>
          </w:p>
        </w:tc>
        <w:tc>
          <w:tcPr>
            <w:tcW w:w="2002"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单位：万元</w:t>
            </w:r>
          </w:p>
        </w:tc>
      </w:tr>
      <w:tr>
        <w:tblPrEx>
          <w:tblCellMar>
            <w:top w:w="0" w:type="dxa"/>
            <w:left w:w="0" w:type="dxa"/>
            <w:bottom w:w="0" w:type="dxa"/>
            <w:right w:w="0" w:type="dxa"/>
          </w:tblCellMar>
        </w:tblPrEx>
        <w:trPr>
          <w:trHeight w:val="402" w:hRule="atLeast"/>
        </w:trPr>
        <w:tc>
          <w:tcPr>
            <w:tcW w:w="5924" w:type="dxa"/>
            <w:gridSpan w:val="4"/>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收入</w:t>
            </w:r>
          </w:p>
        </w:tc>
        <w:tc>
          <w:tcPr>
            <w:tcW w:w="1276" w:type="dxa"/>
            <w:tcBorders>
              <w:top w:val="single" w:color="000000" w:sz="8" w:space="0"/>
              <w:left w:val="single" w:color="000000" w:sz="4" w:space="0"/>
              <w:bottom w:val="single" w:color="000000" w:sz="4" w:space="0"/>
              <w:right w:val="single" w:color="000000" w:sz="4" w:space="0"/>
            </w:tcBorders>
            <w:shd w:val="clear" w:color="auto" w:fill="FFFFFF"/>
          </w:tcPr>
          <w:p>
            <w:pPr>
              <w:widowControl/>
              <w:jc w:val="center"/>
              <w:textAlignment w:val="center"/>
              <w:rPr>
                <w:rFonts w:ascii="宋体" w:hAnsi="宋体" w:cs="宋体"/>
                <w:color w:val="auto"/>
                <w:kern w:val="0"/>
                <w:sz w:val="22"/>
                <w:lang w:bidi="ar"/>
              </w:rPr>
            </w:pPr>
          </w:p>
        </w:tc>
        <w:tc>
          <w:tcPr>
            <w:tcW w:w="6707" w:type="dxa"/>
            <w:gridSpan w:val="7"/>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支出</w:t>
            </w:r>
          </w:p>
        </w:tc>
      </w:tr>
      <w:tr>
        <w:tblPrEx>
          <w:tblCellMar>
            <w:top w:w="0" w:type="dxa"/>
            <w:left w:w="0" w:type="dxa"/>
            <w:bottom w:w="0" w:type="dxa"/>
            <w:right w:w="0" w:type="dxa"/>
          </w:tblCellMar>
        </w:tblPrEx>
        <w:trPr>
          <w:trHeight w:val="630"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金额</w:t>
            </w: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一般公共预算财政拨款</w:t>
            </w:r>
          </w:p>
        </w:tc>
        <w:tc>
          <w:tcPr>
            <w:tcW w:w="992" w:type="dxa"/>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政府性基金预算财政拨款</w:t>
            </w: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rPr>
              <w:t>国有资本经营</w:t>
            </w:r>
            <w:r>
              <w:rPr>
                <w:rFonts w:hint="eastAsia" w:ascii="宋体" w:hAnsi="宋体" w:cs="宋体"/>
                <w:color w:val="auto"/>
                <w:kern w:val="0"/>
                <w:sz w:val="22"/>
                <w:lang w:bidi="ar"/>
              </w:rPr>
              <w:t>预算财政拨款</w:t>
            </w: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4</w:t>
            </w:r>
          </w:p>
        </w:tc>
        <w:tc>
          <w:tcPr>
            <w:tcW w:w="113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ascii="宋体" w:hAnsi="宋体" w:cs="宋体"/>
                <w:color w:val="auto"/>
                <w:kern w:val="0"/>
                <w:sz w:val="22"/>
                <w:lang w:bidi="ar"/>
              </w:rPr>
              <w:t>5</w:t>
            </w: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160.65</w:t>
            </w: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15</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0.94</w:t>
            </w:r>
          </w:p>
        </w:tc>
        <w:tc>
          <w:tcPr>
            <w:tcW w:w="115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16</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15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三、国有资本经营财政拨款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17</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15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18</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15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19</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auto"/>
                <w:sz w:val="22"/>
              </w:rPr>
            </w:pPr>
          </w:p>
        </w:tc>
        <w:tc>
          <w:tcPr>
            <w:tcW w:w="115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20</w:t>
            </w:r>
          </w:p>
        </w:tc>
        <w:tc>
          <w:tcPr>
            <w:tcW w:w="70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17.51</w:t>
            </w:r>
          </w:p>
        </w:tc>
        <w:tc>
          <w:tcPr>
            <w:tcW w:w="115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17.51</w:t>
            </w: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rPr>
              <w:t>九、卫生健康支出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21</w:t>
            </w:r>
          </w:p>
        </w:tc>
        <w:tc>
          <w:tcPr>
            <w:tcW w:w="70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6.08</w:t>
            </w:r>
          </w:p>
        </w:tc>
        <w:tc>
          <w:tcPr>
            <w:tcW w:w="115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十、节能环保支出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十一、城乡社区支出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十二、农林水支出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十三、交通运输支出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22</w:t>
            </w: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w:t>
            </w:r>
            <w:r>
              <w:rPr>
                <w:rFonts w:ascii="宋体" w:hAnsi="宋体" w:cs="宋体"/>
                <w:color w:val="auto"/>
                <w:sz w:val="22"/>
              </w:rPr>
              <w:t>6</w:t>
            </w:r>
            <w:r>
              <w:rPr>
                <w:rFonts w:hint="eastAsia" w:ascii="宋体" w:hAnsi="宋体" w:cs="宋体"/>
                <w:color w:val="auto"/>
                <w:sz w:val="22"/>
              </w:rPr>
              <w:t>7.00</w:t>
            </w: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w:t>
            </w:r>
            <w:r>
              <w:rPr>
                <w:rFonts w:ascii="宋体" w:hAnsi="宋体" w:cs="宋体"/>
                <w:color w:val="auto"/>
                <w:sz w:val="22"/>
              </w:rPr>
              <w:t>6</w:t>
            </w:r>
            <w:r>
              <w:rPr>
                <w:rFonts w:hint="eastAsia" w:ascii="宋体" w:hAnsi="宋体" w:cs="宋体"/>
                <w:color w:val="auto"/>
                <w:sz w:val="22"/>
              </w:rPr>
              <w:t>7.00</w:t>
            </w: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十四、资源勘探信息等支出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十五、商业服务业等支出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十六、金融支出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十七、援助其他地区支出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十八、自然资源海洋气象等支出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十九、住房保障支出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二十、粮油物资储备支出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二十一、灾害防治及应急管理支出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二十二、其他支出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lang w:bidi="ar"/>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160.65</w:t>
            </w: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lang w:bidi="ar"/>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23</w:t>
            </w: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b/>
                <w:color w:val="auto"/>
                <w:sz w:val="22"/>
              </w:rPr>
              <w:t>191.53</w:t>
            </w: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b/>
                <w:color w:val="auto"/>
                <w:sz w:val="22"/>
              </w:rPr>
              <w:t>191.53</w:t>
            </w:r>
          </w:p>
        </w:tc>
        <w:tc>
          <w:tcPr>
            <w:tcW w:w="992" w:type="dxa"/>
            <w:gridSpan w:val="2"/>
            <w:tcBorders>
              <w:top w:val="single" w:color="000000" w:sz="4" w:space="0"/>
              <w:left w:val="nil"/>
              <w:bottom w:val="single" w:color="000000" w:sz="4" w:space="0"/>
              <w:right w:val="nil"/>
            </w:tcBorders>
          </w:tcPr>
          <w:p>
            <w:pPr>
              <w:rPr>
                <w:rFonts w:ascii="宋体" w:hAnsi="宋体" w:cs="宋体"/>
                <w:b/>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b/>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30.88</w:t>
            </w: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24</w:t>
            </w:r>
          </w:p>
        </w:tc>
        <w:tc>
          <w:tcPr>
            <w:tcW w:w="708"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 xml:space="preserve">      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30.88</w:t>
            </w: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25</w:t>
            </w:r>
          </w:p>
        </w:tc>
        <w:tc>
          <w:tcPr>
            <w:tcW w:w="708"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single" w:color="000000" w:sz="4" w:space="0"/>
              <w:right w:val="nil"/>
            </w:tcBorders>
          </w:tcPr>
          <w:p>
            <w:pPr>
              <w:rPr>
                <w:rFonts w:ascii="宋体" w:hAnsi="宋体" w:cs="宋体"/>
                <w:color w:val="auto"/>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 xml:space="preserve">        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p>
        </w:tc>
        <w:tc>
          <w:tcPr>
            <w:tcW w:w="3400"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cs="宋体"/>
                <w:color w:val="auto"/>
                <w:sz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26</w:t>
            </w:r>
          </w:p>
        </w:tc>
        <w:tc>
          <w:tcPr>
            <w:tcW w:w="708" w:type="dxa"/>
            <w:tcBorders>
              <w:top w:val="single" w:color="000000" w:sz="4" w:space="0"/>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nil"/>
              <w:right w:val="nil"/>
            </w:tcBorders>
          </w:tcPr>
          <w:p>
            <w:pPr>
              <w:rPr>
                <w:rFonts w:ascii="宋体" w:hAnsi="宋体" w:cs="宋体"/>
                <w:color w:val="auto"/>
                <w:sz w:val="22"/>
              </w:rPr>
            </w:pPr>
          </w:p>
        </w:tc>
        <w:tc>
          <w:tcPr>
            <w:tcW w:w="1134" w:type="dxa"/>
            <w:tcBorders>
              <w:top w:val="single" w:color="000000" w:sz="4" w:space="0"/>
              <w:left w:val="nil"/>
              <w:bottom w:val="nil"/>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国有资本经营财政拨款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13</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p>
        </w:tc>
        <w:tc>
          <w:tcPr>
            <w:tcW w:w="3400"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cs="宋体"/>
                <w:color w:val="auto"/>
                <w:sz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27</w:t>
            </w:r>
          </w:p>
        </w:tc>
        <w:tc>
          <w:tcPr>
            <w:tcW w:w="708" w:type="dxa"/>
            <w:tcBorders>
              <w:top w:val="single" w:color="000000" w:sz="4" w:space="0"/>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auto"/>
                <w:sz w:val="22"/>
              </w:rPr>
            </w:pPr>
          </w:p>
        </w:tc>
        <w:tc>
          <w:tcPr>
            <w:tcW w:w="992" w:type="dxa"/>
            <w:gridSpan w:val="2"/>
            <w:tcBorders>
              <w:top w:val="single" w:color="000000" w:sz="4" w:space="0"/>
              <w:left w:val="nil"/>
              <w:bottom w:val="nil"/>
              <w:right w:val="nil"/>
            </w:tcBorders>
          </w:tcPr>
          <w:p>
            <w:pPr>
              <w:rPr>
                <w:rFonts w:ascii="宋体" w:hAnsi="宋体" w:cs="宋体"/>
                <w:color w:val="auto"/>
                <w:sz w:val="22"/>
              </w:rPr>
            </w:pPr>
          </w:p>
        </w:tc>
        <w:tc>
          <w:tcPr>
            <w:tcW w:w="1134" w:type="dxa"/>
            <w:tcBorders>
              <w:top w:val="single" w:color="000000" w:sz="4" w:space="0"/>
              <w:left w:val="nil"/>
              <w:bottom w:val="nil"/>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lang w:bidi="ar"/>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191.53</w:t>
            </w:r>
          </w:p>
        </w:tc>
        <w:tc>
          <w:tcPr>
            <w:tcW w:w="3400" w:type="dxa"/>
            <w:gridSpan w:val="2"/>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lang w:bidi="ar"/>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28</w:t>
            </w:r>
          </w:p>
        </w:tc>
        <w:tc>
          <w:tcPr>
            <w:tcW w:w="708" w:type="dxa"/>
            <w:tcBorders>
              <w:top w:val="single" w:color="000000" w:sz="4" w:space="0"/>
              <w:left w:val="nil"/>
              <w:bottom w:val="nil"/>
              <w:right w:val="nil"/>
            </w:tcBorders>
            <w:shd w:val="clear" w:color="auto" w:fill="FFFFFF"/>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191.53</w:t>
            </w:r>
          </w:p>
        </w:tc>
        <w:tc>
          <w:tcPr>
            <w:tcW w:w="1152"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191.53</w:t>
            </w:r>
          </w:p>
        </w:tc>
        <w:tc>
          <w:tcPr>
            <w:tcW w:w="992" w:type="dxa"/>
            <w:gridSpan w:val="2"/>
            <w:tcBorders>
              <w:top w:val="single" w:color="000000" w:sz="4" w:space="0"/>
              <w:left w:val="nil"/>
              <w:bottom w:val="single" w:color="000000" w:sz="8" w:space="0"/>
              <w:right w:val="nil"/>
            </w:tcBorders>
          </w:tcPr>
          <w:p>
            <w:pPr>
              <w:rPr>
                <w:rFonts w:ascii="宋体" w:hAnsi="宋体" w:cs="宋体"/>
                <w:b/>
                <w:color w:val="auto"/>
                <w:sz w:val="22"/>
              </w:rPr>
            </w:pPr>
          </w:p>
        </w:tc>
        <w:tc>
          <w:tcPr>
            <w:tcW w:w="1134"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rPr>
                <w:rFonts w:ascii="宋体" w:hAnsi="宋体" w:cs="宋体"/>
                <w:b/>
                <w:color w:val="auto"/>
                <w:sz w:val="22"/>
              </w:rPr>
            </w:pPr>
          </w:p>
        </w:tc>
      </w:tr>
      <w:tr>
        <w:tblPrEx>
          <w:tblCellMar>
            <w:top w:w="0" w:type="dxa"/>
            <w:left w:w="0" w:type="dxa"/>
            <w:bottom w:w="0" w:type="dxa"/>
            <w:right w:w="0" w:type="dxa"/>
          </w:tblCellMar>
        </w:tblPrEx>
        <w:trPr>
          <w:trHeight w:val="585" w:hRule="atLeast"/>
        </w:trPr>
        <w:tc>
          <w:tcPr>
            <w:tcW w:w="13907" w:type="dxa"/>
            <w:gridSpan w:val="12"/>
            <w:tcBorders>
              <w:top w:val="single" w:color="000000" w:sz="8" w:space="0"/>
              <w:left w:val="nil"/>
              <w:bottom w:val="nil"/>
              <w:right w:val="nil"/>
            </w:tcBorders>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注：本表反映</w:t>
            </w: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本年度一般公共预算财政拨款和政府性基金预算财政拨款的总收支和年末结转结余情况。本表金额转换为万元时，因四舍五入可能存在尾差。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88" w:type="dxa"/>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rPr>
            </w:pPr>
            <w:r>
              <w:rPr>
                <w:rFonts w:hint="eastAsia" w:ascii="宋体" w:hAnsi="宋体" w:cs="宋体"/>
                <w:color w:val="auto"/>
                <w:kern w:val="0"/>
                <w:sz w:val="30"/>
                <w:szCs w:val="30"/>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18"/>
                <w:szCs w:val="18"/>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18"/>
                <w:szCs w:val="18"/>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18"/>
                <w:szCs w:val="18"/>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公开0</w:t>
            </w:r>
            <w:r>
              <w:rPr>
                <w:rStyle w:val="19"/>
                <w:rFonts w:hint="default"/>
                <w:color w:val="auto"/>
                <w:sz w:val="18"/>
                <w:szCs w:val="18"/>
                <w:lang w:bidi="ar"/>
              </w:rPr>
              <w:t>5表</w:t>
            </w:r>
          </w:p>
        </w:tc>
      </w:tr>
      <w:tr>
        <w:tblPrEx>
          <w:tblCellMar>
            <w:top w:w="0" w:type="dxa"/>
            <w:left w:w="0" w:type="dxa"/>
            <w:bottom w:w="0" w:type="dxa"/>
            <w:right w:w="0" w:type="dxa"/>
          </w:tblCellMar>
        </w:tblPrEx>
        <w:trPr>
          <w:trHeight w:val="300" w:hRule="atLeast"/>
        </w:trPr>
        <w:tc>
          <w:tcPr>
            <w:tcW w:w="7088" w:type="dxa"/>
            <w:gridSpan w:val="4"/>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：许昌市交通局交通工程定额质量监督站</w:t>
            </w: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单位：万元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 xml:space="preserve">项 </w:t>
            </w:r>
            <w:r>
              <w:rPr>
                <w:rStyle w:val="16"/>
                <w:rFonts w:hint="default"/>
                <w:color w:val="auto"/>
                <w:lang w:bidi="ar"/>
              </w:rPr>
              <w:t xml:space="preserve">   </w:t>
            </w:r>
            <w:r>
              <w:rPr>
                <w:rStyle w:val="17"/>
                <w:rFonts w:hint="default"/>
                <w:color w:val="auto"/>
                <w:sz w:val="22"/>
                <w:szCs w:val="22"/>
                <w:lang w:bidi="ar"/>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功能分类</w:t>
            </w:r>
          </w:p>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191.53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191.53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201</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一般公共服务支出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20129</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群众团体事务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2012906</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工会事务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208</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17.51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17.51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20805</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行政事业单位养老支出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17.51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17.51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2080502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事业单位离退休</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6.57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6.57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2080505</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10.94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10.94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210</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卫生健康支出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21011</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kern w:val="0"/>
                <w:sz w:val="22"/>
                <w:lang w:bidi="ar"/>
              </w:rPr>
              <w:t>行政事业单位医疗</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101102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事业单位医疗</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6.08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交通运输支出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167.00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167.00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1401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公路水路运输</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167.00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167.00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2140101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行政运行</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140199</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auto"/>
                <w:sz w:val="22"/>
              </w:rPr>
            </w:pPr>
            <w:r>
              <w:rPr>
                <w:rFonts w:hint="eastAsia" w:ascii="宋体" w:hAnsi="宋体" w:cs="宋体"/>
                <w:color w:val="auto"/>
                <w:sz w:val="22"/>
              </w:rPr>
              <w:t>其他公路水路运输支出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165.24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165.24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注：本表反映</w:t>
            </w: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本年度一般公共预算财政拨款支出情况。本表金额转换为万元时，因四舍五入可能存在尾差。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88" w:type="dxa"/>
        <w:tblInd w:w="0" w:type="dxa"/>
        <w:tblLayout w:type="fixed"/>
        <w:tblCellMar>
          <w:top w:w="0" w:type="dxa"/>
          <w:left w:w="0" w:type="dxa"/>
          <w:bottom w:w="0" w:type="dxa"/>
          <w:right w:w="0" w:type="dxa"/>
        </w:tblCellMar>
      </w:tblPr>
      <w:tblGrid>
        <w:gridCol w:w="870"/>
        <w:gridCol w:w="3114"/>
        <w:gridCol w:w="747"/>
        <w:gridCol w:w="870"/>
        <w:gridCol w:w="2352"/>
        <w:gridCol w:w="652"/>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rPr>
            </w:pPr>
            <w:r>
              <w:rPr>
                <w:rFonts w:hint="eastAsia" w:ascii="宋体" w:hAnsi="宋体" w:cs="宋体"/>
                <w:color w:val="auto"/>
                <w:kern w:val="0"/>
                <w:sz w:val="30"/>
                <w:szCs w:val="30"/>
                <w:lang w:bidi="ar"/>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rPr>
            </w:pPr>
          </w:p>
        </w:tc>
        <w:tc>
          <w:tcPr>
            <w:tcW w:w="3114"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rPr>
            </w:pPr>
          </w:p>
        </w:tc>
        <w:tc>
          <w:tcPr>
            <w:tcW w:w="747"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2352"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652"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20"/>
                <w:szCs w:val="20"/>
              </w:rPr>
            </w:pPr>
            <w:r>
              <w:rPr>
                <w:rFonts w:hint="eastAsia" w:ascii="宋体" w:hAnsi="宋体" w:cs="宋体"/>
                <w:color w:val="auto"/>
                <w:kern w:val="0"/>
                <w:sz w:val="20"/>
                <w:szCs w:val="20"/>
                <w:lang w:bidi="ar"/>
              </w:rPr>
              <w:t>公开06表</w:t>
            </w:r>
          </w:p>
        </w:tc>
      </w:tr>
      <w:tr>
        <w:tblPrEx>
          <w:tblCellMar>
            <w:top w:w="0" w:type="dxa"/>
            <w:left w:w="0" w:type="dxa"/>
            <w:bottom w:w="0" w:type="dxa"/>
            <w:right w:w="0" w:type="dxa"/>
          </w:tblCellMar>
        </w:tblPrEx>
        <w:trPr>
          <w:trHeight w:val="300" w:hRule="atLeast"/>
        </w:trPr>
        <w:tc>
          <w:tcPr>
            <w:tcW w:w="5601" w:type="dxa"/>
            <w:gridSpan w:val="4"/>
            <w:tcBorders>
              <w:top w:val="nil"/>
              <w:left w:val="nil"/>
              <w:bottom w:val="nil"/>
              <w:right w:val="nil"/>
            </w:tcBorders>
            <w:tcMar>
              <w:top w:w="15" w:type="dxa"/>
              <w:left w:w="15" w:type="dxa"/>
              <w:right w:w="15" w:type="dxa"/>
            </w:tcMar>
            <w:vAlign w:val="center"/>
          </w:tcPr>
          <w:p>
            <w:pPr>
              <w:rPr>
                <w:rFonts w:ascii="Arial" w:hAnsi="Arial" w:cs="Arial"/>
                <w:color w:val="auto"/>
                <w:sz w:val="20"/>
                <w:szCs w:val="20"/>
              </w:rPr>
            </w:pPr>
            <w:r>
              <w:rPr>
                <w:rFonts w:hint="eastAsia" w:ascii="宋体" w:hAnsi="宋体" w:cs="宋体"/>
                <w:color w:val="auto"/>
                <w:kern w:val="0"/>
                <w:sz w:val="18"/>
                <w:szCs w:val="18"/>
                <w:lang w:val="en-US" w:eastAsia="zh-CN" w:bidi="ar"/>
              </w:rPr>
              <w:t>单位</w:t>
            </w:r>
            <w:r>
              <w:rPr>
                <w:rFonts w:ascii="Arial" w:hAnsi="Arial" w:cs="Arial"/>
                <w:color w:val="auto"/>
                <w:kern w:val="0"/>
                <w:sz w:val="18"/>
                <w:szCs w:val="18"/>
                <w:lang w:bidi="ar"/>
              </w:rPr>
              <w:t>：</w:t>
            </w:r>
            <w:r>
              <w:rPr>
                <w:rFonts w:hint="eastAsia" w:ascii="Arial" w:hAnsi="Arial" w:cs="Arial"/>
                <w:color w:val="auto"/>
                <w:kern w:val="0"/>
                <w:sz w:val="18"/>
                <w:szCs w:val="18"/>
                <w:lang w:bidi="ar"/>
              </w:rPr>
              <w:t>许昌市交通局交通工程定额质量监督站</w:t>
            </w:r>
          </w:p>
        </w:tc>
        <w:tc>
          <w:tcPr>
            <w:tcW w:w="2352"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rPr>
            </w:pPr>
          </w:p>
        </w:tc>
        <w:tc>
          <w:tcPr>
            <w:tcW w:w="652"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rPr>
            </w:pPr>
          </w:p>
        </w:tc>
        <w:tc>
          <w:tcPr>
            <w:tcW w:w="3575"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rPr>
            </w:pPr>
          </w:p>
        </w:tc>
        <w:tc>
          <w:tcPr>
            <w:tcW w:w="938"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auto"/>
                <w:sz w:val="20"/>
                <w:szCs w:val="20"/>
              </w:rPr>
            </w:pPr>
            <w:r>
              <w:rPr>
                <w:rFonts w:hint="eastAsia" w:ascii="宋体" w:hAnsi="宋体" w:cs="宋体"/>
                <w:color w:val="auto"/>
                <w:kern w:val="0"/>
                <w:sz w:val="20"/>
                <w:szCs w:val="20"/>
                <w:lang w:bidi="ar"/>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经济分类科目编码</w:t>
            </w:r>
          </w:p>
        </w:tc>
        <w:tc>
          <w:tcPr>
            <w:tcW w:w="3114"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747"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经济分类科目编码</w:t>
            </w:r>
          </w:p>
        </w:tc>
        <w:tc>
          <w:tcPr>
            <w:tcW w:w="2352"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652"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工资福利支出</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177.69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商品和服务支出</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7.08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基本工资</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4</w:t>
            </w:r>
            <w:r>
              <w:rPr>
                <w:rFonts w:ascii="宋体" w:hAnsi="宋体" w:cs="宋体"/>
                <w:color w:val="auto"/>
                <w:sz w:val="22"/>
              </w:rPr>
              <w:t>7.</w:t>
            </w:r>
            <w:r>
              <w:rPr>
                <w:rFonts w:hint="eastAsia" w:ascii="宋体" w:hAnsi="宋体" w:cs="宋体"/>
                <w:color w:val="auto"/>
                <w:sz w:val="22"/>
              </w:rPr>
              <w:t>17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30201</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办公费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2.04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30102</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津贴补贴</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31.22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30202</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印刷费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0.04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奖金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39.65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30203</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咨询费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30106</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伙食补助费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30204</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手续费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30107</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绩效工资</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31.11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30205</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水费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30108</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机关事业单位基本养老保险费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10.94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30206</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电费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职业年金缴费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30207</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邮电费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w:t>
            </w:r>
            <w:r>
              <w:rPr>
                <w:rFonts w:ascii="宋体" w:hAnsi="宋体" w:cs="宋体"/>
                <w:color w:val="auto"/>
                <w:sz w:val="22"/>
              </w:rPr>
              <w:t>.23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30110</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职工基本医疗保险缴费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5</w:t>
            </w:r>
            <w:r>
              <w:rPr>
                <w:rFonts w:ascii="宋体" w:hAnsi="宋体" w:cs="宋体"/>
                <w:color w:val="auto"/>
                <w:sz w:val="22"/>
              </w:rPr>
              <w:t>.</w:t>
            </w:r>
            <w:r>
              <w:rPr>
                <w:rFonts w:hint="eastAsia" w:ascii="宋体" w:hAnsi="宋体" w:cs="宋体"/>
                <w:color w:val="auto"/>
                <w:sz w:val="22"/>
              </w:rPr>
              <w:t>43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30208</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取暖费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公务员医疗补助缴费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30209</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物业管理费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30112</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其他社会保障缴费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0.84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30211</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差旅费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0.16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住房公积金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11</w:t>
            </w:r>
            <w:r>
              <w:rPr>
                <w:rFonts w:ascii="宋体" w:hAnsi="宋体" w:cs="宋体"/>
                <w:color w:val="auto"/>
                <w:sz w:val="22"/>
              </w:rPr>
              <w:t>.33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30212</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因公出国（境）费用</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30114</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医疗费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30213</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维修（护）费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w:t>
            </w:r>
            <w:r>
              <w:rPr>
                <w:rFonts w:ascii="宋体" w:hAnsi="宋体" w:cs="宋体"/>
                <w:color w:val="auto"/>
                <w:sz w:val="22"/>
              </w:rPr>
              <w:t>.54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30199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其他工资福利支出</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30214</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租赁费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对个人和家庭的补助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6.77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30215</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会议费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离休费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30216</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培训费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w:t>
            </w:r>
            <w:r>
              <w:rPr>
                <w:rFonts w:ascii="宋体" w:hAnsi="宋体" w:cs="宋体"/>
                <w:color w:val="auto"/>
                <w:sz w:val="22"/>
              </w:rPr>
              <w:t>.0</w:t>
            </w:r>
            <w:r>
              <w:rPr>
                <w:rFonts w:hint="eastAsia" w:ascii="宋体" w:hAnsi="宋体" w:cs="宋体"/>
                <w:color w:val="auto"/>
                <w:sz w:val="22"/>
              </w:rPr>
              <w:t>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30302</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退休费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6.77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30217</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公务招待费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退职（役）费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30218</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专用材料费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30304</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抚恤金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30224</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被装购置费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30305</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生活补助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30225</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专用燃料费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30306</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救济费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30226</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劳务费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30307</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医疗费补助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30227</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委托业务费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30308</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助学金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30228</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工会经费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0.94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奖励金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30229</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福利费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w:t>
            </w:r>
            <w:r>
              <w:rPr>
                <w:rFonts w:ascii="宋体" w:hAnsi="宋体" w:cs="宋体"/>
                <w:color w:val="auto"/>
                <w:sz w:val="22"/>
              </w:rPr>
              <w:t>.</w:t>
            </w:r>
            <w:r>
              <w:rPr>
                <w:rFonts w:hint="eastAsia" w:ascii="宋体" w:hAnsi="宋体" w:cs="宋体"/>
                <w:color w:val="auto"/>
                <w:sz w:val="22"/>
              </w:rPr>
              <w:t>31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30310</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个人农业生产补贴</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30231</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公务用车运行维护费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w:t>
            </w:r>
            <w:r>
              <w:rPr>
                <w:rFonts w:ascii="宋体" w:hAnsi="宋体" w:cs="宋体"/>
                <w:color w:val="auto"/>
                <w:sz w:val="22"/>
              </w:rPr>
              <w:t>.</w:t>
            </w:r>
            <w:r>
              <w:rPr>
                <w:rFonts w:hint="eastAsia" w:ascii="宋体" w:hAnsi="宋体" w:cs="宋体"/>
                <w:color w:val="auto"/>
                <w:sz w:val="22"/>
              </w:rPr>
              <w:t>79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30399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对其他个人和家庭的补助支出</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30239</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其他交通费用</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30240</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税金及附加费用</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30299</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其他商品和服务支出</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307</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债务利息及费用支出</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30701</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国内债务付息</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30702</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国外债务付息</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30703</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国内债务发行费用</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30704</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国外债务发行费用</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人员经费合计</w:t>
            </w:r>
          </w:p>
        </w:tc>
        <w:tc>
          <w:tcPr>
            <w:tcW w:w="74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184.45</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7.08</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注：本表反映</w:t>
            </w: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华文中宋"/>
                <w:color w:val="auto"/>
                <w:sz w:val="32"/>
                <w:szCs w:val="32"/>
              </w:rPr>
            </w:pPr>
            <w:r>
              <w:rPr>
                <w:rFonts w:hint="eastAsia" w:ascii="宋体" w:hAnsi="宋体" w:cs="华文中宋"/>
                <w:color w:val="auto"/>
                <w:kern w:val="0"/>
                <w:sz w:val="30"/>
                <w:szCs w:val="30"/>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：许昌市交通局交通工程定额质量监督站</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.24</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2</w:t>
            </w:r>
            <w:r>
              <w:rPr>
                <w:rFonts w:ascii="宋体" w:hAnsi="宋体" w:cs="宋体"/>
                <w:color w:val="auto"/>
                <w:sz w:val="22"/>
              </w:rPr>
              <w:t>.00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0</w:t>
            </w:r>
            <w:r>
              <w:rPr>
                <w:rFonts w:ascii="宋体" w:hAnsi="宋体" w:cs="宋体"/>
                <w:color w:val="auto"/>
                <w:sz w:val="22"/>
              </w:rPr>
              <w:t>.24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2"/>
                <w:lang w:val="en-US" w:eastAsia="zh-CN"/>
              </w:rPr>
            </w:pPr>
            <w:r>
              <w:rPr>
                <w:rFonts w:hint="eastAsia" w:ascii="宋体" w:hAnsi="宋体" w:cs="宋体"/>
                <w:color w:val="auto"/>
                <w:sz w:val="22"/>
              </w:rPr>
              <w:t>1</w:t>
            </w:r>
            <w:r>
              <w:rPr>
                <w:rFonts w:ascii="宋体" w:hAnsi="宋体" w:cs="宋体"/>
                <w:color w:val="auto"/>
                <w:sz w:val="22"/>
              </w:rPr>
              <w:t>.</w:t>
            </w:r>
            <w:r>
              <w:rPr>
                <w:rFonts w:hint="eastAsia" w:ascii="宋体" w:hAnsi="宋体" w:cs="宋体"/>
                <w:color w:val="auto"/>
                <w:sz w:val="22"/>
                <w:lang w:val="en-US" w:eastAsia="zh-CN"/>
              </w:rPr>
              <w:t>79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w:t>
            </w:r>
            <w:r>
              <w:rPr>
                <w:rFonts w:ascii="宋体" w:hAnsi="宋体" w:cs="宋体"/>
                <w:color w:val="auto"/>
                <w:sz w:val="22"/>
              </w:rPr>
              <w:t>.</w:t>
            </w:r>
            <w:r>
              <w:rPr>
                <w:rFonts w:hint="eastAsia" w:ascii="宋体" w:hAnsi="宋体" w:cs="宋体"/>
                <w:color w:val="auto"/>
                <w:sz w:val="22"/>
              </w:rPr>
              <w:t>79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2"/>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w:t>
            </w:r>
            <w:r>
              <w:rPr>
                <w:rFonts w:ascii="宋体" w:hAnsi="宋体" w:cs="宋体"/>
                <w:color w:val="auto"/>
                <w:sz w:val="22"/>
              </w:rPr>
              <w:t>.</w:t>
            </w:r>
            <w:r>
              <w:rPr>
                <w:rFonts w:hint="eastAsia" w:ascii="宋体" w:hAnsi="宋体" w:cs="宋体"/>
                <w:color w:val="auto"/>
                <w:sz w:val="22"/>
              </w:rPr>
              <w:t>79</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auto"/>
                <w:sz w:val="22"/>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注：本表反映</w:t>
            </w: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本年度“三公”经费支出预决算情况。其中，预算数为“三公”经费全年预算数，反映按规定程序调整后的预算数；决算数是包括当年一般公共预算财政拨款和以前年度结转资金安排的实际支出。</w:t>
            </w:r>
          </w:p>
        </w:tc>
      </w:tr>
    </w:tbl>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8"/>
        <w:tblW w:w="13988" w:type="dxa"/>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华文中宋"/>
                <w:color w:val="auto"/>
                <w:sz w:val="32"/>
                <w:szCs w:val="32"/>
              </w:rPr>
            </w:pPr>
            <w:r>
              <w:rPr>
                <w:rFonts w:hint="eastAsia" w:ascii="宋体" w:hAnsi="宋体" w:cs="华文中宋"/>
                <w:color w:val="auto"/>
                <w:kern w:val="0"/>
                <w:sz w:val="30"/>
                <w:szCs w:val="30"/>
                <w:lang w:bidi="ar"/>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公开08表</w:t>
            </w:r>
          </w:p>
        </w:tc>
      </w:tr>
      <w:tr>
        <w:tblPrEx>
          <w:tblCellMar>
            <w:top w:w="0" w:type="dxa"/>
            <w:left w:w="0" w:type="dxa"/>
            <w:bottom w:w="0" w:type="dxa"/>
            <w:right w:w="0" w:type="dxa"/>
          </w:tblCellMar>
        </w:tblPrEx>
        <w:trPr>
          <w:trHeight w:val="300" w:hRule="atLeast"/>
        </w:trPr>
        <w:tc>
          <w:tcPr>
            <w:tcW w:w="6276" w:type="dxa"/>
            <w:gridSpan w:val="5"/>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18"/>
                <w:szCs w:val="18"/>
              </w:rPr>
            </w:pP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：许昌市交通局交通工程定额质量监督站</w:t>
            </w: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bidi="ar"/>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功能分类</w:t>
            </w:r>
          </w:p>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2"/>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2"/>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2"/>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2"/>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2"/>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2"/>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2"/>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2"/>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2"/>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2"/>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2"/>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auto"/>
                <w:sz w:val="22"/>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2"/>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auto"/>
                <w:sz w:val="22"/>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注：本表反映</w:t>
            </w:r>
            <w:r>
              <w:rPr>
                <w:rFonts w:hint="eastAsia" w:ascii="宋体" w:hAnsi="宋体" w:cs="宋体"/>
                <w:color w:val="auto"/>
                <w:kern w:val="0"/>
                <w:sz w:val="18"/>
                <w:szCs w:val="18"/>
                <w:lang w:val="en-US" w:eastAsia="zh-CN" w:bidi="ar"/>
              </w:rPr>
              <w:t>单位</w:t>
            </w:r>
            <w:r>
              <w:rPr>
                <w:rFonts w:hint="eastAsia" w:ascii="宋体" w:hAnsi="宋体" w:cs="宋体"/>
                <w:color w:val="auto"/>
                <w:kern w:val="0"/>
                <w:sz w:val="18"/>
                <w:szCs w:val="18"/>
                <w:lang w:bidi="ar"/>
              </w:rPr>
              <w:t>本年度政府性基金预算财政拨款收入、支出及结转和结余情况。</w:t>
            </w:r>
          </w:p>
        </w:tc>
      </w:tr>
    </w:tbl>
    <w:p>
      <w:pPr>
        <w:jc w:val="left"/>
        <w:rPr>
          <w:rFonts w:ascii="宋体" w:hAnsi="宋体" w:cs="宋体"/>
          <w:color w:val="auto"/>
          <w:sz w:val="18"/>
          <w:szCs w:val="18"/>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auto"/>
          <w:sz w:val="18"/>
          <w:szCs w:val="18"/>
        </w:rPr>
        <w:t>说明：我</w:t>
      </w:r>
      <w:r>
        <w:rPr>
          <w:rFonts w:hint="eastAsia" w:ascii="宋体" w:hAnsi="宋体" w:cs="宋体"/>
          <w:color w:val="auto"/>
          <w:kern w:val="0"/>
          <w:sz w:val="18"/>
          <w:szCs w:val="18"/>
          <w:lang w:val="en-US" w:eastAsia="zh-CN" w:bidi="ar"/>
        </w:rPr>
        <w:t>单位</w:t>
      </w:r>
      <w:r>
        <w:rPr>
          <w:rFonts w:hint="eastAsia" w:ascii="宋体" w:hAnsi="宋体" w:cs="宋体"/>
          <w:color w:val="auto"/>
          <w:sz w:val="18"/>
          <w:szCs w:val="18"/>
        </w:rPr>
        <w:t>没有政府性基金收入，也没有使用政府性基金安排的支出，故本表无数据。</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48"/>
          <w:szCs w:val="48"/>
        </w:rPr>
      </w:pPr>
    </w:p>
    <w:p>
      <w:pPr>
        <w:widowControl/>
        <w:jc w:val="left"/>
        <w:rPr>
          <w:rFonts w:ascii="黑体" w:hAnsi="宋体" w:eastAsia="黑体" w:cs="宋体"/>
          <w:color w:val="auto"/>
          <w:kern w:val="0"/>
          <w:sz w:val="48"/>
          <w:szCs w:val="48"/>
        </w:rPr>
      </w:pPr>
    </w:p>
    <w:p>
      <w:pPr>
        <w:widowControl/>
        <w:jc w:val="left"/>
        <w:rPr>
          <w:rFonts w:ascii="黑体" w:hAnsi="宋体" w:eastAsia="黑体" w:cs="宋体"/>
          <w:color w:val="auto"/>
          <w:kern w:val="0"/>
          <w:sz w:val="48"/>
          <w:szCs w:val="4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第三部分  2021年度</w:t>
      </w:r>
      <w:r>
        <w:rPr>
          <w:rFonts w:hint="eastAsia" w:ascii="黑体" w:hAnsi="黑体" w:eastAsia="黑体" w:cs="黑体"/>
          <w:color w:val="auto"/>
          <w:sz w:val="48"/>
          <w:szCs w:val="48"/>
          <w:lang w:eastAsia="zh-CN"/>
        </w:rPr>
        <w:t>单位</w:t>
      </w:r>
      <w:r>
        <w:rPr>
          <w:rFonts w:hint="eastAsia" w:ascii="黑体" w:hAnsi="黑体" w:eastAsia="黑体" w:cs="黑体"/>
          <w:color w:val="auto"/>
          <w:sz w:val="48"/>
          <w:szCs w:val="48"/>
        </w:rPr>
        <w:t>决算情况说明</w:t>
      </w:r>
    </w:p>
    <w:p>
      <w:pPr>
        <w:widowControl/>
        <w:jc w:val="left"/>
        <w:rPr>
          <w:rFonts w:ascii="黑体" w:hAnsi="黑体" w:eastAsia="黑体" w:cs="黑体"/>
          <w:color w:val="auto"/>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一、收入支出决算总体情况说明</w:t>
      </w:r>
    </w:p>
    <w:p>
      <w:pPr>
        <w:widowControl/>
        <w:spacing w:line="590" w:lineRule="exact"/>
        <w:ind w:firstLine="640" w:firstLineChars="200"/>
        <w:rPr>
          <w:rFonts w:ascii="黑体" w:hAnsi="黑体" w:eastAsia="黑体" w:cs="黑体"/>
          <w:color w:val="auto"/>
          <w:sz w:val="32"/>
          <w:szCs w:val="32"/>
        </w:rPr>
      </w:pPr>
      <w:r>
        <w:rPr>
          <w:rFonts w:hint="eastAsia" w:ascii="仿宋_GB2312" w:hAnsi="仿宋_GB2312" w:eastAsia="仿宋_GB2312" w:cs="仿宋_GB2312"/>
          <w:color w:val="auto"/>
          <w:sz w:val="32"/>
          <w:szCs w:val="32"/>
        </w:rPr>
        <w:t>2021年度收、支总计均为191.53万元。与上年度相比，收、支总计各减少21.43万元，下降10.06%。主要原因是单位减少人员1人。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二、收入决算情况说明</w:t>
      </w:r>
    </w:p>
    <w:p>
      <w:pPr>
        <w:widowControl/>
        <w:spacing w:line="590" w:lineRule="exact"/>
        <w:ind w:firstLine="640" w:firstLineChars="200"/>
        <w:rPr>
          <w:rFonts w:ascii="黑体" w:hAnsi="黑体" w:eastAsia="黑体" w:cs="黑体"/>
          <w:color w:val="auto"/>
          <w:sz w:val="32"/>
          <w:szCs w:val="32"/>
        </w:rPr>
      </w:pPr>
      <w:r>
        <w:rPr>
          <w:rFonts w:hint="eastAsia" w:ascii="仿宋_GB2312" w:hAnsi="仿宋_GB2312" w:eastAsia="仿宋_GB2312" w:cs="仿宋_GB2312"/>
          <w:color w:val="auto"/>
          <w:sz w:val="32"/>
          <w:szCs w:val="32"/>
        </w:rPr>
        <w:t>2021年度收入合计160.65万元，其中：财政拨款收入160.65万元</w:t>
      </w:r>
      <w:bookmarkStart w:id="0" w:name="_Hlk127177310"/>
      <w:r>
        <w:rPr>
          <w:rFonts w:hint="eastAsia" w:ascii="仿宋_GB2312" w:hAnsi="仿宋_GB2312" w:eastAsia="仿宋_GB2312" w:cs="仿宋_GB2312"/>
          <w:color w:val="auto"/>
          <w:sz w:val="32"/>
          <w:szCs w:val="32"/>
        </w:rPr>
        <w:t>，占1</w:t>
      </w:r>
      <w:r>
        <w:rPr>
          <w:rFonts w:ascii="仿宋_GB2312" w:hAnsi="仿宋_GB2312" w:eastAsia="仿宋_GB2312" w:cs="仿宋_GB2312"/>
          <w:color w:val="auto"/>
          <w:sz w:val="32"/>
          <w:szCs w:val="32"/>
        </w:rPr>
        <w:t>00.00</w:t>
      </w:r>
      <w:r>
        <w:rPr>
          <w:rFonts w:hint="eastAsia" w:ascii="仿宋_GB2312" w:hAnsi="仿宋_GB2312" w:eastAsia="仿宋_GB2312" w:cs="仿宋_GB2312"/>
          <w:color w:val="auto"/>
          <w:sz w:val="32"/>
          <w:szCs w:val="32"/>
        </w:rPr>
        <w:t>%</w:t>
      </w:r>
      <w:bookmarkEnd w:id="0"/>
      <w:r>
        <w:rPr>
          <w:rFonts w:hint="eastAsia" w:ascii="仿宋_GB2312" w:hAnsi="仿宋_GB2312" w:eastAsia="仿宋_GB2312" w:cs="仿宋_GB2312"/>
          <w:color w:val="auto"/>
          <w:sz w:val="32"/>
          <w:szCs w:val="32"/>
        </w:rPr>
        <w:t>；上级补助收入0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w:t>
      </w:r>
      <w:bookmarkStart w:id="1" w:name="_Hlk127177329"/>
      <w:r>
        <w:rPr>
          <w:rFonts w:hint="eastAsia" w:ascii="仿宋_GB2312" w:hAnsi="仿宋_GB2312" w:eastAsia="仿宋_GB2312" w:cs="仿宋_GB2312"/>
          <w:color w:val="auto"/>
          <w:sz w:val="32"/>
          <w:szCs w:val="32"/>
        </w:rPr>
        <w:t>，占</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w:t>
      </w:r>
      <w:bookmarkEnd w:id="1"/>
      <w:r>
        <w:rPr>
          <w:rFonts w:hint="eastAsia" w:ascii="仿宋_GB2312" w:hAnsi="仿宋_GB2312" w:eastAsia="仿宋_GB2312" w:cs="仿宋_GB2312"/>
          <w:color w:val="auto"/>
          <w:sz w:val="32"/>
          <w:szCs w:val="32"/>
        </w:rPr>
        <w:t>；事业收入0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万元，占</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%；经营收入0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万元，占</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%；附属单位上缴收入0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万元，占</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%；其他收入0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万元，占</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三、支出决算情况说明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2021年度支出合计191.53万元，其中：基本支出191.53万元，占1</w:t>
      </w:r>
      <w:r>
        <w:rPr>
          <w:rFonts w:ascii="仿宋_GB2312" w:hAnsi="仿宋_GB2312" w:eastAsia="仿宋_GB2312" w:cs="仿宋_GB2312"/>
          <w:color w:val="auto"/>
          <w:sz w:val="32"/>
          <w:szCs w:val="32"/>
        </w:rPr>
        <w:t>00.00</w:t>
      </w:r>
      <w:r>
        <w:rPr>
          <w:rFonts w:hint="eastAsia" w:ascii="仿宋_GB2312" w:hAnsi="仿宋_GB2312" w:eastAsia="仿宋_GB2312" w:cs="仿宋_GB2312"/>
          <w:color w:val="auto"/>
          <w:sz w:val="32"/>
          <w:szCs w:val="32"/>
        </w:rPr>
        <w:t>%；项目支出0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万元，占</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%；上缴上级支出0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万元，占</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%；经营支出0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万元，占</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%；对附属单位补助支出0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万元，占</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四、财政拨款收入支出决算总体情况说明</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2021年度财政拨款收、支总计均为191.53万元。与上年度相比，财政拨款收、支总计各减少21.43万元，下降</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0.06%。主要原因是单位减少人员1人。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（一）总体情况。</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2021年度一般公共预算财政拨款支出191.53万元，占本年支出合计的1</w:t>
      </w:r>
      <w:r>
        <w:rPr>
          <w:rFonts w:ascii="仿宋_GB2312" w:hAnsi="仿宋_GB2312" w:eastAsia="仿宋_GB2312" w:cs="仿宋_GB2312"/>
          <w:color w:val="auto"/>
          <w:sz w:val="32"/>
          <w:szCs w:val="32"/>
        </w:rPr>
        <w:t>00.00</w:t>
      </w:r>
      <w:r>
        <w:rPr>
          <w:rFonts w:hint="eastAsia" w:ascii="仿宋_GB2312" w:hAnsi="仿宋_GB2312" w:eastAsia="仿宋_GB2312" w:cs="仿宋_GB2312"/>
          <w:color w:val="auto"/>
          <w:sz w:val="32"/>
          <w:szCs w:val="32"/>
        </w:rPr>
        <w:t>%。与上年度相比，一般公共预算财政拨款支出增加8.68万元，增加4.75%。主要原因是单位人员增资。</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（二）结构情况。</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2021年度一般公共预算财政拨款支出191.53万元，主要用于以下方面：一般公共服务</w:t>
      </w:r>
      <w:bookmarkStart w:id="2" w:name="_Hlk81389545"/>
      <w:r>
        <w:rPr>
          <w:rFonts w:hint="eastAsia" w:ascii="仿宋_GB2312" w:hAnsi="仿宋_GB2312" w:eastAsia="仿宋_GB2312" w:cs="仿宋_GB2312"/>
          <w:color w:val="auto"/>
          <w:sz w:val="32"/>
          <w:szCs w:val="32"/>
        </w:rPr>
        <w:t>（类）支出0.94万元，占0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49%；社会保障和就业（类）支出17.51万元，占9.14%；</w:t>
      </w:r>
      <w:bookmarkEnd w:id="2"/>
      <w:r>
        <w:rPr>
          <w:rFonts w:hint="eastAsia" w:ascii="仿宋_GB2312" w:hAnsi="仿宋_GB2312" w:eastAsia="仿宋_GB2312" w:cs="仿宋_GB2312"/>
          <w:color w:val="auto"/>
          <w:sz w:val="32"/>
          <w:szCs w:val="32"/>
        </w:rPr>
        <w:t>卫生健康（类）支出6.08万元，占3</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17%；交通运输（类）支出167.00万元，占87.19%。</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（三）具体情况。</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2021年度一般公共预算财政拨款支出年初预算为174.94万元，支出决算为191.53万元，完成年初预算的109.48%。其中：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1．一般公共服务支出（类）群众团体事务（款）工会事务（项）。</w:t>
      </w:r>
      <w:r>
        <w:rPr>
          <w:rFonts w:hint="eastAsia" w:ascii="仿宋_GB2312" w:hAnsi="仿宋_GB2312" w:eastAsia="仿宋_GB2312" w:cs="仿宋_GB2312"/>
          <w:color w:val="auto"/>
          <w:sz w:val="32"/>
          <w:szCs w:val="32"/>
        </w:rPr>
        <w:t>年初预算为0.94万元，支出决算为0.94万元，完成年初预算的1</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%。决算数与年初预算数没有存在差异。</w:t>
      </w:r>
    </w:p>
    <w:p>
      <w:pPr>
        <w:widowControl/>
        <w:spacing w:line="590" w:lineRule="exact"/>
        <w:ind w:firstLine="643" w:firstLineChars="200"/>
        <w:rPr>
          <w:rFonts w:ascii="仿宋_GB2312" w:hAnsi="仿宋_GB2312" w:eastAsia="仿宋_GB2312" w:cs="仿宋_GB2312"/>
          <w:color w:val="auto"/>
          <w:sz w:val="32"/>
          <w:szCs w:val="32"/>
        </w:rPr>
      </w:pPr>
      <w:bookmarkStart w:id="3" w:name="_Hlk50131092"/>
      <w:r>
        <w:rPr>
          <w:rFonts w:hint="eastAsia" w:ascii="仿宋_GB2312" w:hAnsi="仿宋_GB2312" w:eastAsia="仿宋_GB2312" w:cs="仿宋_GB2312"/>
          <w:b/>
          <w:bCs/>
          <w:color w:val="auto"/>
          <w:sz w:val="32"/>
          <w:szCs w:val="32"/>
        </w:rPr>
        <w:t>2．社会保障和就业支出（类）行政事业单位养老支出（款）事业单位离退休（项）。</w:t>
      </w:r>
      <w:r>
        <w:rPr>
          <w:rFonts w:hint="eastAsia" w:ascii="仿宋_GB2312" w:hAnsi="仿宋_GB2312" w:eastAsia="仿宋_GB2312" w:cs="仿宋_GB2312"/>
          <w:color w:val="auto"/>
          <w:sz w:val="32"/>
          <w:szCs w:val="32"/>
        </w:rPr>
        <w:t>年初预算为6.57万元，支出决算为6.57万元，完成年初预算的</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00%。</w:t>
      </w:r>
      <w:bookmarkEnd w:id="3"/>
      <w:r>
        <w:rPr>
          <w:rFonts w:hint="eastAsia" w:ascii="仿宋_GB2312" w:hAnsi="仿宋_GB2312" w:eastAsia="仿宋_GB2312" w:cs="仿宋_GB2312"/>
          <w:color w:val="auto"/>
          <w:sz w:val="32"/>
          <w:szCs w:val="32"/>
        </w:rPr>
        <w:t>决算数与年初预算数没有存在差异。</w:t>
      </w:r>
    </w:p>
    <w:p>
      <w:pPr>
        <w:widowControl/>
        <w:spacing w:line="590" w:lineRule="exact"/>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rPr>
        <w:t>．社会保障和就业支出（类）行政事业单位养老支出（款）机关事业单位基本养老保险缴费支出（项）。</w:t>
      </w:r>
      <w:r>
        <w:rPr>
          <w:rFonts w:hint="eastAsia" w:ascii="仿宋_GB2312" w:hAnsi="仿宋_GB2312" w:eastAsia="仿宋_GB2312" w:cs="仿宋_GB2312"/>
          <w:color w:val="auto"/>
          <w:sz w:val="32"/>
          <w:szCs w:val="32"/>
        </w:rPr>
        <w:t>年初预算为10.82万元，支出决算为</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0.94万元，完成年初预算的101.11%。决算数与年初预算数存在差异的主要原因是本年支出中包含的有上年结转资金。</w:t>
      </w:r>
    </w:p>
    <w:p>
      <w:pPr>
        <w:widowControl/>
        <w:spacing w:line="590" w:lineRule="exact"/>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4</w:t>
      </w:r>
      <w:r>
        <w:rPr>
          <w:rFonts w:hint="eastAsia" w:ascii="仿宋_GB2312" w:hAnsi="仿宋_GB2312" w:eastAsia="仿宋_GB2312" w:cs="仿宋_GB2312"/>
          <w:b/>
          <w:bCs/>
          <w:color w:val="auto"/>
          <w:sz w:val="32"/>
          <w:szCs w:val="32"/>
        </w:rPr>
        <w:t>．卫生健康支出（类）行政事业单位医疗（款）事业单位医疗（项）。</w:t>
      </w:r>
      <w:r>
        <w:rPr>
          <w:rFonts w:hint="eastAsia" w:ascii="仿宋_GB2312" w:hAnsi="仿宋_GB2312" w:eastAsia="仿宋_GB2312" w:cs="仿宋_GB2312"/>
          <w:color w:val="auto"/>
          <w:sz w:val="32"/>
          <w:szCs w:val="32"/>
        </w:rPr>
        <w:t>年初预算为</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47万元，支出决算为6.08万元，完成年初预算的111.15%。决算数与年初预算数存在差异的主要原因是</w:t>
      </w:r>
      <w:bookmarkStart w:id="4" w:name="_Hlk50290818"/>
      <w:r>
        <w:rPr>
          <w:rFonts w:hint="eastAsia" w:ascii="仿宋_GB2312" w:hAnsi="仿宋_GB2312" w:eastAsia="仿宋_GB2312" w:cs="仿宋_GB2312"/>
          <w:color w:val="auto"/>
          <w:sz w:val="32"/>
          <w:szCs w:val="32"/>
        </w:rPr>
        <w:t>本年支出中包含的有上年结转资金。</w:t>
      </w:r>
      <w:bookmarkEnd w:id="4"/>
    </w:p>
    <w:p>
      <w:pPr>
        <w:widowControl/>
        <w:spacing w:line="590" w:lineRule="exact"/>
        <w:ind w:firstLine="643" w:firstLineChars="200"/>
        <w:rPr>
          <w:rFonts w:ascii="仿宋_GB2312" w:hAnsi="仿宋_GB2312" w:eastAsia="仿宋_GB2312" w:cs="仿宋_GB2312"/>
          <w:color w:val="auto"/>
          <w:sz w:val="32"/>
          <w:szCs w:val="32"/>
        </w:rPr>
      </w:pPr>
      <w:bookmarkStart w:id="5" w:name="_Hlk50131679"/>
      <w:r>
        <w:rPr>
          <w:rFonts w:ascii="仿宋_GB2312" w:hAnsi="仿宋_GB2312" w:eastAsia="仿宋_GB2312" w:cs="仿宋_GB2312"/>
          <w:b/>
          <w:bCs/>
          <w:color w:val="auto"/>
          <w:sz w:val="32"/>
          <w:szCs w:val="32"/>
        </w:rPr>
        <w:t>5</w:t>
      </w:r>
      <w:r>
        <w:rPr>
          <w:rFonts w:hint="eastAsia" w:ascii="仿宋_GB2312" w:hAnsi="仿宋_GB2312" w:eastAsia="仿宋_GB2312" w:cs="仿宋_GB2312"/>
          <w:b/>
          <w:bCs/>
          <w:color w:val="auto"/>
          <w:sz w:val="32"/>
          <w:szCs w:val="32"/>
        </w:rPr>
        <w:t>．交通</w:t>
      </w:r>
      <w:bookmarkStart w:id="6" w:name="_Hlk50131581"/>
      <w:r>
        <w:rPr>
          <w:rFonts w:hint="eastAsia" w:ascii="仿宋_GB2312" w:hAnsi="仿宋_GB2312" w:eastAsia="仿宋_GB2312" w:cs="仿宋_GB2312"/>
          <w:b/>
          <w:bCs/>
          <w:color w:val="auto"/>
          <w:sz w:val="32"/>
          <w:szCs w:val="32"/>
        </w:rPr>
        <w:t>运输支出</w:t>
      </w:r>
      <w:bookmarkEnd w:id="6"/>
      <w:r>
        <w:rPr>
          <w:rFonts w:hint="eastAsia" w:ascii="仿宋_GB2312" w:hAnsi="仿宋_GB2312" w:eastAsia="仿宋_GB2312" w:cs="仿宋_GB2312"/>
          <w:b/>
          <w:bCs/>
          <w:color w:val="auto"/>
          <w:sz w:val="32"/>
          <w:szCs w:val="32"/>
        </w:rPr>
        <w:t>（类）</w:t>
      </w:r>
      <w:bookmarkStart w:id="7" w:name="_Hlk50131589"/>
      <w:r>
        <w:rPr>
          <w:rFonts w:hint="eastAsia" w:ascii="仿宋_GB2312" w:hAnsi="仿宋_GB2312" w:eastAsia="仿宋_GB2312" w:cs="仿宋_GB2312"/>
          <w:b/>
          <w:bCs/>
          <w:color w:val="auto"/>
          <w:sz w:val="32"/>
          <w:szCs w:val="32"/>
        </w:rPr>
        <w:t>公路水路</w:t>
      </w:r>
      <w:bookmarkEnd w:id="7"/>
      <w:r>
        <w:rPr>
          <w:rFonts w:hint="eastAsia" w:ascii="仿宋_GB2312" w:hAnsi="仿宋_GB2312" w:eastAsia="仿宋_GB2312" w:cs="仿宋_GB2312"/>
          <w:b/>
          <w:bCs/>
          <w:color w:val="auto"/>
          <w:sz w:val="32"/>
          <w:szCs w:val="32"/>
        </w:rPr>
        <w:t>运输（款）其他公路水路运输支出（项）。</w:t>
      </w:r>
      <w:r>
        <w:rPr>
          <w:rFonts w:hint="eastAsia" w:ascii="仿宋_GB2312" w:hAnsi="仿宋_GB2312" w:eastAsia="仿宋_GB2312" w:cs="仿宋_GB2312"/>
          <w:color w:val="auto"/>
          <w:sz w:val="32"/>
          <w:szCs w:val="32"/>
        </w:rPr>
        <w:t>年初预算为</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51.14万元，支出决算为</w:t>
      </w:r>
      <w:r>
        <w:rPr>
          <w:rFonts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rPr>
        <w:t>5.2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万元，完成年初预算的109.32%。决算数与年初预算数存在差异的主要原因是本年支出中包含的有上年结转资金。</w:t>
      </w:r>
    </w:p>
    <w:bookmarkEnd w:id="5"/>
    <w:p>
      <w:pPr>
        <w:widowControl/>
        <w:spacing w:line="590" w:lineRule="exact"/>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6</w:t>
      </w:r>
      <w:r>
        <w:rPr>
          <w:rFonts w:hint="eastAsia" w:ascii="仿宋_GB2312" w:hAnsi="仿宋_GB2312" w:eastAsia="仿宋_GB2312" w:cs="仿宋_GB2312"/>
          <w:b/>
          <w:bCs/>
          <w:color w:val="auto"/>
          <w:sz w:val="32"/>
          <w:szCs w:val="32"/>
        </w:rPr>
        <w:t>．交通运输支出（类）公路水路运输（款）行政运行（项）。</w:t>
      </w:r>
      <w:r>
        <w:rPr>
          <w:rFonts w:hint="eastAsia" w:ascii="仿宋_GB2312" w:hAnsi="仿宋_GB2312" w:eastAsia="仿宋_GB2312" w:cs="仿宋_GB2312"/>
          <w:color w:val="auto"/>
          <w:sz w:val="32"/>
          <w:szCs w:val="32"/>
        </w:rPr>
        <w:t>年初预算为</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万元，支出决算为1.77万元。决算数与年初预算数存在差异的主要原因是支出使用的上年结转资金。</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一般公共预算财政拨款基本支出191.53万元。其中：人员经费184.45万元，主要包括：基本工资、津贴补贴、奖金、绩效工资、机关事业单位基本养老保险缴费、职工基本医疗保险缴费、其他社会保障缴费、住房公积金、退休费；公用经费7</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0</w:t>
      </w: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t>万元，主要包括：办公费、印刷费、邮电费、差旅费、维修（护）费、培训费、工会经费、福利费、公务用车运行维护费。</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2021年度“三公”经费财政拨款支出预算为2</w:t>
      </w:r>
      <w:r>
        <w:rPr>
          <w:rFonts w:ascii="仿宋_GB2312" w:hAnsi="仿宋_GB2312" w:eastAsia="仿宋_GB2312" w:cs="仿宋_GB2312"/>
          <w:color w:val="auto"/>
          <w:sz w:val="32"/>
          <w:szCs w:val="32"/>
        </w:rPr>
        <w:t>.24</w:t>
      </w:r>
      <w:r>
        <w:rPr>
          <w:rFonts w:hint="eastAsia" w:ascii="仿宋_GB2312" w:hAnsi="仿宋_GB2312" w:eastAsia="仿宋_GB2312" w:cs="仿宋_GB2312"/>
          <w:color w:val="auto"/>
          <w:sz w:val="32"/>
          <w:szCs w:val="32"/>
        </w:rPr>
        <w:t>万元，支出决算为1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79万元</w:t>
      </w:r>
      <w:bookmarkStart w:id="8" w:name="_Hlk127192416"/>
      <w:r>
        <w:rPr>
          <w:rFonts w:hint="eastAsia" w:ascii="仿宋_GB2312" w:hAnsi="仿宋_GB2312" w:eastAsia="仿宋_GB2312" w:cs="仿宋_GB2312"/>
          <w:color w:val="auto"/>
          <w:sz w:val="32"/>
          <w:szCs w:val="32"/>
        </w:rPr>
        <w:t>，完成预算的79.91%</w:t>
      </w:r>
      <w:bookmarkEnd w:id="8"/>
      <w:r>
        <w:rPr>
          <w:rFonts w:hint="eastAsia" w:ascii="仿宋_GB2312" w:hAnsi="仿宋_GB2312" w:eastAsia="仿宋_GB2312" w:cs="仿宋_GB2312"/>
          <w:color w:val="auto"/>
          <w:sz w:val="32"/>
          <w:szCs w:val="32"/>
        </w:rPr>
        <w:t>。2021年度“三公”经费支出决算数与预算数存在差异的主要原因是公务接待费未支出和厉行节约，严格控制公务用车运行费。</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2021年度“三公”经费财政拨款支出决算中，因公出国（境）费支出决算0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万元；公务用车购置及运行费支出决算1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79万元，完成预算的</w:t>
      </w:r>
      <w:r>
        <w:rPr>
          <w:rFonts w:hint="eastAsia" w:ascii="仿宋_GB2312" w:hAnsi="仿宋_GB2312" w:eastAsia="仿宋_GB2312" w:cs="仿宋_GB2312"/>
          <w:color w:val="auto"/>
          <w:sz w:val="32"/>
          <w:szCs w:val="32"/>
          <w:lang w:val="en-US" w:eastAsia="zh-CN"/>
        </w:rPr>
        <w:t>89.50</w:t>
      </w:r>
      <w:r>
        <w:rPr>
          <w:rFonts w:hint="eastAsia" w:ascii="仿宋_GB2312" w:hAnsi="仿宋_GB2312" w:eastAsia="仿宋_GB2312" w:cs="仿宋_GB2312"/>
          <w:color w:val="auto"/>
          <w:sz w:val="32"/>
          <w:szCs w:val="32"/>
        </w:rPr>
        <w:t>%，占1</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%；公务接待费支出决算0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万元，占0.00%。具体情况如下：</w:t>
      </w:r>
    </w:p>
    <w:p>
      <w:pPr>
        <w:widowControl/>
        <w:numPr>
          <w:ilvl w:val="0"/>
          <w:numId w:val="2"/>
        </w:num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预算为0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万元，支出决算为0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万元。2021年度“三公”经费支出决算数与预算数不存在差异。全年因公出国（境）团组0个，累计0人次。</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2．公务用车购置及运行费</w:t>
      </w:r>
      <w:r>
        <w:rPr>
          <w:rFonts w:hint="eastAsia" w:ascii="仿宋_GB2312" w:hAnsi="仿宋_GB2312" w:eastAsia="仿宋_GB2312" w:cs="仿宋_GB2312"/>
          <w:color w:val="auto"/>
          <w:sz w:val="32"/>
          <w:szCs w:val="32"/>
        </w:rPr>
        <w:t>预算为2</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万元，支出决算为1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79万元，完成预算的89.5</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%。决算数与预算数存在差异的主要原因是厉行节约，严格控制公务用车运行费。其中：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公务用车购置支出为</w:t>
      </w:r>
      <w:r>
        <w:rPr>
          <w:rFonts w:hint="eastAsia" w:ascii="仿宋_GB2312" w:hAnsi="仿宋_GB2312" w:eastAsia="仿宋_GB2312" w:cs="仿宋_GB2312"/>
          <w:color w:val="auto"/>
          <w:sz w:val="32"/>
          <w:szCs w:val="32"/>
        </w:rPr>
        <w:t>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万元，购置车辆0辆。</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公务用车运行支出</w:t>
      </w: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79万元。主要用于车辆修理、加油和保险等。20</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1年期末，</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开支财政拨款的公务用车保有量为2辆。</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3.公务接待费</w:t>
      </w:r>
      <w:r>
        <w:rPr>
          <w:rFonts w:hint="eastAsia" w:ascii="仿宋_GB2312" w:hAnsi="仿宋_GB2312" w:eastAsia="仿宋_GB2312" w:cs="仿宋_GB2312"/>
          <w:color w:val="auto"/>
          <w:sz w:val="32"/>
          <w:szCs w:val="32"/>
        </w:rPr>
        <w:t>预算为0.24万元，支出决算为0.00万元，完成预算的</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%。决算数与预算数存在差异的主要原因是未发生公务接待费。其中：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外宾接待支出</w:t>
      </w:r>
      <w:r>
        <w:rPr>
          <w:rFonts w:hint="eastAsia" w:ascii="仿宋_GB2312" w:hAnsi="仿宋_GB2312" w:eastAsia="仿宋_GB2312" w:cs="仿宋_GB2312"/>
          <w:color w:val="auto"/>
          <w:sz w:val="32"/>
          <w:szCs w:val="32"/>
        </w:rPr>
        <w:t>0.00万元。2021年共接待国（境）外来访团组0个、来访外宾0人次（不包括陪同人员）。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其他国内公务接待支出</w:t>
      </w:r>
      <w:r>
        <w:rPr>
          <w:rFonts w:hint="eastAsia" w:ascii="仿宋_GB2312" w:hAnsi="仿宋_GB2312" w:eastAsia="仿宋_GB2312" w:cs="仿宋_GB2312"/>
          <w:color w:val="auto"/>
          <w:sz w:val="32"/>
          <w:szCs w:val="32"/>
        </w:rPr>
        <w:t>0.00万元。2021年共接待国内来访团组0个、来宾0人次（不包括陪同人员）。</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年度政府性基金预算财政拨款支出年初预算为0.00万元，支出决算为0.00万元。不存在项目年末结转和结余资金数额较大，情况说明：我</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十、政府采购支出情况说明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我单位共有车辆2辆，其中：省级领导干部用车0辆、主要领导干部用车0辆、机要通信用车0辆、应急保障车0辆、执法执勤用车0辆、特种专业技术用车0辆、离退休干部用车0辆、其他用车2辆；单位价值50万元以上通用设备0台（套），单位价值100万元以上专用设备0台（套）。</w:t>
      </w:r>
    </w:p>
    <w:p>
      <w:pPr>
        <w:widowControl/>
        <w:spacing w:line="59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（一）绩效管理工作开展情况。</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191.53万元，其中：基本支出191.53万元；支出项目0个，支出金额0.00万元。开展项目绩效自评项目0个，自评金额0.00万元；纳入重点绩效评价0个，评价金额0.00万元。</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2021年，我单位预算绩效管理工作在市财政</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指导下，进一步扩大预算绩效管理范围，认真开展预算绩效评价使绩效评价管理机制不断完善。加强了绩效评价管理与财政资金监管、财政监督检查工作的相互融合，绩效评价在预算分配、预算执行、结果应用的全过程管理机制不断完善。规范了工作程序，明确了分阶段工作任务，强化了预算绩效在预算编制、执行中的全过程管理。认真组织对2021年整体预算支出开展绩效自评，评价过程中，针对存在问题，立即进行整改。不断加强制度建设，明确绩效管理责任，充分发挥资金使用效益。</w:t>
      </w:r>
    </w:p>
    <w:p>
      <w:pPr>
        <w:widowControl/>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（二）单位整体和项目绩效自评结果。</w:t>
      </w:r>
    </w:p>
    <w:p>
      <w:pPr>
        <w:widowControl/>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按照《许昌市财政局关于开展2021年度市级预算绩效自评工作的通知》（许财效〔202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〕1号）等文件精神，我单位对本单位整体绩效目标和项目支出绩效目标进行了自评。一是整体绩效自评情况本着清晰明确</w:t>
      </w:r>
      <w:r>
        <w:rPr>
          <w:rFonts w:hint="eastAsia" w:ascii="仿宋_GB2312" w:hAnsi="仿宋_GB2312" w:eastAsia="仿宋_GB2312" w:cs="仿宋_GB2312"/>
          <w:color w:val="auto"/>
          <w:sz w:val="32"/>
          <w:szCs w:val="32"/>
          <w:shd w:val="clear" w:color="auto" w:fill="FFFFFF"/>
        </w:rPr>
        <w:t>可量化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可实现的原则，切实结合我单位工作实际，使单位整体绩效评价指标具有较强的针对性，充分体现出我单位的工作的性质、工作内容和特点。</w:t>
      </w:r>
      <w:r>
        <w:rPr>
          <w:rFonts w:hint="eastAsia" w:ascii="仿宋_GB2312" w:hAnsi="仿宋_GB2312" w:eastAsia="仿宋_GB2312" w:cs="仿宋_GB2312"/>
          <w:color w:val="auto"/>
          <w:sz w:val="32"/>
          <w:szCs w:val="32"/>
        </w:rPr>
        <w:t>二是项目绩效自评情况。我单位共有0个项目批复了绩效目标，项目金额0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w:t>
      </w:r>
    </w:p>
    <w:p>
      <w:pPr>
        <w:widowControl/>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于项目预期目标的实现程度，对2021年度项目支出绩效进行自评，绩效自评平均得分为0.00分。其中：0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（三）重点绩效评价结果。</w:t>
      </w:r>
    </w:p>
    <w:p>
      <w:pPr>
        <w:widowControl/>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2021年度我单位没有开展重点绩效评价的项目。</w:t>
      </w:r>
    </w:p>
    <w:p>
      <w:pPr>
        <w:widowControl/>
        <w:jc w:val="left"/>
        <w:rPr>
          <w:rFonts w:ascii="黑体" w:hAnsi="宋体" w:eastAsia="黑体" w:cs="宋体"/>
          <w:color w:val="auto"/>
          <w:kern w:val="0"/>
          <w:sz w:val="28"/>
          <w:szCs w:val="28"/>
        </w:rPr>
      </w:pPr>
    </w:p>
    <w:p>
      <w:pPr>
        <w:widowControl/>
        <w:spacing w:line="590" w:lineRule="exact"/>
        <w:ind w:firstLine="640" w:firstLineChars="200"/>
        <w:rPr>
          <w:rFonts w:ascii="仿宋_GB2312" w:hAnsi="仿宋_GB2312" w:eastAsia="仿宋_GB2312" w:cs="仿宋_GB2312"/>
          <w:color w:val="auto"/>
          <w:sz w:val="32"/>
          <w:szCs w:val="32"/>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第四部分  名词解释</w:t>
      </w:r>
    </w:p>
    <w:p>
      <w:pPr>
        <w:jc w:val="center"/>
        <w:rPr>
          <w:rFonts w:ascii="黑体" w:hAnsi="黑体" w:eastAsia="黑体" w:cs="黑体"/>
          <w:color w:val="auto"/>
          <w:sz w:val="48"/>
          <w:szCs w:val="48"/>
        </w:rPr>
      </w:pPr>
    </w:p>
    <w:p>
      <w:pPr>
        <w:jc w:val="center"/>
        <w:outlineLvl w:val="0"/>
        <w:rPr>
          <w:rFonts w:ascii="黑体" w:hAnsi="黑体" w:eastAsia="黑体" w:cs="黑体"/>
          <w:color w:val="auto"/>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ascii="仿宋_GB2312" w:hAnsi="仿宋_GB2312" w:eastAsia="仿宋_GB2312" w:cs="仿宋_GB2312"/>
          <w:color w:val="auto"/>
          <w:sz w:val="32"/>
          <w:szCs w:val="32"/>
        </w:rPr>
      </w:pPr>
    </w:p>
    <w:bookmarkEnd w:id="9"/>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2gQtsQBAACQAwAADgAAAAAAAAABACAAAAAe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FhSsQBAACQ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ycg1INweEhYu/WTUEWoqhoMqjKalypvw971kPfxI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dFhSsQBAACQAwAADgAAAAAAAAABACAAAAAe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3FC3A"/>
    <w:multiLevelType w:val="singleLevel"/>
    <w:tmpl w:val="C563FC3A"/>
    <w:lvl w:ilvl="0" w:tentative="0">
      <w:start w:val="1"/>
      <w:numFmt w:val="decimal"/>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007292"/>
    <w:rsid w:val="00031DA9"/>
    <w:rsid w:val="00046649"/>
    <w:rsid w:val="00071DB2"/>
    <w:rsid w:val="0009337D"/>
    <w:rsid w:val="0009675E"/>
    <w:rsid w:val="000B4E6C"/>
    <w:rsid w:val="000F42EE"/>
    <w:rsid w:val="001213E2"/>
    <w:rsid w:val="001254BF"/>
    <w:rsid w:val="00147362"/>
    <w:rsid w:val="00172A27"/>
    <w:rsid w:val="001738AA"/>
    <w:rsid w:val="00196514"/>
    <w:rsid w:val="001A19AD"/>
    <w:rsid w:val="001B6E43"/>
    <w:rsid w:val="001C18F3"/>
    <w:rsid w:val="001C6722"/>
    <w:rsid w:val="001D30B3"/>
    <w:rsid w:val="001F3340"/>
    <w:rsid w:val="002527B1"/>
    <w:rsid w:val="00257F95"/>
    <w:rsid w:val="00260A64"/>
    <w:rsid w:val="0027031C"/>
    <w:rsid w:val="0027690A"/>
    <w:rsid w:val="00286E6D"/>
    <w:rsid w:val="002C0D3F"/>
    <w:rsid w:val="002C5EB1"/>
    <w:rsid w:val="002D749F"/>
    <w:rsid w:val="00302789"/>
    <w:rsid w:val="003853E8"/>
    <w:rsid w:val="003B152A"/>
    <w:rsid w:val="003B63B4"/>
    <w:rsid w:val="003D65A2"/>
    <w:rsid w:val="003E402C"/>
    <w:rsid w:val="003E6C8E"/>
    <w:rsid w:val="00402DE8"/>
    <w:rsid w:val="004629B0"/>
    <w:rsid w:val="005202BD"/>
    <w:rsid w:val="00533092"/>
    <w:rsid w:val="00543AAF"/>
    <w:rsid w:val="00552185"/>
    <w:rsid w:val="00583EFF"/>
    <w:rsid w:val="00584FD0"/>
    <w:rsid w:val="005A1DE7"/>
    <w:rsid w:val="005B0D78"/>
    <w:rsid w:val="005C2BBE"/>
    <w:rsid w:val="005E1C3B"/>
    <w:rsid w:val="005F10E6"/>
    <w:rsid w:val="00611E40"/>
    <w:rsid w:val="00641F62"/>
    <w:rsid w:val="00645CDD"/>
    <w:rsid w:val="00651C5F"/>
    <w:rsid w:val="006628A3"/>
    <w:rsid w:val="00692C20"/>
    <w:rsid w:val="006B3A19"/>
    <w:rsid w:val="007212FD"/>
    <w:rsid w:val="00794520"/>
    <w:rsid w:val="007C7D0D"/>
    <w:rsid w:val="007D3156"/>
    <w:rsid w:val="007D67D6"/>
    <w:rsid w:val="007E3038"/>
    <w:rsid w:val="007E590E"/>
    <w:rsid w:val="008401E7"/>
    <w:rsid w:val="0084092A"/>
    <w:rsid w:val="00866C56"/>
    <w:rsid w:val="00873077"/>
    <w:rsid w:val="00884C8A"/>
    <w:rsid w:val="008877C4"/>
    <w:rsid w:val="008B649A"/>
    <w:rsid w:val="008B790F"/>
    <w:rsid w:val="008D601E"/>
    <w:rsid w:val="008E6497"/>
    <w:rsid w:val="008F1FAF"/>
    <w:rsid w:val="00975D7B"/>
    <w:rsid w:val="0097761C"/>
    <w:rsid w:val="009C5EB9"/>
    <w:rsid w:val="009D5035"/>
    <w:rsid w:val="009E01F2"/>
    <w:rsid w:val="009E7B24"/>
    <w:rsid w:val="009F28C0"/>
    <w:rsid w:val="009F6702"/>
    <w:rsid w:val="009F7907"/>
    <w:rsid w:val="00A157D1"/>
    <w:rsid w:val="00AA0B2D"/>
    <w:rsid w:val="00AB137F"/>
    <w:rsid w:val="00AB1A65"/>
    <w:rsid w:val="00AB6087"/>
    <w:rsid w:val="00AE7930"/>
    <w:rsid w:val="00AF3863"/>
    <w:rsid w:val="00B05A55"/>
    <w:rsid w:val="00B309C6"/>
    <w:rsid w:val="00B43410"/>
    <w:rsid w:val="00B5333D"/>
    <w:rsid w:val="00B62B55"/>
    <w:rsid w:val="00BD000D"/>
    <w:rsid w:val="00BD16AF"/>
    <w:rsid w:val="00BD218B"/>
    <w:rsid w:val="00C13299"/>
    <w:rsid w:val="00C22143"/>
    <w:rsid w:val="00C30EB3"/>
    <w:rsid w:val="00C40B8B"/>
    <w:rsid w:val="00C43ED5"/>
    <w:rsid w:val="00C621FC"/>
    <w:rsid w:val="00C92654"/>
    <w:rsid w:val="00CC58EC"/>
    <w:rsid w:val="00CD372C"/>
    <w:rsid w:val="00D36949"/>
    <w:rsid w:val="00D575A3"/>
    <w:rsid w:val="00D61F16"/>
    <w:rsid w:val="00D712B4"/>
    <w:rsid w:val="00D870F5"/>
    <w:rsid w:val="00DC62BB"/>
    <w:rsid w:val="00DC63C3"/>
    <w:rsid w:val="00DD25AE"/>
    <w:rsid w:val="00DF47DC"/>
    <w:rsid w:val="00E11CC3"/>
    <w:rsid w:val="00E11FCA"/>
    <w:rsid w:val="00E145AB"/>
    <w:rsid w:val="00E55DC1"/>
    <w:rsid w:val="00E65164"/>
    <w:rsid w:val="00E70D33"/>
    <w:rsid w:val="00E855C5"/>
    <w:rsid w:val="00E863BC"/>
    <w:rsid w:val="00EA3DED"/>
    <w:rsid w:val="00EB4A47"/>
    <w:rsid w:val="00EB5C90"/>
    <w:rsid w:val="00EE1D53"/>
    <w:rsid w:val="00F120CB"/>
    <w:rsid w:val="00F25E9E"/>
    <w:rsid w:val="00F543F4"/>
    <w:rsid w:val="00F8584C"/>
    <w:rsid w:val="00F90DD9"/>
    <w:rsid w:val="00F96EF8"/>
    <w:rsid w:val="00FC0D59"/>
    <w:rsid w:val="00FC6E33"/>
    <w:rsid w:val="00FE745D"/>
    <w:rsid w:val="02EB248C"/>
    <w:rsid w:val="02F5341A"/>
    <w:rsid w:val="032A3ADC"/>
    <w:rsid w:val="038D5743"/>
    <w:rsid w:val="03DD44B4"/>
    <w:rsid w:val="056722B4"/>
    <w:rsid w:val="064F62E4"/>
    <w:rsid w:val="07437D6B"/>
    <w:rsid w:val="095F7737"/>
    <w:rsid w:val="09A32BE1"/>
    <w:rsid w:val="0AD17E8E"/>
    <w:rsid w:val="0AE2744A"/>
    <w:rsid w:val="0F4B3F62"/>
    <w:rsid w:val="0F8E520F"/>
    <w:rsid w:val="11C7019B"/>
    <w:rsid w:val="11D41219"/>
    <w:rsid w:val="11ED5D93"/>
    <w:rsid w:val="12286671"/>
    <w:rsid w:val="125435CF"/>
    <w:rsid w:val="1256483D"/>
    <w:rsid w:val="12DC3AAD"/>
    <w:rsid w:val="17057F44"/>
    <w:rsid w:val="1A7B5675"/>
    <w:rsid w:val="1A836041"/>
    <w:rsid w:val="1B257B77"/>
    <w:rsid w:val="1C06142C"/>
    <w:rsid w:val="1C39277A"/>
    <w:rsid w:val="1D0A76D0"/>
    <w:rsid w:val="1D68375E"/>
    <w:rsid w:val="1F5F19BD"/>
    <w:rsid w:val="1FD92F94"/>
    <w:rsid w:val="215C1159"/>
    <w:rsid w:val="21996072"/>
    <w:rsid w:val="220215FD"/>
    <w:rsid w:val="22BC2ADC"/>
    <w:rsid w:val="23762126"/>
    <w:rsid w:val="25700F8A"/>
    <w:rsid w:val="271D5FD8"/>
    <w:rsid w:val="28435A2B"/>
    <w:rsid w:val="28730004"/>
    <w:rsid w:val="28756E5B"/>
    <w:rsid w:val="2B7E6F24"/>
    <w:rsid w:val="2B8F48CA"/>
    <w:rsid w:val="2B9A7015"/>
    <w:rsid w:val="2E4D7D75"/>
    <w:rsid w:val="2F09571F"/>
    <w:rsid w:val="347D6A46"/>
    <w:rsid w:val="349D0915"/>
    <w:rsid w:val="35397591"/>
    <w:rsid w:val="35CA725B"/>
    <w:rsid w:val="363D45EE"/>
    <w:rsid w:val="37D173D7"/>
    <w:rsid w:val="38EC7C76"/>
    <w:rsid w:val="3A3A4487"/>
    <w:rsid w:val="3D850BDB"/>
    <w:rsid w:val="3DAD7269"/>
    <w:rsid w:val="40D11BAF"/>
    <w:rsid w:val="41744A5E"/>
    <w:rsid w:val="42A6618E"/>
    <w:rsid w:val="43F6712D"/>
    <w:rsid w:val="457C6F42"/>
    <w:rsid w:val="46912A76"/>
    <w:rsid w:val="489C56E7"/>
    <w:rsid w:val="49E77188"/>
    <w:rsid w:val="4AE81F8D"/>
    <w:rsid w:val="4B025E11"/>
    <w:rsid w:val="4C1A6730"/>
    <w:rsid w:val="4CAC66E1"/>
    <w:rsid w:val="4CB441E9"/>
    <w:rsid w:val="4D09493E"/>
    <w:rsid w:val="4D323E00"/>
    <w:rsid w:val="4D8A2861"/>
    <w:rsid w:val="4EB33338"/>
    <w:rsid w:val="4FF21026"/>
    <w:rsid w:val="4FFE6835"/>
    <w:rsid w:val="53A959CE"/>
    <w:rsid w:val="53AE358D"/>
    <w:rsid w:val="53C3175C"/>
    <w:rsid w:val="53FD2A7A"/>
    <w:rsid w:val="54CA04D9"/>
    <w:rsid w:val="56305D7C"/>
    <w:rsid w:val="578B59EB"/>
    <w:rsid w:val="5B7C79DA"/>
    <w:rsid w:val="5BC5523F"/>
    <w:rsid w:val="5BF60D08"/>
    <w:rsid w:val="5CBC08B4"/>
    <w:rsid w:val="5E084D23"/>
    <w:rsid w:val="60E3477B"/>
    <w:rsid w:val="60FD14AB"/>
    <w:rsid w:val="612851DC"/>
    <w:rsid w:val="623F58E2"/>
    <w:rsid w:val="62E11A6C"/>
    <w:rsid w:val="63612641"/>
    <w:rsid w:val="661B43F7"/>
    <w:rsid w:val="6A190140"/>
    <w:rsid w:val="6ED30A1D"/>
    <w:rsid w:val="70A408DB"/>
    <w:rsid w:val="711B3D71"/>
    <w:rsid w:val="72EE22E1"/>
    <w:rsid w:val="72F87AB6"/>
    <w:rsid w:val="736630A6"/>
    <w:rsid w:val="73E060CE"/>
    <w:rsid w:val="746A7856"/>
    <w:rsid w:val="75254D3E"/>
    <w:rsid w:val="76390CB1"/>
    <w:rsid w:val="7682612E"/>
    <w:rsid w:val="77FC4D9E"/>
    <w:rsid w:val="7BA2680E"/>
    <w:rsid w:val="7F0C32D2"/>
    <w:rsid w:val="FBED7B19"/>
    <w:rsid w:val="FDFF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character" w:styleId="12">
    <w:name w:val="footnote reference"/>
    <w:qFormat/>
    <w:uiPriority w:val="0"/>
    <w:rPr>
      <w:vertAlign w:val="superscript"/>
    </w:rPr>
  </w:style>
  <w:style w:type="character" w:customStyle="1" w:styleId="13">
    <w:name w:val="批注框文本 字符"/>
    <w:link w:val="4"/>
    <w:qFormat/>
    <w:uiPriority w:val="0"/>
    <w:rPr>
      <w:kern w:val="2"/>
      <w:sz w:val="18"/>
      <w:szCs w:val="18"/>
    </w:rPr>
  </w:style>
  <w:style w:type="character" w:customStyle="1" w:styleId="14">
    <w:name w:val="页脚 字符"/>
    <w:link w:val="5"/>
    <w:qFormat/>
    <w:uiPriority w:val="0"/>
    <w:rPr>
      <w:kern w:val="2"/>
      <w:sz w:val="18"/>
      <w:szCs w:val="18"/>
    </w:rPr>
  </w:style>
  <w:style w:type="character" w:customStyle="1" w:styleId="15">
    <w:name w:val="页眉 字符"/>
    <w:link w:val="6"/>
    <w:qFormat/>
    <w:uiPriority w:val="0"/>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4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21"/>
    <w:qFormat/>
    <w:uiPriority w:val="0"/>
    <w:rPr>
      <w:rFonts w:hint="eastAsia" w:ascii="宋体" w:hAnsi="宋体" w:eastAsia="宋体" w:cs="宋体"/>
      <w:color w:val="000000"/>
      <w:sz w:val="22"/>
      <w:szCs w:val="22"/>
      <w:u w:val="none"/>
    </w:rPr>
  </w:style>
  <w:style w:type="paragraph" w:customStyle="1" w:styleId="21">
    <w:name w:val="标题1"/>
    <w:basedOn w:val="2"/>
    <w:qFormat/>
    <w:uiPriority w:val="0"/>
    <w:pPr>
      <w:spacing w:before="0" w:after="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33</Pages>
  <Words>7963</Words>
  <Characters>9731</Characters>
  <Lines>83</Lines>
  <Paragraphs>23</Paragraphs>
  <TotalTime>30</TotalTime>
  <ScaleCrop>false</ScaleCrop>
  <LinksUpToDate>false</LinksUpToDate>
  <CharactersWithSpaces>10005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2018-07-25T02:50:00Z</cp:lastPrinted>
  <dcterms:modified xsi:type="dcterms:W3CDTF">2023-09-17T11:08:26Z</dcterms:modified>
  <dc:title>2020年度</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71E27D5808494E888575C6DF79378DC4</vt:lpwstr>
  </property>
</Properties>
</file>