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color w:val="auto"/>
          <w:kern w:val="0"/>
          <w:sz w:val="28"/>
          <w:szCs w:val="28"/>
          <w:highlight w:val="none"/>
        </w:rPr>
      </w:pPr>
      <w:bookmarkStart w:id="0" w:name="_GoBack"/>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rPr>
          <w:rFonts w:hint="eastAsia" w:ascii="黑体" w:hAnsi="黑体" w:eastAsia="黑体" w:cs="黑体"/>
          <w:color w:val="auto"/>
          <w:sz w:val="48"/>
          <w:szCs w:val="48"/>
          <w:highlight w:val="none"/>
          <w:lang w:eastAsia="zh-CN"/>
        </w:rPr>
      </w:pPr>
      <w:r>
        <w:rPr>
          <w:rFonts w:hint="eastAsia" w:ascii="黑体" w:hAnsi="黑体" w:eastAsia="黑体" w:cs="黑体"/>
          <w:color w:val="auto"/>
          <w:sz w:val="48"/>
          <w:szCs w:val="48"/>
          <w:highlight w:val="none"/>
        </w:rPr>
        <w:t>20</w:t>
      </w:r>
      <w:r>
        <w:rPr>
          <w:rFonts w:ascii="黑体" w:hAnsi="黑体" w:eastAsia="黑体" w:cs="黑体"/>
          <w:color w:val="auto"/>
          <w:sz w:val="48"/>
          <w:szCs w:val="48"/>
          <w:highlight w:val="none"/>
        </w:rPr>
        <w:t>21</w:t>
      </w:r>
      <w:r>
        <w:rPr>
          <w:rFonts w:hint="eastAsia" w:ascii="黑体" w:hAnsi="黑体" w:eastAsia="黑体" w:cs="黑体"/>
          <w:color w:val="auto"/>
          <w:sz w:val="48"/>
          <w:szCs w:val="48"/>
          <w:highlight w:val="none"/>
        </w:rPr>
        <w:t>年度</w:t>
      </w:r>
      <w:r>
        <w:rPr>
          <w:rFonts w:hint="eastAsia" w:ascii="黑体" w:hAnsi="黑体" w:eastAsia="黑体" w:cs="黑体"/>
          <w:color w:val="auto"/>
          <w:sz w:val="48"/>
          <w:szCs w:val="48"/>
          <w:highlight w:val="none"/>
          <w:lang w:eastAsia="zh-CN"/>
        </w:rPr>
        <w:t>许昌市交运投资有限责任公司</w:t>
      </w:r>
    </w:p>
    <w:p>
      <w:pPr>
        <w:jc w:val="center"/>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lang w:eastAsia="zh-CN"/>
        </w:rPr>
        <w:t>单位</w:t>
      </w:r>
      <w:r>
        <w:rPr>
          <w:rFonts w:hint="eastAsia" w:ascii="黑体" w:hAnsi="黑体" w:eastAsia="黑体" w:cs="黑体"/>
          <w:color w:val="auto"/>
          <w:sz w:val="48"/>
          <w:szCs w:val="48"/>
          <w:highlight w:val="none"/>
        </w:rPr>
        <w:t>决算</w:t>
      </w:r>
    </w:p>
    <w:p>
      <w:pPr>
        <w:jc w:val="center"/>
        <w:rPr>
          <w:rFonts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rPr>
        <w:sectPr>
          <w:pgSz w:w="11906" w:h="16838"/>
          <w:pgMar w:top="1440" w:right="1531" w:bottom="1440" w:left="1587" w:header="850" w:footer="992" w:gutter="0"/>
          <w:pgBorders>
            <w:top w:val="none" w:sz="0" w:space="0"/>
            <w:left w:val="none" w:sz="0" w:space="0"/>
            <w:bottom w:val="none" w:sz="0" w:space="0"/>
            <w:right w:val="none" w:sz="0" w:space="0"/>
          </w:pgBorders>
          <w:pgNumType w:fmt="numberInDash"/>
          <w:cols w:space="720" w:num="1"/>
          <w:docGrid w:type="lines" w:linePitch="317" w:charSpace="0"/>
        </w:sectPr>
      </w:pPr>
      <w:r>
        <w:rPr>
          <w:rFonts w:hint="eastAsia" w:ascii="黑体" w:hAnsi="黑体" w:eastAsia="黑体" w:cs="黑体"/>
          <w:color w:val="auto"/>
          <w:sz w:val="32"/>
          <w:szCs w:val="32"/>
          <w:highlight w:val="none"/>
        </w:rPr>
        <w:t>二〇二二年</w:t>
      </w:r>
      <w:r>
        <w:rPr>
          <w:rFonts w:hint="eastAsia" w:ascii="黑体" w:hAnsi="黑体" w:eastAsia="黑体" w:cs="黑体"/>
          <w:color w:val="auto"/>
          <w:sz w:val="32"/>
          <w:szCs w:val="32"/>
          <w:highlight w:val="none"/>
          <w:lang w:eastAsia="zh-CN"/>
        </w:rPr>
        <w:t>九</w:t>
      </w:r>
      <w:r>
        <w:rPr>
          <w:rFonts w:hint="eastAsia" w:ascii="黑体" w:hAnsi="黑体" w:eastAsia="黑体" w:cs="黑体"/>
          <w:color w:val="auto"/>
          <w:sz w:val="32"/>
          <w:szCs w:val="32"/>
          <w:highlight w:val="none"/>
        </w:rPr>
        <w:t>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w:t>
      </w:r>
      <w:r>
        <w:rPr>
          <w:rFonts w:hint="eastAsia" w:ascii="黑体" w:hAnsi="黑体" w:eastAsia="黑体" w:cs="黑体"/>
          <w:color w:val="auto"/>
          <w:sz w:val="32"/>
          <w:szCs w:val="32"/>
          <w:highlight w:val="none"/>
          <w:lang w:eastAsia="zh-CN"/>
        </w:rPr>
        <w:t>许昌市交运投资有限责任公司</w:t>
      </w:r>
      <w:r>
        <w:rPr>
          <w:rFonts w:hint="eastAsia" w:ascii="黑体" w:hAnsi="黑体" w:eastAsia="黑体" w:cs="黑体"/>
          <w:color w:val="auto"/>
          <w:sz w:val="32"/>
          <w:szCs w:val="32"/>
          <w:highlight w:val="none"/>
        </w:rPr>
        <w:t>概况</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lang w:eastAsia="zh-CN"/>
        </w:rPr>
        <w:t>单位</w:t>
      </w:r>
      <w:r>
        <w:rPr>
          <w:rFonts w:hint="eastAsia" w:ascii="宋体" w:hAnsi="宋体" w:cs="宋体"/>
          <w:color w:val="auto"/>
          <w:sz w:val="32"/>
          <w:szCs w:val="32"/>
          <w:highlight w:val="none"/>
        </w:rPr>
        <w:t>职责</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第二部分  2021年度</w:t>
      </w:r>
      <w:r>
        <w:rPr>
          <w:rFonts w:hint="eastAsia" w:ascii="黑体" w:hAnsi="黑体" w:eastAsia="黑体" w:cs="黑体"/>
          <w:color w:val="auto"/>
          <w:sz w:val="32"/>
          <w:szCs w:val="32"/>
          <w:highlight w:val="none"/>
          <w:lang w:eastAsia="zh-CN"/>
        </w:rPr>
        <w:t>单位</w:t>
      </w:r>
      <w:r>
        <w:rPr>
          <w:rFonts w:hint="eastAsia" w:ascii="黑体" w:hAnsi="黑体" w:eastAsia="黑体" w:cs="黑体"/>
          <w:color w:val="auto"/>
          <w:sz w:val="32"/>
          <w:szCs w:val="32"/>
          <w:highlight w:val="none"/>
        </w:rPr>
        <w:t>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一、收入支出决算总表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二、收入决算表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三、支出决算表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四、财政拨款收入支出决算总表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五、一般公共预算财政拨款支出决算表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六、一般公共预算财政拨款基本支出决算明细表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七、一般公共预算财政拨款“三公”经费支出决算表</w:t>
      </w:r>
    </w:p>
    <w:p>
      <w:pPr>
        <w:ind w:firstLine="640" w:firstLineChars="200"/>
        <w:jc w:val="left"/>
        <w:rPr>
          <w:rFonts w:hint="eastAsia" w:ascii="宋体" w:hAnsi="宋体" w:cs="黑体"/>
          <w:color w:val="auto"/>
          <w:sz w:val="32"/>
          <w:szCs w:val="32"/>
          <w:highlight w:val="none"/>
        </w:rPr>
      </w:pPr>
      <w:r>
        <w:rPr>
          <w:rFonts w:hint="eastAsia" w:ascii="宋体" w:hAnsi="宋体" w:cs="黑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第三部分　</w:t>
      </w:r>
      <w:r>
        <w:rPr>
          <w:rFonts w:ascii="黑体" w:hAnsi="黑体" w:eastAsia="黑体" w:cs="黑体"/>
          <w:color w:val="auto"/>
          <w:sz w:val="32"/>
          <w:szCs w:val="32"/>
          <w:highlight w:val="none"/>
        </w:rPr>
        <w:t>2021</w:t>
      </w:r>
      <w:r>
        <w:rPr>
          <w:rFonts w:hint="eastAsia" w:ascii="黑体" w:hAnsi="黑体" w:eastAsia="黑体" w:cs="黑体"/>
          <w:color w:val="auto"/>
          <w:sz w:val="32"/>
          <w:szCs w:val="32"/>
          <w:highlight w:val="none"/>
        </w:rPr>
        <w:t>年度</w:t>
      </w:r>
      <w:r>
        <w:rPr>
          <w:rFonts w:hint="eastAsia" w:ascii="黑体" w:hAnsi="黑体" w:eastAsia="黑体" w:cs="黑体"/>
          <w:color w:val="auto"/>
          <w:sz w:val="32"/>
          <w:szCs w:val="32"/>
          <w:highlight w:val="none"/>
          <w:lang w:eastAsia="zh-CN"/>
        </w:rPr>
        <w:t>单位</w:t>
      </w:r>
      <w:r>
        <w:rPr>
          <w:rFonts w:hint="eastAsia" w:ascii="黑体" w:hAnsi="黑体" w:eastAsia="黑体" w:cs="黑体"/>
          <w:color w:val="auto"/>
          <w:sz w:val="32"/>
          <w:szCs w:val="32"/>
          <w:highlight w:val="none"/>
        </w:rPr>
        <w:t>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一、收入支出决算总体情况说明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二、收入决算情况说明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三、支出决算情况说明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四、财政拨款收入支出决算总体情况说明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五、一般公共预算财政拨款支出决算情况说明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六、一般公共预算财政拨款基本支出决算情况说明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七、一般公共预算财政拨款“三公”经费支出决算情况说明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八、政府性基金预算财政拨款支出决算情况说明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九、机关运行经费支出情况说明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十、政府采购支出情况说明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十一、国有资产占用情况说明</w:t>
      </w:r>
    </w:p>
    <w:p>
      <w:pPr>
        <w:ind w:firstLine="640" w:firstLineChars="200"/>
        <w:jc w:val="left"/>
        <w:rPr>
          <w:rFonts w:hint="eastAsia" w:ascii="宋体" w:hAnsi="宋体" w:cs="宋体"/>
          <w:color w:val="auto"/>
          <w:sz w:val="32"/>
          <w:szCs w:val="32"/>
          <w:highlight w:val="none"/>
        </w:rPr>
      </w:pPr>
      <w:r>
        <w:rPr>
          <w:rFonts w:hint="eastAsia" w:ascii="宋体" w:hAnsi="宋体" w:cs="宋体"/>
          <w:color w:val="auto"/>
          <w:sz w:val="32"/>
          <w:szCs w:val="32"/>
          <w:highlight w:val="none"/>
        </w:rPr>
        <w:t>十二、预算绩效情况说明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第四部分　　名词解释</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both"/>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numPr>
          <w:ilvl w:val="0"/>
          <w:numId w:val="2"/>
        </w:numPr>
        <w:jc w:val="center"/>
        <w:outlineLvl w:val="0"/>
        <w:rPr>
          <w:rFonts w:hint="eastAsia" w:ascii="黑体" w:hAnsi="黑体" w:eastAsia="黑体" w:cs="黑体"/>
          <w:color w:val="auto"/>
          <w:sz w:val="48"/>
          <w:szCs w:val="48"/>
          <w:highlight w:val="none"/>
          <w:lang w:eastAsia="zh-CN"/>
        </w:rPr>
      </w:pPr>
      <w:r>
        <w:rPr>
          <w:rFonts w:hint="eastAsia" w:ascii="黑体" w:hAnsi="黑体" w:eastAsia="黑体" w:cs="黑体"/>
          <w:color w:val="auto"/>
          <w:sz w:val="48"/>
          <w:szCs w:val="48"/>
          <w:highlight w:val="none"/>
          <w:lang w:eastAsia="zh-CN"/>
        </w:rPr>
        <w:t>许昌市交运投资有限责任</w:t>
      </w:r>
    </w:p>
    <w:p>
      <w:pPr>
        <w:widowControl/>
        <w:jc w:val="center"/>
        <w:outlineLvl w:val="0"/>
        <w:rPr>
          <w:rFonts w:hint="eastAsia" w:ascii="黑体" w:hAnsi="宋体" w:eastAsia="黑体" w:cs="宋体"/>
          <w:color w:val="auto"/>
          <w:kern w:val="0"/>
          <w:sz w:val="48"/>
          <w:szCs w:val="48"/>
          <w:highlight w:val="none"/>
        </w:rPr>
      </w:pPr>
      <w:r>
        <w:rPr>
          <w:rFonts w:hint="eastAsia" w:ascii="黑体" w:hAnsi="黑体" w:eastAsia="黑体" w:cs="黑体"/>
          <w:color w:val="auto"/>
          <w:sz w:val="48"/>
          <w:szCs w:val="48"/>
          <w:highlight w:val="none"/>
          <w:lang w:eastAsia="zh-CN"/>
        </w:rPr>
        <w:t>公司</w:t>
      </w:r>
      <w:r>
        <w:rPr>
          <w:rFonts w:hint="eastAsia" w:ascii="黑体" w:hAnsi="黑体" w:eastAsia="黑体" w:cs="黑体"/>
          <w:color w:val="auto"/>
          <w:sz w:val="48"/>
          <w:szCs w:val="48"/>
          <w:highlight w:val="none"/>
        </w:rPr>
        <w:t>概况</w:t>
      </w: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一、</w:t>
      </w:r>
      <w:r>
        <w:rPr>
          <w:rFonts w:hint="eastAsia" w:ascii="黑体" w:hAnsi="黑体" w:eastAsia="黑体" w:cs="黑体"/>
          <w:color w:val="auto"/>
          <w:kern w:val="0"/>
          <w:sz w:val="32"/>
          <w:szCs w:val="32"/>
          <w:highlight w:val="none"/>
          <w:lang w:eastAsia="zh-CN"/>
        </w:rPr>
        <w:t>单位</w:t>
      </w:r>
      <w:r>
        <w:rPr>
          <w:rFonts w:hint="eastAsia" w:ascii="黑体" w:hAnsi="黑体" w:eastAsia="黑体" w:cs="黑体"/>
          <w:bCs/>
          <w:color w:val="auto"/>
          <w:sz w:val="32"/>
          <w:szCs w:val="32"/>
          <w:highlight w:val="none"/>
        </w:rPr>
        <w:t>职责</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许昌市交运投资有限责任公司是隶属于许昌市交通运输局的全额预算拨款事业单位，主要职责是：履行政府出资人职能，统一负责市交通项目的投资、融资、参股，并参与建设、管理；代表市政府持有和经营管理由市政府投资形成的股权及其周边相关国有资产；负责我市辖区内道路运输基础设施及场站周边配套设施建设及运营管理，以及相关地产、房产的开发经营，相关广告等业务；负责管理其他因交通场站建设而形成的并属于市政府的国有资产等。</w:t>
      </w:r>
    </w:p>
    <w:p>
      <w:pPr>
        <w:widowControl/>
        <w:ind w:firstLine="640" w:firstLineChars="200"/>
        <w:jc w:val="left"/>
        <w:outlineLvl w:val="1"/>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二、机构设置</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rPr>
        <w:t>许昌市交运投资有限责任公司内设三个职能科室，</w:t>
      </w:r>
      <w:r>
        <w:rPr>
          <w:rFonts w:hint="eastAsia" w:ascii="仿宋_GB2312" w:hAnsi="仿宋_GB2312" w:eastAsia="仿宋_GB2312" w:cs="仿宋_GB2312"/>
          <w:color w:val="auto"/>
          <w:kern w:val="0"/>
          <w:sz w:val="32"/>
          <w:szCs w:val="32"/>
          <w:highlight w:val="none"/>
          <w:lang w:val="en-US" w:eastAsia="zh-CN"/>
        </w:rPr>
        <w:t>包括：</w:t>
      </w:r>
      <w:r>
        <w:rPr>
          <w:rFonts w:hint="eastAsia" w:ascii="仿宋_GB2312" w:hAnsi="仿宋_GB2312" w:eastAsia="仿宋_GB2312" w:cs="仿宋_GB2312"/>
          <w:color w:val="auto"/>
          <w:kern w:val="0"/>
          <w:sz w:val="32"/>
          <w:szCs w:val="32"/>
          <w:highlight w:val="none"/>
        </w:rPr>
        <w:t>综合办公室，财务融资部，工程管理部。</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从决算单位构成看，</w:t>
      </w:r>
      <w:r>
        <w:rPr>
          <w:rFonts w:hint="eastAsia" w:ascii="仿宋_GB2312" w:hAnsi="仿宋_GB2312" w:eastAsia="仿宋_GB2312" w:cs="仿宋_GB2312"/>
          <w:color w:val="auto"/>
          <w:kern w:val="0"/>
          <w:sz w:val="32"/>
          <w:szCs w:val="32"/>
          <w:highlight w:val="none"/>
        </w:rPr>
        <w:t>许昌市交运投资有限责任公司</w:t>
      </w:r>
      <w:r>
        <w:rPr>
          <w:rFonts w:hint="eastAsia" w:ascii="仿宋_GB2312" w:hAnsi="仿宋_GB2312" w:eastAsia="仿宋_GB2312" w:cs="仿宋_GB2312"/>
          <w:color w:val="auto"/>
          <w:kern w:val="0"/>
          <w:sz w:val="32"/>
          <w:szCs w:val="32"/>
          <w:highlight w:val="none"/>
          <w:lang w:val="en-US" w:eastAsia="zh-CN"/>
        </w:rPr>
        <w:t>单位决算包括：本级决算（1个）。</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纳入本单位2021年度单位决算编制范围的单位共1个，具体是：</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1.许昌市交运投资有限责任公司</w:t>
      </w:r>
    </w:p>
    <w:p>
      <w:pPr>
        <w:widowControl/>
        <w:ind w:firstLine="640" w:firstLineChars="200"/>
        <w:jc w:val="left"/>
        <w:rPr>
          <w:rFonts w:hint="eastAsia" w:ascii="仿宋_GB2312" w:hAnsi="仿宋_GB2312" w:eastAsia="仿宋_GB2312" w:cs="仿宋_GB2312"/>
          <w:color w:val="auto"/>
          <w:kern w:val="0"/>
          <w:sz w:val="32"/>
          <w:szCs w:val="32"/>
          <w:highlight w:val="none"/>
        </w:rPr>
      </w:pPr>
    </w:p>
    <w:p>
      <w:pPr>
        <w:widowControl/>
        <w:ind w:firstLine="640" w:firstLineChars="200"/>
        <w:jc w:val="left"/>
        <w:rPr>
          <w:rFonts w:hint="eastAsia" w:ascii="仿宋_GB2312" w:hAnsi="仿宋_GB2312" w:eastAsia="仿宋_GB2312" w:cs="仿宋_GB2312"/>
          <w:color w:val="auto"/>
          <w:kern w:val="0"/>
          <w:sz w:val="32"/>
          <w:szCs w:val="32"/>
          <w:highlight w:val="none"/>
        </w:rPr>
      </w:pPr>
    </w:p>
    <w:p>
      <w:pPr>
        <w:widowControl/>
        <w:jc w:val="left"/>
        <w:rPr>
          <w:rFonts w:hint="eastAsia" w:ascii="黑体" w:hAnsi="宋体" w:eastAsia="黑体" w:cs="宋体"/>
          <w:color w:val="auto"/>
          <w:kern w:val="0"/>
          <w:sz w:val="28"/>
          <w:szCs w:val="28"/>
          <w:highlight w:val="none"/>
        </w:rPr>
        <w:sectPr>
          <w:footerReference r:id="rId3" w:type="default"/>
          <w:footerReference r:id="rId4" w:type="even"/>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第二部分  2021年度</w:t>
      </w:r>
      <w:r>
        <w:rPr>
          <w:rFonts w:hint="eastAsia" w:ascii="黑体" w:hAnsi="黑体" w:eastAsia="黑体" w:cs="黑体"/>
          <w:color w:val="auto"/>
          <w:sz w:val="48"/>
          <w:szCs w:val="48"/>
          <w:highlight w:val="none"/>
          <w:lang w:eastAsia="zh-CN"/>
        </w:rPr>
        <w:t>单位</w:t>
      </w:r>
      <w:r>
        <w:rPr>
          <w:rFonts w:hint="eastAsia" w:ascii="黑体" w:hAnsi="黑体" w:eastAsia="黑体" w:cs="黑体"/>
          <w:color w:val="auto"/>
          <w:sz w:val="48"/>
          <w:szCs w:val="48"/>
          <w:highlight w:val="none"/>
        </w:rPr>
        <w:t>决算表</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sectPr>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5"/>
        <w:tblW w:w="138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64"/>
        <w:gridCol w:w="798"/>
        <w:gridCol w:w="1347"/>
        <w:gridCol w:w="4295"/>
        <w:gridCol w:w="798"/>
        <w:gridCol w:w="19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3800" w:type="dxa"/>
            <w:gridSpan w:val="6"/>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564" w:type="dxa"/>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220" w:lineRule="exact"/>
              <w:rPr>
                <w:rFonts w:hint="eastAsia" w:ascii="Arial" w:hAnsi="Arial" w:cs="Arial"/>
                <w:i w:val="0"/>
                <w:iCs w:val="0"/>
                <w:color w:val="auto"/>
                <w:sz w:val="18"/>
                <w:szCs w:val="18"/>
                <w:highlight w:val="none"/>
                <w:u w:val="none"/>
              </w:rPr>
            </w:pPr>
          </w:p>
        </w:tc>
        <w:tc>
          <w:tcPr>
            <w:tcW w:w="798" w:type="dxa"/>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220" w:lineRule="exact"/>
              <w:rPr>
                <w:rFonts w:hint="default" w:ascii="Arial" w:hAnsi="Arial" w:cs="Arial"/>
                <w:i w:val="0"/>
                <w:iCs w:val="0"/>
                <w:color w:val="auto"/>
                <w:sz w:val="18"/>
                <w:szCs w:val="18"/>
                <w:highlight w:val="none"/>
                <w:u w:val="none"/>
              </w:rPr>
            </w:pPr>
          </w:p>
        </w:tc>
        <w:tc>
          <w:tcPr>
            <w:tcW w:w="1347" w:type="dxa"/>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220" w:lineRule="exact"/>
              <w:rPr>
                <w:rFonts w:hint="default" w:ascii="Arial" w:hAnsi="Arial" w:cs="Arial"/>
                <w:i w:val="0"/>
                <w:iCs w:val="0"/>
                <w:color w:val="auto"/>
                <w:sz w:val="18"/>
                <w:szCs w:val="18"/>
                <w:highlight w:val="none"/>
                <w:u w:val="none"/>
              </w:rPr>
            </w:pPr>
          </w:p>
        </w:tc>
        <w:tc>
          <w:tcPr>
            <w:tcW w:w="4295" w:type="dxa"/>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220" w:lineRule="exact"/>
              <w:rPr>
                <w:rFonts w:hint="default" w:ascii="Arial" w:hAnsi="Arial" w:cs="Arial"/>
                <w:i w:val="0"/>
                <w:iCs w:val="0"/>
                <w:color w:val="auto"/>
                <w:sz w:val="18"/>
                <w:szCs w:val="18"/>
                <w:highlight w:val="none"/>
                <w:u w:val="none"/>
              </w:rPr>
            </w:pPr>
          </w:p>
        </w:tc>
        <w:tc>
          <w:tcPr>
            <w:tcW w:w="798" w:type="dxa"/>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220" w:lineRule="exact"/>
              <w:rPr>
                <w:rFonts w:hint="default" w:ascii="Arial" w:hAnsi="Arial" w:cs="Arial"/>
                <w:i w:val="0"/>
                <w:iCs w:val="0"/>
                <w:color w:val="auto"/>
                <w:sz w:val="18"/>
                <w:szCs w:val="18"/>
                <w:highlight w:val="none"/>
                <w:u w:val="none"/>
              </w:rPr>
            </w:pPr>
          </w:p>
        </w:tc>
        <w:tc>
          <w:tcPr>
            <w:tcW w:w="1998" w:type="dxa"/>
            <w:tcBorders>
              <w:top w:val="nil"/>
              <w:left w:val="nil"/>
              <w:bottom w:val="nil"/>
              <w:right w:val="nil"/>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220" w:lineRule="exact"/>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564" w:type="dxa"/>
            <w:tcBorders>
              <w:top w:val="nil"/>
              <w:left w:val="nil"/>
              <w:bottom w:val="nil"/>
              <w:right w:val="nil"/>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bottom"/>
              <w:rPr>
                <w:rFonts w:hint="eastAsia" w:ascii="宋体" w:hAnsi="宋体" w:eastAsia="宋体" w:cs="宋体"/>
                <w:i w:val="0"/>
                <w:iCs w:val="0"/>
                <w:color w:val="auto"/>
                <w:sz w:val="18"/>
                <w:szCs w:val="18"/>
                <w:highlight w:val="none"/>
                <w:u w:val="none"/>
              </w:rPr>
            </w:pPr>
            <w:r>
              <w:rPr>
                <w:rFonts w:hint="eastAsia" w:ascii="宋体" w:hAnsi="宋体" w:cs="宋体"/>
                <w:i w:val="0"/>
                <w:iCs w:val="0"/>
                <w:color w:val="auto"/>
                <w:kern w:val="0"/>
                <w:sz w:val="18"/>
                <w:szCs w:val="18"/>
                <w:highlight w:val="none"/>
                <w:u w:val="none"/>
                <w:lang w:val="en-US" w:eastAsia="zh-CN" w:bidi="ar"/>
              </w:rPr>
              <w:t>单位</w:t>
            </w:r>
            <w:r>
              <w:rPr>
                <w:rFonts w:hint="eastAsia" w:ascii="宋体" w:hAnsi="宋体" w:eastAsia="宋体" w:cs="宋体"/>
                <w:i w:val="0"/>
                <w:iCs w:val="0"/>
                <w:color w:val="auto"/>
                <w:kern w:val="0"/>
                <w:sz w:val="18"/>
                <w:szCs w:val="18"/>
                <w:highlight w:val="none"/>
                <w:u w:val="none"/>
                <w:lang w:val="en-US" w:eastAsia="zh-CN" w:bidi="ar"/>
              </w:rPr>
              <w:t>：许昌市交运投资有限责任公司</w:t>
            </w:r>
          </w:p>
        </w:tc>
        <w:tc>
          <w:tcPr>
            <w:tcW w:w="798" w:type="dxa"/>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220" w:lineRule="exact"/>
              <w:rPr>
                <w:rFonts w:hint="default" w:ascii="Arial" w:hAnsi="Arial" w:cs="Arial"/>
                <w:i w:val="0"/>
                <w:iCs w:val="0"/>
                <w:color w:val="auto"/>
                <w:sz w:val="18"/>
                <w:szCs w:val="18"/>
                <w:highlight w:val="none"/>
                <w:u w:val="none"/>
              </w:rPr>
            </w:pPr>
          </w:p>
        </w:tc>
        <w:tc>
          <w:tcPr>
            <w:tcW w:w="1347" w:type="dxa"/>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220" w:lineRule="exact"/>
              <w:rPr>
                <w:rFonts w:hint="default" w:ascii="Arial" w:hAnsi="Arial" w:cs="Arial"/>
                <w:i w:val="0"/>
                <w:iCs w:val="0"/>
                <w:color w:val="auto"/>
                <w:sz w:val="18"/>
                <w:szCs w:val="18"/>
                <w:highlight w:val="none"/>
                <w:u w:val="none"/>
              </w:rPr>
            </w:pPr>
          </w:p>
        </w:tc>
        <w:tc>
          <w:tcPr>
            <w:tcW w:w="4295" w:type="dxa"/>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220" w:lineRule="exact"/>
              <w:rPr>
                <w:rFonts w:hint="default" w:ascii="Arial" w:hAnsi="Arial" w:cs="Arial"/>
                <w:i w:val="0"/>
                <w:iCs w:val="0"/>
                <w:color w:val="auto"/>
                <w:sz w:val="18"/>
                <w:szCs w:val="18"/>
                <w:highlight w:val="none"/>
                <w:u w:val="none"/>
              </w:rPr>
            </w:pPr>
          </w:p>
        </w:tc>
        <w:tc>
          <w:tcPr>
            <w:tcW w:w="798" w:type="dxa"/>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220" w:lineRule="exact"/>
              <w:rPr>
                <w:rFonts w:hint="default" w:ascii="Arial" w:hAnsi="Arial" w:cs="Arial"/>
                <w:i w:val="0"/>
                <w:iCs w:val="0"/>
                <w:color w:val="auto"/>
                <w:sz w:val="18"/>
                <w:szCs w:val="18"/>
                <w:highlight w:val="none"/>
                <w:u w:val="none"/>
              </w:rPr>
            </w:pPr>
          </w:p>
        </w:tc>
        <w:tc>
          <w:tcPr>
            <w:tcW w:w="1998" w:type="dxa"/>
            <w:tcBorders>
              <w:top w:val="nil"/>
              <w:left w:val="nil"/>
              <w:bottom w:val="nil"/>
              <w:right w:val="nil"/>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220" w:lineRule="exact"/>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709"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收入</w:t>
            </w:r>
          </w:p>
        </w:tc>
        <w:tc>
          <w:tcPr>
            <w:tcW w:w="7091" w:type="dxa"/>
            <w:gridSpan w:val="3"/>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564"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798"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1347"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金额</w:t>
            </w:r>
          </w:p>
        </w:tc>
        <w:tc>
          <w:tcPr>
            <w:tcW w:w="429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798"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1998"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564"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798"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auto"/>
                <w:sz w:val="22"/>
                <w:szCs w:val="22"/>
                <w:highlight w:val="none"/>
                <w:u w:val="none"/>
              </w:rPr>
            </w:pPr>
          </w:p>
        </w:tc>
        <w:tc>
          <w:tcPr>
            <w:tcW w:w="1347"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429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798"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auto"/>
                <w:sz w:val="22"/>
                <w:szCs w:val="22"/>
                <w:highlight w:val="none"/>
                <w:u w:val="none"/>
              </w:rPr>
            </w:pPr>
          </w:p>
        </w:tc>
        <w:tc>
          <w:tcPr>
            <w:tcW w:w="1998"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564"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一、一般公共预算财政拨款收入</w:t>
            </w:r>
          </w:p>
        </w:tc>
        <w:tc>
          <w:tcPr>
            <w:tcW w:w="798"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347"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1.54</w:t>
            </w:r>
          </w:p>
        </w:tc>
        <w:tc>
          <w:tcPr>
            <w:tcW w:w="429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一、一般公共服务支出</w:t>
            </w:r>
          </w:p>
        </w:tc>
        <w:tc>
          <w:tcPr>
            <w:tcW w:w="798"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32</w:t>
            </w:r>
          </w:p>
        </w:tc>
        <w:tc>
          <w:tcPr>
            <w:tcW w:w="1998"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564"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二、政府性基金预算财政拨款收入</w:t>
            </w:r>
          </w:p>
        </w:tc>
        <w:tc>
          <w:tcPr>
            <w:tcW w:w="798"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347"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eastAsia" w:ascii="宋体" w:hAnsi="宋体" w:eastAsia="宋体" w:cs="宋体"/>
                <w:i w:val="0"/>
                <w:iCs w:val="0"/>
                <w:color w:val="auto"/>
                <w:sz w:val="22"/>
                <w:szCs w:val="22"/>
                <w:highlight w:val="none"/>
                <w:u w:val="none"/>
              </w:rPr>
            </w:pPr>
          </w:p>
        </w:tc>
        <w:tc>
          <w:tcPr>
            <w:tcW w:w="429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二、外交支出</w:t>
            </w:r>
          </w:p>
        </w:tc>
        <w:tc>
          <w:tcPr>
            <w:tcW w:w="798"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w:t>
            </w:r>
          </w:p>
        </w:tc>
        <w:tc>
          <w:tcPr>
            <w:tcW w:w="1998"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564"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三、国有资本经营预算财政拨款收入</w:t>
            </w:r>
          </w:p>
        </w:tc>
        <w:tc>
          <w:tcPr>
            <w:tcW w:w="798"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347"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eastAsia" w:ascii="宋体" w:hAnsi="宋体" w:eastAsia="宋体" w:cs="宋体"/>
                <w:i w:val="0"/>
                <w:iCs w:val="0"/>
                <w:color w:val="auto"/>
                <w:sz w:val="22"/>
                <w:szCs w:val="22"/>
                <w:highlight w:val="none"/>
                <w:u w:val="none"/>
              </w:rPr>
            </w:pPr>
          </w:p>
        </w:tc>
        <w:tc>
          <w:tcPr>
            <w:tcW w:w="429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三、国防支出</w:t>
            </w:r>
          </w:p>
        </w:tc>
        <w:tc>
          <w:tcPr>
            <w:tcW w:w="798"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w:t>
            </w:r>
          </w:p>
        </w:tc>
        <w:tc>
          <w:tcPr>
            <w:tcW w:w="1998"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564"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四、上级补助收入</w:t>
            </w:r>
          </w:p>
        </w:tc>
        <w:tc>
          <w:tcPr>
            <w:tcW w:w="798"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347"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eastAsia" w:ascii="宋体" w:hAnsi="宋体" w:eastAsia="宋体" w:cs="宋体"/>
                <w:i w:val="0"/>
                <w:iCs w:val="0"/>
                <w:color w:val="auto"/>
                <w:sz w:val="22"/>
                <w:szCs w:val="22"/>
                <w:highlight w:val="none"/>
                <w:u w:val="none"/>
              </w:rPr>
            </w:pPr>
          </w:p>
        </w:tc>
        <w:tc>
          <w:tcPr>
            <w:tcW w:w="429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四、公共安全支出</w:t>
            </w:r>
          </w:p>
        </w:tc>
        <w:tc>
          <w:tcPr>
            <w:tcW w:w="798"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35</w:t>
            </w:r>
          </w:p>
        </w:tc>
        <w:tc>
          <w:tcPr>
            <w:tcW w:w="1998"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564"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五、事业收入</w:t>
            </w:r>
          </w:p>
        </w:tc>
        <w:tc>
          <w:tcPr>
            <w:tcW w:w="798"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1347"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eastAsia" w:ascii="宋体" w:hAnsi="宋体" w:eastAsia="宋体" w:cs="宋体"/>
                <w:i w:val="0"/>
                <w:iCs w:val="0"/>
                <w:color w:val="auto"/>
                <w:sz w:val="22"/>
                <w:szCs w:val="22"/>
                <w:highlight w:val="none"/>
                <w:u w:val="none"/>
              </w:rPr>
            </w:pPr>
          </w:p>
        </w:tc>
        <w:tc>
          <w:tcPr>
            <w:tcW w:w="429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五、教育支出</w:t>
            </w:r>
          </w:p>
        </w:tc>
        <w:tc>
          <w:tcPr>
            <w:tcW w:w="798"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w:t>
            </w:r>
          </w:p>
        </w:tc>
        <w:tc>
          <w:tcPr>
            <w:tcW w:w="1998"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564"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六、经营收入</w:t>
            </w:r>
          </w:p>
        </w:tc>
        <w:tc>
          <w:tcPr>
            <w:tcW w:w="798"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1347"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eastAsia" w:ascii="宋体" w:hAnsi="宋体" w:eastAsia="宋体" w:cs="宋体"/>
                <w:i w:val="0"/>
                <w:iCs w:val="0"/>
                <w:color w:val="auto"/>
                <w:sz w:val="22"/>
                <w:szCs w:val="22"/>
                <w:highlight w:val="none"/>
                <w:u w:val="none"/>
              </w:rPr>
            </w:pPr>
          </w:p>
        </w:tc>
        <w:tc>
          <w:tcPr>
            <w:tcW w:w="429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六、科学技术支出</w:t>
            </w:r>
          </w:p>
        </w:tc>
        <w:tc>
          <w:tcPr>
            <w:tcW w:w="798"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w:t>
            </w:r>
          </w:p>
        </w:tc>
        <w:tc>
          <w:tcPr>
            <w:tcW w:w="1998"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564"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七、附属单位上缴收入</w:t>
            </w:r>
          </w:p>
        </w:tc>
        <w:tc>
          <w:tcPr>
            <w:tcW w:w="798"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1347"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eastAsia" w:ascii="宋体" w:hAnsi="宋体" w:eastAsia="宋体" w:cs="宋体"/>
                <w:i w:val="0"/>
                <w:iCs w:val="0"/>
                <w:color w:val="auto"/>
                <w:sz w:val="22"/>
                <w:szCs w:val="22"/>
                <w:highlight w:val="none"/>
                <w:u w:val="none"/>
              </w:rPr>
            </w:pPr>
          </w:p>
        </w:tc>
        <w:tc>
          <w:tcPr>
            <w:tcW w:w="429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七、文化旅游体育与传媒支出</w:t>
            </w:r>
          </w:p>
        </w:tc>
        <w:tc>
          <w:tcPr>
            <w:tcW w:w="798"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w:t>
            </w:r>
          </w:p>
        </w:tc>
        <w:tc>
          <w:tcPr>
            <w:tcW w:w="1998"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564"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八、其他收入</w:t>
            </w:r>
          </w:p>
        </w:tc>
        <w:tc>
          <w:tcPr>
            <w:tcW w:w="798"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w:t>
            </w:r>
          </w:p>
        </w:tc>
        <w:tc>
          <w:tcPr>
            <w:tcW w:w="1347"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eastAsia" w:ascii="宋体" w:hAnsi="宋体" w:eastAsia="宋体" w:cs="宋体"/>
                <w:i w:val="0"/>
                <w:iCs w:val="0"/>
                <w:color w:val="auto"/>
                <w:sz w:val="22"/>
                <w:szCs w:val="22"/>
                <w:highlight w:val="none"/>
                <w:u w:val="none"/>
              </w:rPr>
            </w:pPr>
          </w:p>
        </w:tc>
        <w:tc>
          <w:tcPr>
            <w:tcW w:w="429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八、社会保障和就业支出</w:t>
            </w:r>
          </w:p>
        </w:tc>
        <w:tc>
          <w:tcPr>
            <w:tcW w:w="798"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w:t>
            </w:r>
          </w:p>
        </w:tc>
        <w:tc>
          <w:tcPr>
            <w:tcW w:w="1998"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564"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宋体" w:hAnsi="宋体" w:eastAsia="宋体" w:cs="宋体"/>
                <w:i w:val="0"/>
                <w:iCs w:val="0"/>
                <w:color w:val="auto"/>
                <w:sz w:val="22"/>
                <w:szCs w:val="22"/>
                <w:highlight w:val="none"/>
                <w:u w:val="none"/>
              </w:rPr>
            </w:pPr>
          </w:p>
        </w:tc>
        <w:tc>
          <w:tcPr>
            <w:tcW w:w="798"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w:t>
            </w:r>
          </w:p>
        </w:tc>
        <w:tc>
          <w:tcPr>
            <w:tcW w:w="1347"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eastAsia" w:ascii="宋体" w:hAnsi="宋体" w:eastAsia="宋体" w:cs="宋体"/>
                <w:i w:val="0"/>
                <w:iCs w:val="0"/>
                <w:color w:val="auto"/>
                <w:sz w:val="22"/>
                <w:szCs w:val="22"/>
                <w:highlight w:val="none"/>
                <w:u w:val="none"/>
              </w:rPr>
            </w:pPr>
          </w:p>
        </w:tc>
        <w:tc>
          <w:tcPr>
            <w:tcW w:w="429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九、卫生健康支出</w:t>
            </w:r>
          </w:p>
        </w:tc>
        <w:tc>
          <w:tcPr>
            <w:tcW w:w="798"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w:t>
            </w:r>
          </w:p>
        </w:tc>
        <w:tc>
          <w:tcPr>
            <w:tcW w:w="1998"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564"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宋体" w:hAnsi="宋体" w:eastAsia="宋体" w:cs="宋体"/>
                <w:i w:val="0"/>
                <w:iCs w:val="0"/>
                <w:color w:val="auto"/>
                <w:sz w:val="22"/>
                <w:szCs w:val="22"/>
                <w:highlight w:val="none"/>
                <w:u w:val="none"/>
              </w:rPr>
            </w:pPr>
          </w:p>
        </w:tc>
        <w:tc>
          <w:tcPr>
            <w:tcW w:w="798"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1347"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eastAsia" w:ascii="宋体" w:hAnsi="宋体" w:eastAsia="宋体" w:cs="宋体"/>
                <w:i w:val="0"/>
                <w:iCs w:val="0"/>
                <w:color w:val="auto"/>
                <w:sz w:val="22"/>
                <w:szCs w:val="22"/>
                <w:highlight w:val="none"/>
                <w:u w:val="none"/>
              </w:rPr>
            </w:pPr>
          </w:p>
        </w:tc>
        <w:tc>
          <w:tcPr>
            <w:tcW w:w="429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十、节能环保支出</w:t>
            </w:r>
          </w:p>
        </w:tc>
        <w:tc>
          <w:tcPr>
            <w:tcW w:w="798"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41</w:t>
            </w:r>
          </w:p>
        </w:tc>
        <w:tc>
          <w:tcPr>
            <w:tcW w:w="1998"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564"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宋体" w:hAnsi="宋体" w:eastAsia="宋体" w:cs="宋体"/>
                <w:i w:val="0"/>
                <w:iCs w:val="0"/>
                <w:color w:val="auto"/>
                <w:sz w:val="22"/>
                <w:szCs w:val="22"/>
                <w:highlight w:val="none"/>
                <w:u w:val="none"/>
              </w:rPr>
            </w:pPr>
          </w:p>
        </w:tc>
        <w:tc>
          <w:tcPr>
            <w:tcW w:w="798"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w:t>
            </w:r>
          </w:p>
        </w:tc>
        <w:tc>
          <w:tcPr>
            <w:tcW w:w="1347"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eastAsia" w:ascii="宋体" w:hAnsi="宋体" w:eastAsia="宋体" w:cs="宋体"/>
                <w:i w:val="0"/>
                <w:iCs w:val="0"/>
                <w:color w:val="auto"/>
                <w:sz w:val="22"/>
                <w:szCs w:val="22"/>
                <w:highlight w:val="none"/>
                <w:u w:val="none"/>
              </w:rPr>
            </w:pPr>
          </w:p>
        </w:tc>
        <w:tc>
          <w:tcPr>
            <w:tcW w:w="429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十一、城乡社区支出</w:t>
            </w:r>
          </w:p>
        </w:tc>
        <w:tc>
          <w:tcPr>
            <w:tcW w:w="798"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w:t>
            </w:r>
          </w:p>
        </w:tc>
        <w:tc>
          <w:tcPr>
            <w:tcW w:w="1998"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564"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宋体" w:hAnsi="宋体" w:eastAsia="宋体" w:cs="宋体"/>
                <w:i w:val="0"/>
                <w:iCs w:val="0"/>
                <w:color w:val="auto"/>
                <w:sz w:val="22"/>
                <w:szCs w:val="22"/>
                <w:highlight w:val="none"/>
                <w:u w:val="none"/>
              </w:rPr>
            </w:pPr>
          </w:p>
        </w:tc>
        <w:tc>
          <w:tcPr>
            <w:tcW w:w="798"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w:t>
            </w:r>
          </w:p>
        </w:tc>
        <w:tc>
          <w:tcPr>
            <w:tcW w:w="1347"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eastAsia" w:ascii="宋体" w:hAnsi="宋体" w:eastAsia="宋体" w:cs="宋体"/>
                <w:i w:val="0"/>
                <w:iCs w:val="0"/>
                <w:color w:val="auto"/>
                <w:sz w:val="22"/>
                <w:szCs w:val="22"/>
                <w:highlight w:val="none"/>
                <w:u w:val="none"/>
              </w:rPr>
            </w:pPr>
          </w:p>
        </w:tc>
        <w:tc>
          <w:tcPr>
            <w:tcW w:w="429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十二、农林水支出</w:t>
            </w:r>
          </w:p>
        </w:tc>
        <w:tc>
          <w:tcPr>
            <w:tcW w:w="798"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w:t>
            </w:r>
          </w:p>
        </w:tc>
        <w:tc>
          <w:tcPr>
            <w:tcW w:w="1998"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564"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宋体" w:hAnsi="宋体" w:eastAsia="宋体" w:cs="宋体"/>
                <w:i w:val="0"/>
                <w:iCs w:val="0"/>
                <w:color w:val="auto"/>
                <w:sz w:val="22"/>
                <w:szCs w:val="22"/>
                <w:highlight w:val="none"/>
                <w:u w:val="none"/>
              </w:rPr>
            </w:pPr>
          </w:p>
        </w:tc>
        <w:tc>
          <w:tcPr>
            <w:tcW w:w="798"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w:t>
            </w:r>
          </w:p>
        </w:tc>
        <w:tc>
          <w:tcPr>
            <w:tcW w:w="1347"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eastAsia" w:ascii="宋体" w:hAnsi="宋体" w:eastAsia="宋体" w:cs="宋体"/>
                <w:i w:val="0"/>
                <w:iCs w:val="0"/>
                <w:color w:val="auto"/>
                <w:sz w:val="22"/>
                <w:szCs w:val="22"/>
                <w:highlight w:val="none"/>
                <w:u w:val="none"/>
              </w:rPr>
            </w:pPr>
          </w:p>
        </w:tc>
        <w:tc>
          <w:tcPr>
            <w:tcW w:w="429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十三、交通运输支出</w:t>
            </w:r>
          </w:p>
        </w:tc>
        <w:tc>
          <w:tcPr>
            <w:tcW w:w="798"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w:t>
            </w:r>
          </w:p>
        </w:tc>
        <w:tc>
          <w:tcPr>
            <w:tcW w:w="1998"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1,263.59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564"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宋体" w:hAnsi="宋体" w:eastAsia="宋体" w:cs="宋体"/>
                <w:i w:val="0"/>
                <w:iCs w:val="0"/>
                <w:color w:val="auto"/>
                <w:sz w:val="22"/>
                <w:szCs w:val="22"/>
                <w:highlight w:val="none"/>
                <w:u w:val="none"/>
              </w:rPr>
            </w:pPr>
          </w:p>
        </w:tc>
        <w:tc>
          <w:tcPr>
            <w:tcW w:w="798"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w:t>
            </w:r>
          </w:p>
        </w:tc>
        <w:tc>
          <w:tcPr>
            <w:tcW w:w="1347"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eastAsia" w:ascii="宋体" w:hAnsi="宋体" w:eastAsia="宋体" w:cs="宋体"/>
                <w:i w:val="0"/>
                <w:iCs w:val="0"/>
                <w:color w:val="auto"/>
                <w:sz w:val="22"/>
                <w:szCs w:val="22"/>
                <w:highlight w:val="none"/>
                <w:u w:val="none"/>
              </w:rPr>
            </w:pPr>
          </w:p>
        </w:tc>
        <w:tc>
          <w:tcPr>
            <w:tcW w:w="429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十四、资源勘探工业信息等支出</w:t>
            </w:r>
          </w:p>
        </w:tc>
        <w:tc>
          <w:tcPr>
            <w:tcW w:w="798"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45</w:t>
            </w:r>
          </w:p>
        </w:tc>
        <w:tc>
          <w:tcPr>
            <w:tcW w:w="1998"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564"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宋体" w:hAnsi="宋体" w:eastAsia="宋体" w:cs="宋体"/>
                <w:i w:val="0"/>
                <w:iCs w:val="0"/>
                <w:color w:val="auto"/>
                <w:sz w:val="22"/>
                <w:szCs w:val="22"/>
                <w:highlight w:val="none"/>
                <w:u w:val="none"/>
              </w:rPr>
            </w:pPr>
          </w:p>
        </w:tc>
        <w:tc>
          <w:tcPr>
            <w:tcW w:w="798"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w:t>
            </w:r>
          </w:p>
        </w:tc>
        <w:tc>
          <w:tcPr>
            <w:tcW w:w="1347"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eastAsia" w:ascii="宋体" w:hAnsi="宋体" w:eastAsia="宋体" w:cs="宋体"/>
                <w:i w:val="0"/>
                <w:iCs w:val="0"/>
                <w:color w:val="auto"/>
                <w:sz w:val="22"/>
                <w:szCs w:val="22"/>
                <w:highlight w:val="none"/>
                <w:u w:val="none"/>
              </w:rPr>
            </w:pPr>
          </w:p>
        </w:tc>
        <w:tc>
          <w:tcPr>
            <w:tcW w:w="429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十五、商业服务业等支出</w:t>
            </w:r>
          </w:p>
        </w:tc>
        <w:tc>
          <w:tcPr>
            <w:tcW w:w="798"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46</w:t>
            </w:r>
          </w:p>
        </w:tc>
        <w:tc>
          <w:tcPr>
            <w:tcW w:w="1998"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564"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宋体" w:hAnsi="宋体" w:eastAsia="宋体" w:cs="宋体"/>
                <w:i w:val="0"/>
                <w:iCs w:val="0"/>
                <w:color w:val="auto"/>
                <w:sz w:val="22"/>
                <w:szCs w:val="22"/>
                <w:highlight w:val="none"/>
                <w:u w:val="none"/>
              </w:rPr>
            </w:pPr>
          </w:p>
        </w:tc>
        <w:tc>
          <w:tcPr>
            <w:tcW w:w="798"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w:t>
            </w:r>
          </w:p>
        </w:tc>
        <w:tc>
          <w:tcPr>
            <w:tcW w:w="1347"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eastAsia" w:ascii="宋体" w:hAnsi="宋体" w:eastAsia="宋体" w:cs="宋体"/>
                <w:i w:val="0"/>
                <w:iCs w:val="0"/>
                <w:color w:val="auto"/>
                <w:sz w:val="22"/>
                <w:szCs w:val="22"/>
                <w:highlight w:val="none"/>
                <w:u w:val="none"/>
              </w:rPr>
            </w:pPr>
          </w:p>
        </w:tc>
        <w:tc>
          <w:tcPr>
            <w:tcW w:w="429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十六、金融支出</w:t>
            </w:r>
          </w:p>
        </w:tc>
        <w:tc>
          <w:tcPr>
            <w:tcW w:w="798"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w:t>
            </w:r>
          </w:p>
        </w:tc>
        <w:tc>
          <w:tcPr>
            <w:tcW w:w="1998"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564"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宋体" w:hAnsi="宋体" w:eastAsia="宋体" w:cs="宋体"/>
                <w:i w:val="0"/>
                <w:iCs w:val="0"/>
                <w:color w:val="auto"/>
                <w:sz w:val="22"/>
                <w:szCs w:val="22"/>
                <w:highlight w:val="none"/>
                <w:u w:val="none"/>
              </w:rPr>
            </w:pPr>
          </w:p>
        </w:tc>
        <w:tc>
          <w:tcPr>
            <w:tcW w:w="798"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w:t>
            </w:r>
          </w:p>
        </w:tc>
        <w:tc>
          <w:tcPr>
            <w:tcW w:w="1347"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eastAsia" w:ascii="宋体" w:hAnsi="宋体" w:eastAsia="宋体" w:cs="宋体"/>
                <w:i w:val="0"/>
                <w:iCs w:val="0"/>
                <w:color w:val="auto"/>
                <w:sz w:val="22"/>
                <w:szCs w:val="22"/>
                <w:highlight w:val="none"/>
                <w:u w:val="none"/>
              </w:rPr>
            </w:pPr>
          </w:p>
        </w:tc>
        <w:tc>
          <w:tcPr>
            <w:tcW w:w="429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十七、援助其他地区支出</w:t>
            </w:r>
          </w:p>
        </w:tc>
        <w:tc>
          <w:tcPr>
            <w:tcW w:w="798"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48</w:t>
            </w:r>
          </w:p>
        </w:tc>
        <w:tc>
          <w:tcPr>
            <w:tcW w:w="1998"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564"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宋体" w:hAnsi="宋体" w:eastAsia="宋体" w:cs="宋体"/>
                <w:i w:val="0"/>
                <w:iCs w:val="0"/>
                <w:color w:val="auto"/>
                <w:sz w:val="22"/>
                <w:szCs w:val="22"/>
                <w:highlight w:val="none"/>
                <w:u w:val="none"/>
              </w:rPr>
            </w:pPr>
          </w:p>
        </w:tc>
        <w:tc>
          <w:tcPr>
            <w:tcW w:w="798"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w:t>
            </w:r>
          </w:p>
        </w:tc>
        <w:tc>
          <w:tcPr>
            <w:tcW w:w="1347"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eastAsia" w:ascii="宋体" w:hAnsi="宋体" w:eastAsia="宋体" w:cs="宋体"/>
                <w:i w:val="0"/>
                <w:iCs w:val="0"/>
                <w:color w:val="auto"/>
                <w:sz w:val="22"/>
                <w:szCs w:val="22"/>
                <w:highlight w:val="none"/>
                <w:u w:val="none"/>
              </w:rPr>
            </w:pPr>
          </w:p>
        </w:tc>
        <w:tc>
          <w:tcPr>
            <w:tcW w:w="429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十八、自然资源海洋气象等支出</w:t>
            </w:r>
          </w:p>
        </w:tc>
        <w:tc>
          <w:tcPr>
            <w:tcW w:w="798"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w:t>
            </w:r>
          </w:p>
        </w:tc>
        <w:tc>
          <w:tcPr>
            <w:tcW w:w="1998"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564"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宋体" w:hAnsi="宋体" w:eastAsia="宋体" w:cs="宋体"/>
                <w:i w:val="0"/>
                <w:iCs w:val="0"/>
                <w:color w:val="auto"/>
                <w:sz w:val="22"/>
                <w:szCs w:val="22"/>
                <w:highlight w:val="none"/>
                <w:u w:val="none"/>
              </w:rPr>
            </w:pPr>
          </w:p>
        </w:tc>
        <w:tc>
          <w:tcPr>
            <w:tcW w:w="798"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w:t>
            </w:r>
          </w:p>
        </w:tc>
        <w:tc>
          <w:tcPr>
            <w:tcW w:w="1347"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eastAsia" w:ascii="宋体" w:hAnsi="宋体" w:eastAsia="宋体" w:cs="宋体"/>
                <w:i w:val="0"/>
                <w:iCs w:val="0"/>
                <w:color w:val="auto"/>
                <w:sz w:val="22"/>
                <w:szCs w:val="22"/>
                <w:highlight w:val="none"/>
                <w:u w:val="none"/>
              </w:rPr>
            </w:pPr>
          </w:p>
        </w:tc>
        <w:tc>
          <w:tcPr>
            <w:tcW w:w="429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十九、住房保障支出</w:t>
            </w:r>
          </w:p>
        </w:tc>
        <w:tc>
          <w:tcPr>
            <w:tcW w:w="798"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w:t>
            </w:r>
          </w:p>
        </w:tc>
        <w:tc>
          <w:tcPr>
            <w:tcW w:w="1998"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564"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宋体" w:hAnsi="宋体" w:eastAsia="宋体" w:cs="宋体"/>
                <w:i w:val="0"/>
                <w:iCs w:val="0"/>
                <w:color w:val="auto"/>
                <w:sz w:val="22"/>
                <w:szCs w:val="22"/>
                <w:highlight w:val="none"/>
                <w:u w:val="none"/>
              </w:rPr>
            </w:pPr>
          </w:p>
        </w:tc>
        <w:tc>
          <w:tcPr>
            <w:tcW w:w="798"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1347"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eastAsia" w:ascii="宋体" w:hAnsi="宋体" w:eastAsia="宋体" w:cs="宋体"/>
                <w:i w:val="0"/>
                <w:iCs w:val="0"/>
                <w:color w:val="auto"/>
                <w:sz w:val="22"/>
                <w:szCs w:val="22"/>
                <w:highlight w:val="none"/>
                <w:u w:val="none"/>
              </w:rPr>
            </w:pPr>
          </w:p>
        </w:tc>
        <w:tc>
          <w:tcPr>
            <w:tcW w:w="429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二十、粮油物资储备支出</w:t>
            </w:r>
          </w:p>
        </w:tc>
        <w:tc>
          <w:tcPr>
            <w:tcW w:w="798"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51</w:t>
            </w:r>
          </w:p>
        </w:tc>
        <w:tc>
          <w:tcPr>
            <w:tcW w:w="1998"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564"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宋体" w:hAnsi="宋体" w:eastAsia="宋体" w:cs="宋体"/>
                <w:i w:val="0"/>
                <w:iCs w:val="0"/>
                <w:color w:val="auto"/>
                <w:sz w:val="22"/>
                <w:szCs w:val="22"/>
                <w:highlight w:val="none"/>
                <w:u w:val="none"/>
              </w:rPr>
            </w:pPr>
          </w:p>
        </w:tc>
        <w:tc>
          <w:tcPr>
            <w:tcW w:w="798"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w:t>
            </w:r>
          </w:p>
        </w:tc>
        <w:tc>
          <w:tcPr>
            <w:tcW w:w="1347"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eastAsia" w:ascii="宋体" w:hAnsi="宋体" w:eastAsia="宋体" w:cs="宋体"/>
                <w:i w:val="0"/>
                <w:iCs w:val="0"/>
                <w:color w:val="auto"/>
                <w:sz w:val="22"/>
                <w:szCs w:val="22"/>
                <w:highlight w:val="none"/>
                <w:u w:val="none"/>
              </w:rPr>
            </w:pPr>
          </w:p>
        </w:tc>
        <w:tc>
          <w:tcPr>
            <w:tcW w:w="429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二十一、国有资本经营预算支出</w:t>
            </w:r>
          </w:p>
        </w:tc>
        <w:tc>
          <w:tcPr>
            <w:tcW w:w="798"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52</w:t>
            </w:r>
          </w:p>
        </w:tc>
        <w:tc>
          <w:tcPr>
            <w:tcW w:w="1998"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564"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宋体" w:hAnsi="宋体" w:eastAsia="宋体" w:cs="宋体"/>
                <w:i w:val="0"/>
                <w:iCs w:val="0"/>
                <w:color w:val="auto"/>
                <w:sz w:val="22"/>
                <w:szCs w:val="22"/>
                <w:highlight w:val="none"/>
                <w:u w:val="none"/>
              </w:rPr>
            </w:pPr>
          </w:p>
        </w:tc>
        <w:tc>
          <w:tcPr>
            <w:tcW w:w="798"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w:t>
            </w:r>
          </w:p>
        </w:tc>
        <w:tc>
          <w:tcPr>
            <w:tcW w:w="1347"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eastAsia" w:ascii="宋体" w:hAnsi="宋体" w:eastAsia="宋体" w:cs="宋体"/>
                <w:i w:val="0"/>
                <w:iCs w:val="0"/>
                <w:color w:val="auto"/>
                <w:sz w:val="22"/>
                <w:szCs w:val="22"/>
                <w:highlight w:val="none"/>
                <w:u w:val="none"/>
              </w:rPr>
            </w:pPr>
          </w:p>
        </w:tc>
        <w:tc>
          <w:tcPr>
            <w:tcW w:w="429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二十二、灾害防治及应急管理支出</w:t>
            </w:r>
          </w:p>
        </w:tc>
        <w:tc>
          <w:tcPr>
            <w:tcW w:w="798"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w:t>
            </w:r>
          </w:p>
        </w:tc>
        <w:tc>
          <w:tcPr>
            <w:tcW w:w="1998"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564"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宋体" w:hAnsi="宋体" w:eastAsia="宋体" w:cs="宋体"/>
                <w:i w:val="0"/>
                <w:iCs w:val="0"/>
                <w:color w:val="auto"/>
                <w:sz w:val="22"/>
                <w:szCs w:val="22"/>
                <w:highlight w:val="none"/>
                <w:u w:val="none"/>
              </w:rPr>
            </w:pPr>
          </w:p>
        </w:tc>
        <w:tc>
          <w:tcPr>
            <w:tcW w:w="798"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w:t>
            </w:r>
          </w:p>
        </w:tc>
        <w:tc>
          <w:tcPr>
            <w:tcW w:w="1347"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eastAsia" w:ascii="宋体" w:hAnsi="宋体" w:eastAsia="宋体" w:cs="宋体"/>
                <w:i w:val="0"/>
                <w:iCs w:val="0"/>
                <w:color w:val="auto"/>
                <w:sz w:val="22"/>
                <w:szCs w:val="22"/>
                <w:highlight w:val="none"/>
                <w:u w:val="none"/>
              </w:rPr>
            </w:pPr>
          </w:p>
        </w:tc>
        <w:tc>
          <w:tcPr>
            <w:tcW w:w="429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二十三、其他支出</w:t>
            </w:r>
          </w:p>
        </w:tc>
        <w:tc>
          <w:tcPr>
            <w:tcW w:w="798"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54</w:t>
            </w:r>
          </w:p>
        </w:tc>
        <w:tc>
          <w:tcPr>
            <w:tcW w:w="1998"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564"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auto"/>
                <w:sz w:val="22"/>
                <w:szCs w:val="22"/>
                <w:highlight w:val="none"/>
                <w:u w:val="none"/>
              </w:rPr>
            </w:pPr>
          </w:p>
        </w:tc>
        <w:tc>
          <w:tcPr>
            <w:tcW w:w="798"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w:t>
            </w:r>
          </w:p>
        </w:tc>
        <w:tc>
          <w:tcPr>
            <w:tcW w:w="1347"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eastAsia" w:ascii="宋体" w:hAnsi="宋体" w:eastAsia="宋体" w:cs="宋体"/>
                <w:i w:val="0"/>
                <w:iCs w:val="0"/>
                <w:color w:val="auto"/>
                <w:sz w:val="22"/>
                <w:szCs w:val="22"/>
                <w:highlight w:val="none"/>
                <w:u w:val="none"/>
              </w:rPr>
            </w:pPr>
          </w:p>
        </w:tc>
        <w:tc>
          <w:tcPr>
            <w:tcW w:w="429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二十四、债务还本支出</w:t>
            </w:r>
          </w:p>
        </w:tc>
        <w:tc>
          <w:tcPr>
            <w:tcW w:w="798"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55</w:t>
            </w:r>
          </w:p>
        </w:tc>
        <w:tc>
          <w:tcPr>
            <w:tcW w:w="1998"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564"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宋体" w:hAnsi="宋体" w:eastAsia="宋体" w:cs="宋体"/>
                <w:i w:val="0"/>
                <w:iCs w:val="0"/>
                <w:color w:val="auto"/>
                <w:sz w:val="22"/>
                <w:szCs w:val="22"/>
                <w:highlight w:val="none"/>
                <w:u w:val="none"/>
              </w:rPr>
            </w:pPr>
          </w:p>
        </w:tc>
        <w:tc>
          <w:tcPr>
            <w:tcW w:w="798"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w:t>
            </w:r>
          </w:p>
        </w:tc>
        <w:tc>
          <w:tcPr>
            <w:tcW w:w="1347"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eastAsia" w:ascii="宋体" w:hAnsi="宋体" w:eastAsia="宋体" w:cs="宋体"/>
                <w:i w:val="0"/>
                <w:iCs w:val="0"/>
                <w:color w:val="auto"/>
                <w:sz w:val="22"/>
                <w:szCs w:val="22"/>
                <w:highlight w:val="none"/>
                <w:u w:val="none"/>
              </w:rPr>
            </w:pPr>
          </w:p>
        </w:tc>
        <w:tc>
          <w:tcPr>
            <w:tcW w:w="429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二十五、债务付息支出</w:t>
            </w:r>
          </w:p>
        </w:tc>
        <w:tc>
          <w:tcPr>
            <w:tcW w:w="798"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56</w:t>
            </w:r>
          </w:p>
        </w:tc>
        <w:tc>
          <w:tcPr>
            <w:tcW w:w="1998"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564"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宋体" w:hAnsi="宋体" w:eastAsia="宋体" w:cs="宋体"/>
                <w:i w:val="0"/>
                <w:iCs w:val="0"/>
                <w:color w:val="auto"/>
                <w:sz w:val="22"/>
                <w:szCs w:val="22"/>
                <w:highlight w:val="none"/>
                <w:u w:val="none"/>
              </w:rPr>
            </w:pPr>
          </w:p>
        </w:tc>
        <w:tc>
          <w:tcPr>
            <w:tcW w:w="798"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26</w:t>
            </w:r>
          </w:p>
        </w:tc>
        <w:tc>
          <w:tcPr>
            <w:tcW w:w="1347"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eastAsia" w:ascii="宋体" w:hAnsi="宋体" w:eastAsia="宋体" w:cs="宋体"/>
                <w:i w:val="0"/>
                <w:iCs w:val="0"/>
                <w:color w:val="auto"/>
                <w:sz w:val="22"/>
                <w:szCs w:val="22"/>
                <w:highlight w:val="none"/>
                <w:u w:val="none"/>
              </w:rPr>
            </w:pPr>
          </w:p>
        </w:tc>
        <w:tc>
          <w:tcPr>
            <w:tcW w:w="429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二十六、抗疫特别国债安排的支出</w:t>
            </w:r>
          </w:p>
        </w:tc>
        <w:tc>
          <w:tcPr>
            <w:tcW w:w="798"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57</w:t>
            </w:r>
          </w:p>
        </w:tc>
        <w:tc>
          <w:tcPr>
            <w:tcW w:w="1998"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564"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本年收入合计</w:t>
            </w:r>
          </w:p>
        </w:tc>
        <w:tc>
          <w:tcPr>
            <w:tcW w:w="798"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w:t>
            </w:r>
          </w:p>
        </w:tc>
        <w:tc>
          <w:tcPr>
            <w:tcW w:w="1347"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1.54</w:t>
            </w:r>
          </w:p>
        </w:tc>
        <w:tc>
          <w:tcPr>
            <w:tcW w:w="429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本年支出合计</w:t>
            </w:r>
          </w:p>
        </w:tc>
        <w:tc>
          <w:tcPr>
            <w:tcW w:w="798"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58</w:t>
            </w:r>
          </w:p>
        </w:tc>
        <w:tc>
          <w:tcPr>
            <w:tcW w:w="1998"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1,263.59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564"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使用非财政拨款结余</w:t>
            </w:r>
          </w:p>
        </w:tc>
        <w:tc>
          <w:tcPr>
            <w:tcW w:w="798"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w:t>
            </w:r>
          </w:p>
        </w:tc>
        <w:tc>
          <w:tcPr>
            <w:tcW w:w="1347"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eastAsia" w:ascii="宋体" w:hAnsi="宋体" w:eastAsia="宋体" w:cs="宋体"/>
                <w:i w:val="0"/>
                <w:iCs w:val="0"/>
                <w:color w:val="auto"/>
                <w:sz w:val="22"/>
                <w:szCs w:val="22"/>
                <w:highlight w:val="none"/>
                <w:u w:val="none"/>
              </w:rPr>
            </w:pPr>
          </w:p>
        </w:tc>
        <w:tc>
          <w:tcPr>
            <w:tcW w:w="429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结余分配</w:t>
            </w:r>
          </w:p>
        </w:tc>
        <w:tc>
          <w:tcPr>
            <w:tcW w:w="798"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59</w:t>
            </w:r>
          </w:p>
        </w:tc>
        <w:tc>
          <w:tcPr>
            <w:tcW w:w="1998"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564"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年初结转和结余</w:t>
            </w:r>
          </w:p>
        </w:tc>
        <w:tc>
          <w:tcPr>
            <w:tcW w:w="798"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29</w:t>
            </w:r>
          </w:p>
        </w:tc>
        <w:tc>
          <w:tcPr>
            <w:tcW w:w="1347"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1,262.05</w:t>
            </w:r>
          </w:p>
        </w:tc>
        <w:tc>
          <w:tcPr>
            <w:tcW w:w="429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年末结转和结余</w:t>
            </w:r>
          </w:p>
        </w:tc>
        <w:tc>
          <w:tcPr>
            <w:tcW w:w="798"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60</w:t>
            </w:r>
          </w:p>
        </w:tc>
        <w:tc>
          <w:tcPr>
            <w:tcW w:w="1998"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564"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宋体" w:hAnsi="宋体" w:eastAsia="宋体" w:cs="宋体"/>
                <w:i w:val="0"/>
                <w:iCs w:val="0"/>
                <w:color w:val="auto"/>
                <w:sz w:val="22"/>
                <w:szCs w:val="22"/>
                <w:highlight w:val="none"/>
                <w:u w:val="none"/>
              </w:rPr>
            </w:pPr>
          </w:p>
        </w:tc>
        <w:tc>
          <w:tcPr>
            <w:tcW w:w="798"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w:t>
            </w:r>
          </w:p>
        </w:tc>
        <w:tc>
          <w:tcPr>
            <w:tcW w:w="1347"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20" w:lineRule="exact"/>
              <w:jc w:val="right"/>
              <w:rPr>
                <w:rFonts w:hint="eastAsia" w:ascii="宋体" w:hAnsi="宋体" w:eastAsia="宋体" w:cs="宋体"/>
                <w:i w:val="0"/>
                <w:iCs w:val="0"/>
                <w:color w:val="auto"/>
                <w:sz w:val="22"/>
                <w:szCs w:val="22"/>
                <w:highlight w:val="none"/>
                <w:u w:val="none"/>
              </w:rPr>
            </w:pPr>
          </w:p>
        </w:tc>
        <w:tc>
          <w:tcPr>
            <w:tcW w:w="4295"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宋体" w:hAnsi="宋体" w:eastAsia="宋体" w:cs="宋体"/>
                <w:i w:val="0"/>
                <w:iCs w:val="0"/>
                <w:color w:val="auto"/>
                <w:sz w:val="22"/>
                <w:szCs w:val="22"/>
                <w:highlight w:val="none"/>
                <w:u w:val="none"/>
              </w:rPr>
            </w:pPr>
          </w:p>
        </w:tc>
        <w:tc>
          <w:tcPr>
            <w:tcW w:w="798"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61</w:t>
            </w:r>
          </w:p>
        </w:tc>
        <w:tc>
          <w:tcPr>
            <w:tcW w:w="1998"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564"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798" w:type="dxa"/>
            <w:tcBorders>
              <w:top w:val="nil"/>
              <w:left w:val="nil"/>
              <w:bottom w:val="single" w:color="000000" w:sz="8"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w:t>
            </w:r>
          </w:p>
        </w:tc>
        <w:tc>
          <w:tcPr>
            <w:tcW w:w="1347"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1,263.59</w:t>
            </w:r>
          </w:p>
        </w:tc>
        <w:tc>
          <w:tcPr>
            <w:tcW w:w="4295"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总计</w:t>
            </w:r>
          </w:p>
        </w:tc>
        <w:tc>
          <w:tcPr>
            <w:tcW w:w="798"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62</w:t>
            </w:r>
          </w:p>
        </w:tc>
        <w:tc>
          <w:tcPr>
            <w:tcW w:w="1998"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1,263.59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3800" w:type="dxa"/>
            <w:gridSpan w:val="6"/>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本年度的总收支和年末结转结余情况。本表金额转换为万元时，因四舍五入可能存在尾差。</w:t>
            </w:r>
          </w:p>
        </w:tc>
      </w:tr>
    </w:tbl>
    <w:p>
      <w:pPr>
        <w:widowControl/>
        <w:spacing w:line="590" w:lineRule="exact"/>
        <w:jc w:val="left"/>
        <w:rPr>
          <w:rFonts w:hint="eastAsia" w:ascii="仿宋_GB2312" w:hAnsi="仿宋_GB2312" w:eastAsia="仿宋_GB2312" w:cs="仿宋_GB2312"/>
          <w:color w:val="auto"/>
          <w:sz w:val="28"/>
          <w:szCs w:val="28"/>
          <w:highlight w:val="none"/>
        </w:rPr>
        <w:sectPr>
          <w:pgSz w:w="16838" w:h="11906" w:orient="landscape"/>
          <w:pgMar w:top="1236" w:right="1440" w:bottom="1236"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5"/>
        <w:tblW w:w="141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416"/>
        <w:gridCol w:w="222"/>
        <w:gridCol w:w="222"/>
        <w:gridCol w:w="2636"/>
        <w:gridCol w:w="1025"/>
        <w:gridCol w:w="1216"/>
        <w:gridCol w:w="955"/>
        <w:gridCol w:w="955"/>
        <w:gridCol w:w="955"/>
        <w:gridCol w:w="955"/>
        <w:gridCol w:w="16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174" w:type="dxa"/>
            <w:gridSpan w:val="11"/>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416" w:type="dxa"/>
            <w:tcBorders>
              <w:top w:val="nil"/>
              <w:left w:val="nil"/>
              <w:bottom w:val="nil"/>
              <w:right w:val="nil"/>
            </w:tcBorders>
            <w:noWrap/>
            <w:vAlign w:val="bottom"/>
          </w:tcPr>
          <w:p>
            <w:pPr>
              <w:rPr>
                <w:rFonts w:hint="eastAsia" w:ascii="Arial" w:hAnsi="Arial" w:cs="Arial"/>
                <w:i w:val="0"/>
                <w:iCs w:val="0"/>
                <w:color w:val="auto"/>
                <w:sz w:val="18"/>
                <w:szCs w:val="18"/>
                <w:highlight w:val="none"/>
                <w:u w:val="none"/>
              </w:rPr>
            </w:pPr>
          </w:p>
        </w:tc>
        <w:tc>
          <w:tcPr>
            <w:tcW w:w="222"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222"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2636"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025"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216"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955"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955"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955"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955"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617"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416" w:type="dxa"/>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highlight w:val="none"/>
                <w:u w:val="none"/>
              </w:rPr>
            </w:pPr>
            <w:r>
              <w:rPr>
                <w:rFonts w:hint="eastAsia" w:ascii="宋体" w:hAnsi="宋体" w:cs="宋体"/>
                <w:i w:val="0"/>
                <w:iCs w:val="0"/>
                <w:color w:val="auto"/>
                <w:kern w:val="0"/>
                <w:sz w:val="18"/>
                <w:szCs w:val="18"/>
                <w:highlight w:val="none"/>
                <w:u w:val="none"/>
                <w:lang w:val="en-US" w:eastAsia="zh-CN" w:bidi="ar"/>
              </w:rPr>
              <w:t>单位</w:t>
            </w:r>
            <w:r>
              <w:rPr>
                <w:rFonts w:hint="eastAsia" w:ascii="宋体" w:hAnsi="宋体" w:eastAsia="宋体" w:cs="宋体"/>
                <w:i w:val="0"/>
                <w:iCs w:val="0"/>
                <w:color w:val="auto"/>
                <w:kern w:val="0"/>
                <w:sz w:val="18"/>
                <w:szCs w:val="18"/>
                <w:highlight w:val="none"/>
                <w:u w:val="none"/>
                <w:lang w:val="en-US" w:eastAsia="zh-CN" w:bidi="ar"/>
              </w:rPr>
              <w:t>：许昌市交运投资有限责任公司</w:t>
            </w:r>
          </w:p>
        </w:tc>
        <w:tc>
          <w:tcPr>
            <w:tcW w:w="222"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222"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2636"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025"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216"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955"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955"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955"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955"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617"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496"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102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本年收入合计</w:t>
            </w:r>
          </w:p>
        </w:tc>
        <w:tc>
          <w:tcPr>
            <w:tcW w:w="1216"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财政拨款收入</w:t>
            </w:r>
          </w:p>
        </w:tc>
        <w:tc>
          <w:tcPr>
            <w:tcW w:w="95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上级补助收入</w:t>
            </w:r>
          </w:p>
        </w:tc>
        <w:tc>
          <w:tcPr>
            <w:tcW w:w="95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事业收入</w:t>
            </w:r>
          </w:p>
        </w:tc>
        <w:tc>
          <w:tcPr>
            <w:tcW w:w="95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经营收入</w:t>
            </w:r>
          </w:p>
        </w:tc>
        <w:tc>
          <w:tcPr>
            <w:tcW w:w="95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附属单位上缴收入</w:t>
            </w:r>
          </w:p>
        </w:tc>
        <w:tc>
          <w:tcPr>
            <w:tcW w:w="161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2636"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10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1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95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95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95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95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61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63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0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1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95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95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95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95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61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63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0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1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95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95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95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95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61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496"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10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21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95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95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95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95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161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496"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0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1.54</w:t>
            </w:r>
          </w:p>
        </w:tc>
        <w:tc>
          <w:tcPr>
            <w:tcW w:w="12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1.54</w:t>
            </w:r>
          </w:p>
        </w:tc>
        <w:tc>
          <w:tcPr>
            <w:tcW w:w="9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9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9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9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16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w:t>
            </w:r>
          </w:p>
        </w:tc>
        <w:tc>
          <w:tcPr>
            <w:tcW w:w="26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交通运输支出</w:t>
            </w:r>
          </w:p>
        </w:tc>
        <w:tc>
          <w:tcPr>
            <w:tcW w:w="10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1.54</w:t>
            </w:r>
          </w:p>
        </w:tc>
        <w:tc>
          <w:tcPr>
            <w:tcW w:w="12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1.54</w:t>
            </w:r>
          </w:p>
        </w:tc>
        <w:tc>
          <w:tcPr>
            <w:tcW w:w="9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21401</w:t>
            </w:r>
          </w:p>
        </w:tc>
        <w:tc>
          <w:tcPr>
            <w:tcW w:w="26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公路水路运输</w:t>
            </w:r>
          </w:p>
        </w:tc>
        <w:tc>
          <w:tcPr>
            <w:tcW w:w="10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1.54</w:t>
            </w:r>
          </w:p>
        </w:tc>
        <w:tc>
          <w:tcPr>
            <w:tcW w:w="12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1.54</w:t>
            </w:r>
          </w:p>
        </w:tc>
        <w:tc>
          <w:tcPr>
            <w:tcW w:w="9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2140199</w:t>
            </w:r>
          </w:p>
        </w:tc>
        <w:tc>
          <w:tcPr>
            <w:tcW w:w="263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其他公路水路运输支出</w:t>
            </w:r>
          </w:p>
        </w:tc>
        <w:tc>
          <w:tcPr>
            <w:tcW w:w="102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1.54</w:t>
            </w:r>
          </w:p>
        </w:tc>
        <w:tc>
          <w:tcPr>
            <w:tcW w:w="121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1.54</w:t>
            </w:r>
          </w:p>
        </w:tc>
        <w:tc>
          <w:tcPr>
            <w:tcW w:w="9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63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0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63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0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63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0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63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0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63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0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5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174" w:type="dxa"/>
            <w:gridSpan w:val="11"/>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本年度取得的各项收入情况。本表金额转换为万元时，因四舍五入可能存在尾差。</w:t>
            </w:r>
          </w:p>
        </w:tc>
      </w:tr>
    </w:tbl>
    <w:p>
      <w:pPr>
        <w:widowControl/>
        <w:jc w:val="left"/>
        <w:rPr>
          <w:rFonts w:hint="eastAsia" w:ascii="宋体" w:hAnsi="宋体" w:eastAsia="宋体" w:cs="宋体"/>
          <w:color w:val="auto"/>
          <w:kern w:val="0"/>
          <w:sz w:val="22"/>
          <w:szCs w:val="22"/>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5"/>
        <w:tblW w:w="141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416"/>
        <w:gridCol w:w="222"/>
        <w:gridCol w:w="222"/>
        <w:gridCol w:w="3516"/>
        <w:gridCol w:w="1347"/>
        <w:gridCol w:w="958"/>
        <w:gridCol w:w="1447"/>
        <w:gridCol w:w="715"/>
        <w:gridCol w:w="715"/>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174"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416" w:type="dxa"/>
            <w:tcBorders>
              <w:top w:val="nil"/>
              <w:left w:val="nil"/>
              <w:bottom w:val="nil"/>
              <w:right w:val="nil"/>
            </w:tcBorders>
            <w:noWrap/>
            <w:vAlign w:val="bottom"/>
          </w:tcPr>
          <w:p>
            <w:pPr>
              <w:rPr>
                <w:rFonts w:hint="eastAsia" w:ascii="Arial" w:hAnsi="Arial" w:cs="Arial"/>
                <w:i w:val="0"/>
                <w:iCs w:val="0"/>
                <w:color w:val="auto"/>
                <w:sz w:val="18"/>
                <w:szCs w:val="18"/>
                <w:highlight w:val="none"/>
                <w:u w:val="none"/>
              </w:rPr>
            </w:pPr>
          </w:p>
        </w:tc>
        <w:tc>
          <w:tcPr>
            <w:tcW w:w="222"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222"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3516"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347"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958"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447"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715"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715"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616"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416" w:type="dxa"/>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highlight w:val="none"/>
                <w:u w:val="none"/>
              </w:rPr>
            </w:pPr>
            <w:r>
              <w:rPr>
                <w:rFonts w:hint="eastAsia" w:ascii="宋体" w:hAnsi="宋体" w:cs="宋体"/>
                <w:i w:val="0"/>
                <w:iCs w:val="0"/>
                <w:color w:val="auto"/>
                <w:kern w:val="0"/>
                <w:sz w:val="18"/>
                <w:szCs w:val="18"/>
                <w:highlight w:val="none"/>
                <w:u w:val="none"/>
                <w:lang w:val="en-US" w:eastAsia="zh-CN" w:bidi="ar"/>
              </w:rPr>
              <w:t>单位</w:t>
            </w:r>
            <w:r>
              <w:rPr>
                <w:rFonts w:hint="eastAsia" w:ascii="宋体" w:hAnsi="宋体" w:eastAsia="宋体" w:cs="宋体"/>
                <w:i w:val="0"/>
                <w:iCs w:val="0"/>
                <w:color w:val="auto"/>
                <w:kern w:val="0"/>
                <w:sz w:val="18"/>
                <w:szCs w:val="18"/>
                <w:highlight w:val="none"/>
                <w:u w:val="none"/>
                <w:lang w:val="en-US" w:eastAsia="zh-CN" w:bidi="ar"/>
              </w:rPr>
              <w:t>：许昌市交运投资有限责任公司</w:t>
            </w:r>
          </w:p>
        </w:tc>
        <w:tc>
          <w:tcPr>
            <w:tcW w:w="222"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222"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3516"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347"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958"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447"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715"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715"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616"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376"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134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本年支出合计</w:t>
            </w:r>
          </w:p>
        </w:tc>
        <w:tc>
          <w:tcPr>
            <w:tcW w:w="958"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基本支出</w:t>
            </w:r>
          </w:p>
        </w:tc>
        <w:tc>
          <w:tcPr>
            <w:tcW w:w="144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项目支出</w:t>
            </w:r>
          </w:p>
        </w:tc>
        <w:tc>
          <w:tcPr>
            <w:tcW w:w="71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上缴上级支出</w:t>
            </w:r>
          </w:p>
        </w:tc>
        <w:tc>
          <w:tcPr>
            <w:tcW w:w="71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经营支出</w:t>
            </w:r>
          </w:p>
        </w:tc>
        <w:tc>
          <w:tcPr>
            <w:tcW w:w="1616"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3516"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134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95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44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71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71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61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51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34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95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44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71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71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61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351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34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958"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44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71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71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616"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376"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134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95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44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71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71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161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376"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34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1,263.59</w:t>
            </w:r>
          </w:p>
        </w:tc>
        <w:tc>
          <w:tcPr>
            <w:tcW w:w="95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5.00</w:t>
            </w:r>
          </w:p>
        </w:tc>
        <w:tc>
          <w:tcPr>
            <w:tcW w:w="144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1,258.59</w:t>
            </w:r>
          </w:p>
        </w:tc>
        <w:tc>
          <w:tcPr>
            <w:tcW w:w="7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7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交通运输支出</w:t>
            </w:r>
          </w:p>
        </w:tc>
        <w:tc>
          <w:tcPr>
            <w:tcW w:w="134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1,263.59</w:t>
            </w:r>
          </w:p>
        </w:tc>
        <w:tc>
          <w:tcPr>
            <w:tcW w:w="95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5.00</w:t>
            </w:r>
          </w:p>
        </w:tc>
        <w:tc>
          <w:tcPr>
            <w:tcW w:w="144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1,258.59</w:t>
            </w:r>
          </w:p>
        </w:tc>
        <w:tc>
          <w:tcPr>
            <w:tcW w:w="7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21401</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公路水路运输</w:t>
            </w:r>
          </w:p>
        </w:tc>
        <w:tc>
          <w:tcPr>
            <w:tcW w:w="134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553.59</w:t>
            </w:r>
          </w:p>
        </w:tc>
        <w:tc>
          <w:tcPr>
            <w:tcW w:w="95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5.00</w:t>
            </w:r>
          </w:p>
        </w:tc>
        <w:tc>
          <w:tcPr>
            <w:tcW w:w="144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548.59</w:t>
            </w:r>
          </w:p>
        </w:tc>
        <w:tc>
          <w:tcPr>
            <w:tcW w:w="7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2140101</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行政运行</w:t>
            </w:r>
          </w:p>
        </w:tc>
        <w:tc>
          <w:tcPr>
            <w:tcW w:w="134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3.46</w:t>
            </w:r>
          </w:p>
        </w:tc>
        <w:tc>
          <w:tcPr>
            <w:tcW w:w="95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3.46</w:t>
            </w:r>
          </w:p>
        </w:tc>
        <w:tc>
          <w:tcPr>
            <w:tcW w:w="144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2140102</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一般行政管理事务</w:t>
            </w:r>
          </w:p>
        </w:tc>
        <w:tc>
          <w:tcPr>
            <w:tcW w:w="134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148.59</w:t>
            </w:r>
          </w:p>
        </w:tc>
        <w:tc>
          <w:tcPr>
            <w:tcW w:w="95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4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148.59</w:t>
            </w:r>
          </w:p>
        </w:tc>
        <w:tc>
          <w:tcPr>
            <w:tcW w:w="7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2140199</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其他公路水路运输支出</w:t>
            </w:r>
          </w:p>
        </w:tc>
        <w:tc>
          <w:tcPr>
            <w:tcW w:w="134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401.54</w:t>
            </w:r>
          </w:p>
        </w:tc>
        <w:tc>
          <w:tcPr>
            <w:tcW w:w="95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1.54</w:t>
            </w:r>
          </w:p>
        </w:tc>
        <w:tc>
          <w:tcPr>
            <w:tcW w:w="144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400.00</w:t>
            </w:r>
          </w:p>
        </w:tc>
        <w:tc>
          <w:tcPr>
            <w:tcW w:w="7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21404</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成品油价格改革对交通运输的补贴</w:t>
            </w:r>
          </w:p>
        </w:tc>
        <w:tc>
          <w:tcPr>
            <w:tcW w:w="134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600.00</w:t>
            </w:r>
          </w:p>
        </w:tc>
        <w:tc>
          <w:tcPr>
            <w:tcW w:w="95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4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600.00</w:t>
            </w:r>
          </w:p>
        </w:tc>
        <w:tc>
          <w:tcPr>
            <w:tcW w:w="7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2140499</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成品油价格改革补贴其他支出</w:t>
            </w:r>
          </w:p>
        </w:tc>
        <w:tc>
          <w:tcPr>
            <w:tcW w:w="134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600.00</w:t>
            </w:r>
          </w:p>
        </w:tc>
        <w:tc>
          <w:tcPr>
            <w:tcW w:w="95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4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600.00</w:t>
            </w:r>
          </w:p>
        </w:tc>
        <w:tc>
          <w:tcPr>
            <w:tcW w:w="7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21499</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其他交通运输支出</w:t>
            </w:r>
          </w:p>
        </w:tc>
        <w:tc>
          <w:tcPr>
            <w:tcW w:w="134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110.00</w:t>
            </w:r>
          </w:p>
        </w:tc>
        <w:tc>
          <w:tcPr>
            <w:tcW w:w="95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4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110.00</w:t>
            </w:r>
          </w:p>
        </w:tc>
        <w:tc>
          <w:tcPr>
            <w:tcW w:w="7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2149999</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其他交通运输支出</w:t>
            </w:r>
          </w:p>
        </w:tc>
        <w:tc>
          <w:tcPr>
            <w:tcW w:w="134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110.00</w:t>
            </w:r>
          </w:p>
        </w:tc>
        <w:tc>
          <w:tcPr>
            <w:tcW w:w="95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4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110.00</w:t>
            </w:r>
          </w:p>
        </w:tc>
        <w:tc>
          <w:tcPr>
            <w:tcW w:w="7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351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34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5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44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71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1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174" w:type="dxa"/>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本年度各项支出情况。本表金额转换为万元时，因四舍五入可能存在尾差。</w:t>
            </w:r>
          </w:p>
        </w:tc>
      </w:tr>
    </w:tbl>
    <w:p>
      <w:pPr>
        <w:widowControl/>
        <w:jc w:val="left"/>
        <w:rPr>
          <w:rFonts w:ascii="黑体" w:hAnsi="宋体" w:eastAsia="黑体" w:cs="宋体"/>
          <w:color w:val="auto"/>
          <w:kern w:val="0"/>
          <w:sz w:val="28"/>
          <w:szCs w:val="28"/>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5"/>
        <w:tblW w:w="140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493"/>
        <w:gridCol w:w="462"/>
        <w:gridCol w:w="1347"/>
        <w:gridCol w:w="3601"/>
        <w:gridCol w:w="462"/>
        <w:gridCol w:w="1121"/>
        <w:gridCol w:w="1339"/>
        <w:gridCol w:w="1011"/>
        <w:gridCol w:w="1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4070"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493" w:type="dxa"/>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240" w:lineRule="exact"/>
              <w:rPr>
                <w:rFonts w:hint="eastAsia" w:ascii="Arial" w:hAnsi="Arial" w:cs="Arial"/>
                <w:i w:val="0"/>
                <w:iCs w:val="0"/>
                <w:color w:val="auto"/>
                <w:sz w:val="20"/>
                <w:szCs w:val="20"/>
                <w:highlight w:val="none"/>
                <w:u w:val="none"/>
              </w:rPr>
            </w:pPr>
          </w:p>
        </w:tc>
        <w:tc>
          <w:tcPr>
            <w:tcW w:w="462" w:type="dxa"/>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240" w:lineRule="exact"/>
              <w:rPr>
                <w:rFonts w:hint="default" w:ascii="Arial" w:hAnsi="Arial" w:cs="Arial"/>
                <w:i w:val="0"/>
                <w:iCs w:val="0"/>
                <w:color w:val="auto"/>
                <w:sz w:val="20"/>
                <w:szCs w:val="20"/>
                <w:highlight w:val="none"/>
                <w:u w:val="none"/>
              </w:rPr>
            </w:pPr>
          </w:p>
        </w:tc>
        <w:tc>
          <w:tcPr>
            <w:tcW w:w="1347" w:type="dxa"/>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240" w:lineRule="exact"/>
              <w:rPr>
                <w:rFonts w:hint="default" w:ascii="Arial" w:hAnsi="Arial" w:cs="Arial"/>
                <w:i w:val="0"/>
                <w:iCs w:val="0"/>
                <w:color w:val="auto"/>
                <w:sz w:val="20"/>
                <w:szCs w:val="20"/>
                <w:highlight w:val="none"/>
                <w:u w:val="none"/>
              </w:rPr>
            </w:pPr>
          </w:p>
        </w:tc>
        <w:tc>
          <w:tcPr>
            <w:tcW w:w="3601" w:type="dxa"/>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240" w:lineRule="exact"/>
              <w:rPr>
                <w:rFonts w:hint="default" w:ascii="Arial" w:hAnsi="Arial" w:cs="Arial"/>
                <w:i w:val="0"/>
                <w:iCs w:val="0"/>
                <w:color w:val="auto"/>
                <w:sz w:val="20"/>
                <w:szCs w:val="20"/>
                <w:highlight w:val="none"/>
                <w:u w:val="none"/>
              </w:rPr>
            </w:pPr>
          </w:p>
        </w:tc>
        <w:tc>
          <w:tcPr>
            <w:tcW w:w="462" w:type="dxa"/>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240" w:lineRule="exact"/>
              <w:rPr>
                <w:rFonts w:hint="default" w:ascii="Arial" w:hAnsi="Arial" w:cs="Arial"/>
                <w:i w:val="0"/>
                <w:iCs w:val="0"/>
                <w:color w:val="auto"/>
                <w:sz w:val="20"/>
                <w:szCs w:val="20"/>
                <w:highlight w:val="none"/>
                <w:u w:val="none"/>
              </w:rPr>
            </w:pPr>
          </w:p>
        </w:tc>
        <w:tc>
          <w:tcPr>
            <w:tcW w:w="1121" w:type="dxa"/>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240" w:lineRule="exact"/>
              <w:rPr>
                <w:rFonts w:hint="default" w:ascii="Arial" w:hAnsi="Arial" w:cs="Arial"/>
                <w:i w:val="0"/>
                <w:iCs w:val="0"/>
                <w:color w:val="auto"/>
                <w:sz w:val="20"/>
                <w:szCs w:val="20"/>
                <w:highlight w:val="none"/>
                <w:u w:val="none"/>
              </w:rPr>
            </w:pPr>
          </w:p>
        </w:tc>
        <w:tc>
          <w:tcPr>
            <w:tcW w:w="1339" w:type="dxa"/>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240" w:lineRule="exact"/>
              <w:rPr>
                <w:rFonts w:hint="default" w:ascii="Arial" w:hAnsi="Arial" w:cs="Arial"/>
                <w:i w:val="0"/>
                <w:iCs w:val="0"/>
                <w:color w:val="auto"/>
                <w:sz w:val="20"/>
                <w:szCs w:val="20"/>
                <w:highlight w:val="none"/>
                <w:u w:val="none"/>
              </w:rPr>
            </w:pPr>
          </w:p>
        </w:tc>
        <w:tc>
          <w:tcPr>
            <w:tcW w:w="1011" w:type="dxa"/>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240" w:lineRule="exact"/>
              <w:rPr>
                <w:rFonts w:hint="default" w:ascii="Arial" w:hAnsi="Arial" w:cs="Arial"/>
                <w:i w:val="0"/>
                <w:iCs w:val="0"/>
                <w:color w:val="auto"/>
                <w:sz w:val="20"/>
                <w:szCs w:val="20"/>
                <w:highlight w:val="none"/>
                <w:u w:val="none"/>
              </w:rPr>
            </w:pPr>
          </w:p>
        </w:tc>
        <w:tc>
          <w:tcPr>
            <w:tcW w:w="1234" w:type="dxa"/>
            <w:tcBorders>
              <w:top w:val="nil"/>
              <w:left w:val="nil"/>
              <w:bottom w:val="nil"/>
              <w:right w:val="nil"/>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493" w:type="dxa"/>
            <w:tcBorders>
              <w:top w:val="nil"/>
              <w:left w:val="nil"/>
              <w:bottom w:val="nil"/>
              <w:right w:val="nil"/>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bottom"/>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18"/>
                <w:szCs w:val="18"/>
                <w:highlight w:val="none"/>
                <w:u w:val="none"/>
                <w:lang w:val="en-US" w:eastAsia="zh-CN" w:bidi="ar"/>
              </w:rPr>
              <w:t>单位</w:t>
            </w:r>
            <w:r>
              <w:rPr>
                <w:rFonts w:hint="eastAsia" w:ascii="宋体" w:hAnsi="宋体" w:eastAsia="宋体" w:cs="宋体"/>
                <w:i w:val="0"/>
                <w:iCs w:val="0"/>
                <w:color w:val="auto"/>
                <w:kern w:val="0"/>
                <w:sz w:val="18"/>
                <w:szCs w:val="18"/>
                <w:highlight w:val="none"/>
                <w:u w:val="none"/>
                <w:lang w:val="en-US" w:eastAsia="zh-CN" w:bidi="ar"/>
              </w:rPr>
              <w:t>：许昌市交运投资有限责任公司</w:t>
            </w:r>
          </w:p>
        </w:tc>
        <w:tc>
          <w:tcPr>
            <w:tcW w:w="462" w:type="dxa"/>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240" w:lineRule="exact"/>
              <w:rPr>
                <w:rFonts w:hint="default" w:ascii="Arial" w:hAnsi="Arial" w:cs="Arial"/>
                <w:i w:val="0"/>
                <w:iCs w:val="0"/>
                <w:color w:val="auto"/>
                <w:sz w:val="20"/>
                <w:szCs w:val="20"/>
                <w:highlight w:val="none"/>
                <w:u w:val="none"/>
              </w:rPr>
            </w:pPr>
          </w:p>
        </w:tc>
        <w:tc>
          <w:tcPr>
            <w:tcW w:w="1347" w:type="dxa"/>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240" w:lineRule="exact"/>
              <w:rPr>
                <w:rFonts w:hint="default" w:ascii="Arial" w:hAnsi="Arial" w:cs="Arial"/>
                <w:i w:val="0"/>
                <w:iCs w:val="0"/>
                <w:color w:val="auto"/>
                <w:sz w:val="20"/>
                <w:szCs w:val="20"/>
                <w:highlight w:val="none"/>
                <w:u w:val="none"/>
              </w:rPr>
            </w:pPr>
          </w:p>
        </w:tc>
        <w:tc>
          <w:tcPr>
            <w:tcW w:w="3601" w:type="dxa"/>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240" w:lineRule="exact"/>
              <w:rPr>
                <w:rFonts w:hint="default" w:ascii="Arial" w:hAnsi="Arial" w:cs="Arial"/>
                <w:i w:val="0"/>
                <w:iCs w:val="0"/>
                <w:color w:val="auto"/>
                <w:sz w:val="20"/>
                <w:szCs w:val="20"/>
                <w:highlight w:val="none"/>
                <w:u w:val="none"/>
              </w:rPr>
            </w:pPr>
          </w:p>
        </w:tc>
        <w:tc>
          <w:tcPr>
            <w:tcW w:w="462" w:type="dxa"/>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240" w:lineRule="exact"/>
              <w:rPr>
                <w:rFonts w:hint="default" w:ascii="Arial" w:hAnsi="Arial" w:cs="Arial"/>
                <w:i w:val="0"/>
                <w:iCs w:val="0"/>
                <w:color w:val="auto"/>
                <w:sz w:val="20"/>
                <w:szCs w:val="20"/>
                <w:highlight w:val="none"/>
                <w:u w:val="none"/>
              </w:rPr>
            </w:pPr>
          </w:p>
        </w:tc>
        <w:tc>
          <w:tcPr>
            <w:tcW w:w="1121" w:type="dxa"/>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240" w:lineRule="exact"/>
              <w:rPr>
                <w:rFonts w:hint="default" w:ascii="Arial" w:hAnsi="Arial" w:cs="Arial"/>
                <w:i w:val="0"/>
                <w:iCs w:val="0"/>
                <w:color w:val="auto"/>
                <w:sz w:val="20"/>
                <w:szCs w:val="20"/>
                <w:highlight w:val="none"/>
                <w:u w:val="none"/>
              </w:rPr>
            </w:pPr>
          </w:p>
        </w:tc>
        <w:tc>
          <w:tcPr>
            <w:tcW w:w="1339" w:type="dxa"/>
            <w:tcBorders>
              <w:top w:val="nil"/>
              <w:left w:val="nil"/>
              <w:bottom w:val="nil"/>
              <w:right w:val="nil"/>
            </w:tcBorders>
            <w:noWrap/>
            <w:vAlign w:val="bottom"/>
          </w:tcPr>
          <w:p>
            <w:pPr>
              <w:keepNext w:val="0"/>
              <w:keepLines w:val="0"/>
              <w:pageBreakBefore w:val="0"/>
              <w:widowControl/>
              <w:kinsoku/>
              <w:wordWrap/>
              <w:overflowPunct/>
              <w:topLinePunct w:val="0"/>
              <w:autoSpaceDE/>
              <w:autoSpaceDN/>
              <w:bidi w:val="0"/>
              <w:adjustRightInd/>
              <w:snapToGrid/>
              <w:spacing w:line="240" w:lineRule="exact"/>
              <w:rPr>
                <w:rFonts w:hint="default" w:ascii="Arial" w:hAnsi="Arial" w:cs="Arial"/>
                <w:i w:val="0"/>
                <w:iCs w:val="0"/>
                <w:color w:val="auto"/>
                <w:sz w:val="20"/>
                <w:szCs w:val="20"/>
                <w:highlight w:val="none"/>
                <w:u w:val="none"/>
              </w:rPr>
            </w:pPr>
          </w:p>
        </w:tc>
        <w:tc>
          <w:tcPr>
            <w:tcW w:w="2245" w:type="dxa"/>
            <w:gridSpan w:val="2"/>
            <w:tcBorders>
              <w:top w:val="nil"/>
              <w:left w:val="nil"/>
              <w:bottom w:val="nil"/>
              <w:right w:val="nil"/>
            </w:tcBorders>
            <w:noWrap/>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bottom"/>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302"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收     入</w:t>
            </w:r>
          </w:p>
        </w:tc>
        <w:tc>
          <w:tcPr>
            <w:tcW w:w="8768" w:type="dxa"/>
            <w:gridSpan w:val="6"/>
            <w:tcBorders>
              <w:top w:val="single" w:color="000000" w:sz="4" w:space="0"/>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493" w:type="dxa"/>
            <w:vMerge w:val="restart"/>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462" w:type="dxa"/>
            <w:vMerge w:val="restart"/>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1347" w:type="dxa"/>
            <w:vMerge w:val="restart"/>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金额</w:t>
            </w:r>
          </w:p>
        </w:tc>
        <w:tc>
          <w:tcPr>
            <w:tcW w:w="3601" w:type="dxa"/>
            <w:vMerge w:val="restart"/>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462" w:type="dxa"/>
            <w:vMerge w:val="restart"/>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行次</w:t>
            </w:r>
          </w:p>
        </w:tc>
        <w:tc>
          <w:tcPr>
            <w:tcW w:w="1121" w:type="dxa"/>
            <w:vMerge w:val="restart"/>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339" w:type="dxa"/>
            <w:vMerge w:val="restart"/>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一般公共预算财政拨款</w:t>
            </w:r>
          </w:p>
        </w:tc>
        <w:tc>
          <w:tcPr>
            <w:tcW w:w="1011" w:type="dxa"/>
            <w:vMerge w:val="restart"/>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政府性基金预算财政拨款</w:t>
            </w:r>
          </w:p>
        </w:tc>
        <w:tc>
          <w:tcPr>
            <w:tcW w:w="1234" w:type="dxa"/>
            <w:vMerge w:val="restart"/>
            <w:tcBorders>
              <w:top w:val="nil"/>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493" w:type="dxa"/>
            <w:vMerge w:val="continue"/>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2"/>
                <w:szCs w:val="22"/>
                <w:highlight w:val="none"/>
                <w:u w:val="none"/>
              </w:rPr>
            </w:pPr>
          </w:p>
        </w:tc>
        <w:tc>
          <w:tcPr>
            <w:tcW w:w="462" w:type="dxa"/>
            <w:vMerge w:val="continue"/>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2"/>
                <w:szCs w:val="22"/>
                <w:highlight w:val="none"/>
                <w:u w:val="none"/>
              </w:rPr>
            </w:pPr>
          </w:p>
        </w:tc>
        <w:tc>
          <w:tcPr>
            <w:tcW w:w="1347" w:type="dxa"/>
            <w:vMerge w:val="continue"/>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2"/>
                <w:szCs w:val="22"/>
                <w:highlight w:val="none"/>
                <w:u w:val="none"/>
              </w:rPr>
            </w:pPr>
          </w:p>
        </w:tc>
        <w:tc>
          <w:tcPr>
            <w:tcW w:w="3601" w:type="dxa"/>
            <w:vMerge w:val="continue"/>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2"/>
                <w:szCs w:val="22"/>
                <w:highlight w:val="none"/>
                <w:u w:val="none"/>
              </w:rPr>
            </w:pPr>
          </w:p>
        </w:tc>
        <w:tc>
          <w:tcPr>
            <w:tcW w:w="462" w:type="dxa"/>
            <w:vMerge w:val="continue"/>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2"/>
                <w:szCs w:val="22"/>
                <w:highlight w:val="none"/>
                <w:u w:val="none"/>
              </w:rPr>
            </w:pPr>
          </w:p>
        </w:tc>
        <w:tc>
          <w:tcPr>
            <w:tcW w:w="1121" w:type="dxa"/>
            <w:vMerge w:val="continue"/>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2"/>
                <w:szCs w:val="22"/>
                <w:highlight w:val="none"/>
                <w:u w:val="none"/>
              </w:rPr>
            </w:pPr>
          </w:p>
        </w:tc>
        <w:tc>
          <w:tcPr>
            <w:tcW w:w="1339" w:type="dxa"/>
            <w:vMerge w:val="continue"/>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2"/>
                <w:szCs w:val="22"/>
                <w:highlight w:val="none"/>
                <w:u w:val="none"/>
              </w:rPr>
            </w:pPr>
          </w:p>
        </w:tc>
        <w:tc>
          <w:tcPr>
            <w:tcW w:w="1011" w:type="dxa"/>
            <w:vMerge w:val="continue"/>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2"/>
                <w:szCs w:val="22"/>
                <w:highlight w:val="none"/>
                <w:u w:val="none"/>
              </w:rPr>
            </w:pPr>
          </w:p>
        </w:tc>
        <w:tc>
          <w:tcPr>
            <w:tcW w:w="1234" w:type="dxa"/>
            <w:vMerge w:val="continue"/>
            <w:tcBorders>
              <w:top w:val="nil"/>
              <w:left w:val="nil"/>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493"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462"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2"/>
                <w:szCs w:val="22"/>
                <w:highlight w:val="none"/>
                <w:u w:val="none"/>
              </w:rPr>
            </w:pPr>
          </w:p>
        </w:tc>
        <w:tc>
          <w:tcPr>
            <w:tcW w:w="1347"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3601"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462"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auto"/>
                <w:sz w:val="22"/>
                <w:szCs w:val="22"/>
                <w:highlight w:val="none"/>
                <w:u w:val="none"/>
              </w:rPr>
            </w:pPr>
          </w:p>
        </w:tc>
        <w:tc>
          <w:tcPr>
            <w:tcW w:w="1121"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339"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011"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234"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493"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一、一般公共预算财政拨款</w:t>
            </w:r>
          </w:p>
        </w:tc>
        <w:tc>
          <w:tcPr>
            <w:tcW w:w="46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347"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1.54</w:t>
            </w:r>
          </w:p>
        </w:tc>
        <w:tc>
          <w:tcPr>
            <w:tcW w:w="3601"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一、一般公共服务支出</w:t>
            </w:r>
          </w:p>
        </w:tc>
        <w:tc>
          <w:tcPr>
            <w:tcW w:w="46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33</w:t>
            </w:r>
          </w:p>
        </w:tc>
        <w:tc>
          <w:tcPr>
            <w:tcW w:w="1121"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c>
          <w:tcPr>
            <w:tcW w:w="1339"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c>
          <w:tcPr>
            <w:tcW w:w="1011"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c>
          <w:tcPr>
            <w:tcW w:w="1234"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493"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二、政府性基金预算财政拨款</w:t>
            </w:r>
          </w:p>
        </w:tc>
        <w:tc>
          <w:tcPr>
            <w:tcW w:w="46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347"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c>
          <w:tcPr>
            <w:tcW w:w="3601"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二、外交支出</w:t>
            </w:r>
          </w:p>
        </w:tc>
        <w:tc>
          <w:tcPr>
            <w:tcW w:w="46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w:t>
            </w:r>
          </w:p>
        </w:tc>
        <w:tc>
          <w:tcPr>
            <w:tcW w:w="1121"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c>
          <w:tcPr>
            <w:tcW w:w="1339"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c>
          <w:tcPr>
            <w:tcW w:w="1011"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c>
          <w:tcPr>
            <w:tcW w:w="1234"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493"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三、国有资本经营财政拨款</w:t>
            </w:r>
          </w:p>
        </w:tc>
        <w:tc>
          <w:tcPr>
            <w:tcW w:w="46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347"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c>
          <w:tcPr>
            <w:tcW w:w="3601"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三、国防支出</w:t>
            </w:r>
          </w:p>
        </w:tc>
        <w:tc>
          <w:tcPr>
            <w:tcW w:w="46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35</w:t>
            </w:r>
          </w:p>
        </w:tc>
        <w:tc>
          <w:tcPr>
            <w:tcW w:w="1121"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c>
          <w:tcPr>
            <w:tcW w:w="1339"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c>
          <w:tcPr>
            <w:tcW w:w="1011"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c>
          <w:tcPr>
            <w:tcW w:w="1234"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493"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sz w:val="22"/>
                <w:szCs w:val="22"/>
                <w:highlight w:val="none"/>
                <w:u w:val="none"/>
              </w:rPr>
            </w:pPr>
          </w:p>
        </w:tc>
        <w:tc>
          <w:tcPr>
            <w:tcW w:w="46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347"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c>
          <w:tcPr>
            <w:tcW w:w="3601"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四、公共安全支出</w:t>
            </w:r>
          </w:p>
        </w:tc>
        <w:tc>
          <w:tcPr>
            <w:tcW w:w="46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36</w:t>
            </w:r>
          </w:p>
        </w:tc>
        <w:tc>
          <w:tcPr>
            <w:tcW w:w="1121"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c>
          <w:tcPr>
            <w:tcW w:w="1339"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c>
          <w:tcPr>
            <w:tcW w:w="1011"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c>
          <w:tcPr>
            <w:tcW w:w="1234"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493"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sz w:val="22"/>
                <w:szCs w:val="22"/>
                <w:highlight w:val="none"/>
                <w:u w:val="none"/>
              </w:rPr>
            </w:pPr>
          </w:p>
        </w:tc>
        <w:tc>
          <w:tcPr>
            <w:tcW w:w="46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1347"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c>
          <w:tcPr>
            <w:tcW w:w="3601"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五、教育支出</w:t>
            </w:r>
          </w:p>
        </w:tc>
        <w:tc>
          <w:tcPr>
            <w:tcW w:w="46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37</w:t>
            </w:r>
          </w:p>
        </w:tc>
        <w:tc>
          <w:tcPr>
            <w:tcW w:w="1121"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c>
          <w:tcPr>
            <w:tcW w:w="1339"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c>
          <w:tcPr>
            <w:tcW w:w="1011"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c>
          <w:tcPr>
            <w:tcW w:w="1234"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493"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sz w:val="22"/>
                <w:szCs w:val="22"/>
                <w:highlight w:val="none"/>
                <w:u w:val="none"/>
              </w:rPr>
            </w:pPr>
          </w:p>
        </w:tc>
        <w:tc>
          <w:tcPr>
            <w:tcW w:w="46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1347"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c>
          <w:tcPr>
            <w:tcW w:w="3601"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六、科学技术支出</w:t>
            </w:r>
          </w:p>
        </w:tc>
        <w:tc>
          <w:tcPr>
            <w:tcW w:w="46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w:t>
            </w:r>
          </w:p>
        </w:tc>
        <w:tc>
          <w:tcPr>
            <w:tcW w:w="1121"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c>
          <w:tcPr>
            <w:tcW w:w="1339"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c>
          <w:tcPr>
            <w:tcW w:w="1011"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c>
          <w:tcPr>
            <w:tcW w:w="1234"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493"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sz w:val="22"/>
                <w:szCs w:val="22"/>
                <w:highlight w:val="none"/>
                <w:u w:val="none"/>
              </w:rPr>
            </w:pPr>
          </w:p>
        </w:tc>
        <w:tc>
          <w:tcPr>
            <w:tcW w:w="46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1347"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c>
          <w:tcPr>
            <w:tcW w:w="3601"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七、文化旅游体育与传媒支出</w:t>
            </w:r>
          </w:p>
        </w:tc>
        <w:tc>
          <w:tcPr>
            <w:tcW w:w="46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w:t>
            </w:r>
          </w:p>
        </w:tc>
        <w:tc>
          <w:tcPr>
            <w:tcW w:w="1121"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c>
          <w:tcPr>
            <w:tcW w:w="1339"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c>
          <w:tcPr>
            <w:tcW w:w="1011"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c>
          <w:tcPr>
            <w:tcW w:w="1234"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493"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sz w:val="22"/>
                <w:szCs w:val="22"/>
                <w:highlight w:val="none"/>
                <w:u w:val="none"/>
              </w:rPr>
            </w:pPr>
          </w:p>
        </w:tc>
        <w:tc>
          <w:tcPr>
            <w:tcW w:w="46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w:t>
            </w:r>
          </w:p>
        </w:tc>
        <w:tc>
          <w:tcPr>
            <w:tcW w:w="1347"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c>
          <w:tcPr>
            <w:tcW w:w="3601"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八、社会保障和就业支出</w:t>
            </w:r>
          </w:p>
        </w:tc>
        <w:tc>
          <w:tcPr>
            <w:tcW w:w="46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w:t>
            </w:r>
          </w:p>
        </w:tc>
        <w:tc>
          <w:tcPr>
            <w:tcW w:w="1121"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c>
          <w:tcPr>
            <w:tcW w:w="1339"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c>
          <w:tcPr>
            <w:tcW w:w="1011"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c>
          <w:tcPr>
            <w:tcW w:w="1234"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493"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sz w:val="22"/>
                <w:szCs w:val="22"/>
                <w:highlight w:val="none"/>
                <w:u w:val="none"/>
              </w:rPr>
            </w:pPr>
          </w:p>
        </w:tc>
        <w:tc>
          <w:tcPr>
            <w:tcW w:w="46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w:t>
            </w:r>
          </w:p>
        </w:tc>
        <w:tc>
          <w:tcPr>
            <w:tcW w:w="1347"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c>
          <w:tcPr>
            <w:tcW w:w="3601"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九、卫生健康支出</w:t>
            </w:r>
          </w:p>
        </w:tc>
        <w:tc>
          <w:tcPr>
            <w:tcW w:w="46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41</w:t>
            </w:r>
          </w:p>
        </w:tc>
        <w:tc>
          <w:tcPr>
            <w:tcW w:w="1121"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c>
          <w:tcPr>
            <w:tcW w:w="1339"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c>
          <w:tcPr>
            <w:tcW w:w="1011"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c>
          <w:tcPr>
            <w:tcW w:w="1234"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493"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sz w:val="22"/>
                <w:szCs w:val="22"/>
                <w:highlight w:val="none"/>
                <w:u w:val="none"/>
              </w:rPr>
            </w:pPr>
          </w:p>
        </w:tc>
        <w:tc>
          <w:tcPr>
            <w:tcW w:w="46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1347"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c>
          <w:tcPr>
            <w:tcW w:w="3601"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十、节能环保支出</w:t>
            </w:r>
          </w:p>
        </w:tc>
        <w:tc>
          <w:tcPr>
            <w:tcW w:w="46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42</w:t>
            </w:r>
          </w:p>
        </w:tc>
        <w:tc>
          <w:tcPr>
            <w:tcW w:w="1121"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c>
          <w:tcPr>
            <w:tcW w:w="1339"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c>
          <w:tcPr>
            <w:tcW w:w="1011"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c>
          <w:tcPr>
            <w:tcW w:w="1234"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493"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sz w:val="22"/>
                <w:szCs w:val="22"/>
                <w:highlight w:val="none"/>
                <w:u w:val="none"/>
              </w:rPr>
            </w:pPr>
          </w:p>
        </w:tc>
        <w:tc>
          <w:tcPr>
            <w:tcW w:w="46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w:t>
            </w:r>
          </w:p>
        </w:tc>
        <w:tc>
          <w:tcPr>
            <w:tcW w:w="1347"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c>
          <w:tcPr>
            <w:tcW w:w="3601"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十一、城乡社区支出</w:t>
            </w:r>
          </w:p>
        </w:tc>
        <w:tc>
          <w:tcPr>
            <w:tcW w:w="46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43</w:t>
            </w:r>
          </w:p>
        </w:tc>
        <w:tc>
          <w:tcPr>
            <w:tcW w:w="1121"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c>
          <w:tcPr>
            <w:tcW w:w="1339"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c>
          <w:tcPr>
            <w:tcW w:w="1011"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c>
          <w:tcPr>
            <w:tcW w:w="1234"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493"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sz w:val="22"/>
                <w:szCs w:val="22"/>
                <w:highlight w:val="none"/>
                <w:u w:val="none"/>
              </w:rPr>
            </w:pPr>
          </w:p>
        </w:tc>
        <w:tc>
          <w:tcPr>
            <w:tcW w:w="46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w:t>
            </w:r>
          </w:p>
        </w:tc>
        <w:tc>
          <w:tcPr>
            <w:tcW w:w="1347"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c>
          <w:tcPr>
            <w:tcW w:w="3601"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十二、农林水支出</w:t>
            </w:r>
          </w:p>
        </w:tc>
        <w:tc>
          <w:tcPr>
            <w:tcW w:w="46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44</w:t>
            </w:r>
          </w:p>
        </w:tc>
        <w:tc>
          <w:tcPr>
            <w:tcW w:w="1121"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c>
          <w:tcPr>
            <w:tcW w:w="1339"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c>
          <w:tcPr>
            <w:tcW w:w="1011"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c>
          <w:tcPr>
            <w:tcW w:w="1234"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493"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sz w:val="22"/>
                <w:szCs w:val="22"/>
                <w:highlight w:val="none"/>
                <w:u w:val="none"/>
              </w:rPr>
            </w:pPr>
          </w:p>
        </w:tc>
        <w:tc>
          <w:tcPr>
            <w:tcW w:w="46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13</w:t>
            </w:r>
          </w:p>
        </w:tc>
        <w:tc>
          <w:tcPr>
            <w:tcW w:w="1347"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c>
          <w:tcPr>
            <w:tcW w:w="3601"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十三、交通运输支出</w:t>
            </w:r>
          </w:p>
        </w:tc>
        <w:tc>
          <w:tcPr>
            <w:tcW w:w="46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45</w:t>
            </w:r>
          </w:p>
        </w:tc>
        <w:tc>
          <w:tcPr>
            <w:tcW w:w="1121"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1,263.59</w:t>
            </w:r>
          </w:p>
        </w:tc>
        <w:tc>
          <w:tcPr>
            <w:tcW w:w="1339"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1,263.59</w:t>
            </w:r>
          </w:p>
        </w:tc>
        <w:tc>
          <w:tcPr>
            <w:tcW w:w="1011"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c>
          <w:tcPr>
            <w:tcW w:w="1234"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493"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sz w:val="22"/>
                <w:szCs w:val="22"/>
                <w:highlight w:val="none"/>
                <w:u w:val="none"/>
              </w:rPr>
            </w:pPr>
          </w:p>
        </w:tc>
        <w:tc>
          <w:tcPr>
            <w:tcW w:w="46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w:t>
            </w:r>
          </w:p>
        </w:tc>
        <w:tc>
          <w:tcPr>
            <w:tcW w:w="1347"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c>
          <w:tcPr>
            <w:tcW w:w="3601"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十四、资源勘探工业信息等支出</w:t>
            </w:r>
          </w:p>
        </w:tc>
        <w:tc>
          <w:tcPr>
            <w:tcW w:w="46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46</w:t>
            </w:r>
          </w:p>
        </w:tc>
        <w:tc>
          <w:tcPr>
            <w:tcW w:w="1121"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c>
          <w:tcPr>
            <w:tcW w:w="1339"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c>
          <w:tcPr>
            <w:tcW w:w="1011"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c>
          <w:tcPr>
            <w:tcW w:w="1234"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493"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sz w:val="22"/>
                <w:szCs w:val="22"/>
                <w:highlight w:val="none"/>
                <w:u w:val="none"/>
              </w:rPr>
            </w:pPr>
          </w:p>
        </w:tc>
        <w:tc>
          <w:tcPr>
            <w:tcW w:w="46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w:t>
            </w:r>
          </w:p>
        </w:tc>
        <w:tc>
          <w:tcPr>
            <w:tcW w:w="1347"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c>
          <w:tcPr>
            <w:tcW w:w="3601"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十五、商业服务业等支出</w:t>
            </w:r>
          </w:p>
        </w:tc>
        <w:tc>
          <w:tcPr>
            <w:tcW w:w="46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47</w:t>
            </w:r>
          </w:p>
        </w:tc>
        <w:tc>
          <w:tcPr>
            <w:tcW w:w="1121"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c>
          <w:tcPr>
            <w:tcW w:w="1339"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c>
          <w:tcPr>
            <w:tcW w:w="1011"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c>
          <w:tcPr>
            <w:tcW w:w="1234"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493"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sz w:val="22"/>
                <w:szCs w:val="22"/>
                <w:highlight w:val="none"/>
                <w:u w:val="none"/>
              </w:rPr>
            </w:pPr>
          </w:p>
        </w:tc>
        <w:tc>
          <w:tcPr>
            <w:tcW w:w="46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16</w:t>
            </w:r>
          </w:p>
        </w:tc>
        <w:tc>
          <w:tcPr>
            <w:tcW w:w="1347"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c>
          <w:tcPr>
            <w:tcW w:w="3601"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十六、金融支出</w:t>
            </w:r>
          </w:p>
        </w:tc>
        <w:tc>
          <w:tcPr>
            <w:tcW w:w="46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48</w:t>
            </w:r>
          </w:p>
        </w:tc>
        <w:tc>
          <w:tcPr>
            <w:tcW w:w="1121"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c>
          <w:tcPr>
            <w:tcW w:w="1339"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c>
          <w:tcPr>
            <w:tcW w:w="1011"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c>
          <w:tcPr>
            <w:tcW w:w="1234"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493"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sz w:val="22"/>
                <w:szCs w:val="22"/>
                <w:highlight w:val="none"/>
                <w:u w:val="none"/>
              </w:rPr>
            </w:pPr>
          </w:p>
        </w:tc>
        <w:tc>
          <w:tcPr>
            <w:tcW w:w="46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17</w:t>
            </w:r>
          </w:p>
        </w:tc>
        <w:tc>
          <w:tcPr>
            <w:tcW w:w="1347"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c>
          <w:tcPr>
            <w:tcW w:w="3601"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十七、援助其他地区支出</w:t>
            </w:r>
          </w:p>
        </w:tc>
        <w:tc>
          <w:tcPr>
            <w:tcW w:w="46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49</w:t>
            </w:r>
          </w:p>
        </w:tc>
        <w:tc>
          <w:tcPr>
            <w:tcW w:w="1121"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c>
          <w:tcPr>
            <w:tcW w:w="1339"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c>
          <w:tcPr>
            <w:tcW w:w="1011"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c>
          <w:tcPr>
            <w:tcW w:w="1234"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493"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sz w:val="22"/>
                <w:szCs w:val="22"/>
                <w:highlight w:val="none"/>
                <w:u w:val="none"/>
              </w:rPr>
            </w:pPr>
          </w:p>
        </w:tc>
        <w:tc>
          <w:tcPr>
            <w:tcW w:w="46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18</w:t>
            </w:r>
          </w:p>
        </w:tc>
        <w:tc>
          <w:tcPr>
            <w:tcW w:w="1347"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c>
          <w:tcPr>
            <w:tcW w:w="3601"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十八、自然资源海洋气象等支出</w:t>
            </w:r>
          </w:p>
        </w:tc>
        <w:tc>
          <w:tcPr>
            <w:tcW w:w="46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w:t>
            </w:r>
          </w:p>
        </w:tc>
        <w:tc>
          <w:tcPr>
            <w:tcW w:w="1121"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c>
          <w:tcPr>
            <w:tcW w:w="1339"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c>
          <w:tcPr>
            <w:tcW w:w="1011"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c>
          <w:tcPr>
            <w:tcW w:w="1234"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493"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sz w:val="22"/>
                <w:szCs w:val="22"/>
                <w:highlight w:val="none"/>
                <w:u w:val="none"/>
              </w:rPr>
            </w:pPr>
          </w:p>
        </w:tc>
        <w:tc>
          <w:tcPr>
            <w:tcW w:w="46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19</w:t>
            </w:r>
          </w:p>
        </w:tc>
        <w:tc>
          <w:tcPr>
            <w:tcW w:w="1347"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c>
          <w:tcPr>
            <w:tcW w:w="3601"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十九、住房保障支出</w:t>
            </w:r>
          </w:p>
        </w:tc>
        <w:tc>
          <w:tcPr>
            <w:tcW w:w="46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51</w:t>
            </w:r>
          </w:p>
        </w:tc>
        <w:tc>
          <w:tcPr>
            <w:tcW w:w="1121"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c>
          <w:tcPr>
            <w:tcW w:w="1339"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c>
          <w:tcPr>
            <w:tcW w:w="1011"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c>
          <w:tcPr>
            <w:tcW w:w="1234"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493"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sz w:val="22"/>
                <w:szCs w:val="22"/>
                <w:highlight w:val="none"/>
                <w:u w:val="none"/>
              </w:rPr>
            </w:pPr>
          </w:p>
        </w:tc>
        <w:tc>
          <w:tcPr>
            <w:tcW w:w="46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20</w:t>
            </w:r>
          </w:p>
        </w:tc>
        <w:tc>
          <w:tcPr>
            <w:tcW w:w="1347"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c>
          <w:tcPr>
            <w:tcW w:w="3601"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二十、粮油物资储备支出</w:t>
            </w:r>
          </w:p>
        </w:tc>
        <w:tc>
          <w:tcPr>
            <w:tcW w:w="46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52</w:t>
            </w:r>
          </w:p>
        </w:tc>
        <w:tc>
          <w:tcPr>
            <w:tcW w:w="1121"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c>
          <w:tcPr>
            <w:tcW w:w="1339"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c>
          <w:tcPr>
            <w:tcW w:w="1011"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c>
          <w:tcPr>
            <w:tcW w:w="1234"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493"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sz w:val="22"/>
                <w:szCs w:val="22"/>
                <w:highlight w:val="none"/>
                <w:u w:val="none"/>
              </w:rPr>
            </w:pPr>
          </w:p>
        </w:tc>
        <w:tc>
          <w:tcPr>
            <w:tcW w:w="46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w:t>
            </w:r>
          </w:p>
        </w:tc>
        <w:tc>
          <w:tcPr>
            <w:tcW w:w="1347"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c>
          <w:tcPr>
            <w:tcW w:w="3601"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二十一、国有资本经营预算支出</w:t>
            </w:r>
          </w:p>
        </w:tc>
        <w:tc>
          <w:tcPr>
            <w:tcW w:w="46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53</w:t>
            </w:r>
          </w:p>
        </w:tc>
        <w:tc>
          <w:tcPr>
            <w:tcW w:w="1121"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c>
          <w:tcPr>
            <w:tcW w:w="1339"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c>
          <w:tcPr>
            <w:tcW w:w="1011"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c>
          <w:tcPr>
            <w:tcW w:w="1234"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493"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sz w:val="22"/>
                <w:szCs w:val="22"/>
                <w:highlight w:val="none"/>
                <w:u w:val="none"/>
              </w:rPr>
            </w:pPr>
          </w:p>
        </w:tc>
        <w:tc>
          <w:tcPr>
            <w:tcW w:w="46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22</w:t>
            </w:r>
          </w:p>
        </w:tc>
        <w:tc>
          <w:tcPr>
            <w:tcW w:w="1347"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c>
          <w:tcPr>
            <w:tcW w:w="3601"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二十二、灾害防治及应急管理支出</w:t>
            </w:r>
          </w:p>
        </w:tc>
        <w:tc>
          <w:tcPr>
            <w:tcW w:w="46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54</w:t>
            </w:r>
          </w:p>
        </w:tc>
        <w:tc>
          <w:tcPr>
            <w:tcW w:w="1121"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c>
          <w:tcPr>
            <w:tcW w:w="1339"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c>
          <w:tcPr>
            <w:tcW w:w="1011"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c>
          <w:tcPr>
            <w:tcW w:w="1234"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493"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sz w:val="22"/>
                <w:szCs w:val="22"/>
                <w:highlight w:val="none"/>
                <w:u w:val="none"/>
              </w:rPr>
            </w:pPr>
          </w:p>
        </w:tc>
        <w:tc>
          <w:tcPr>
            <w:tcW w:w="46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w:t>
            </w:r>
          </w:p>
        </w:tc>
        <w:tc>
          <w:tcPr>
            <w:tcW w:w="1347"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c>
          <w:tcPr>
            <w:tcW w:w="3601"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二十三、其他支出</w:t>
            </w:r>
          </w:p>
        </w:tc>
        <w:tc>
          <w:tcPr>
            <w:tcW w:w="46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55</w:t>
            </w:r>
          </w:p>
        </w:tc>
        <w:tc>
          <w:tcPr>
            <w:tcW w:w="1121"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c>
          <w:tcPr>
            <w:tcW w:w="1339"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c>
          <w:tcPr>
            <w:tcW w:w="1011"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c>
          <w:tcPr>
            <w:tcW w:w="1234"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493"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bCs/>
                <w:i w:val="0"/>
                <w:iCs w:val="0"/>
                <w:color w:val="auto"/>
                <w:sz w:val="22"/>
                <w:szCs w:val="22"/>
                <w:highlight w:val="none"/>
                <w:u w:val="none"/>
              </w:rPr>
            </w:pPr>
          </w:p>
        </w:tc>
        <w:tc>
          <w:tcPr>
            <w:tcW w:w="46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24</w:t>
            </w:r>
          </w:p>
        </w:tc>
        <w:tc>
          <w:tcPr>
            <w:tcW w:w="1347"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c>
          <w:tcPr>
            <w:tcW w:w="3601"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二十四、债务还本支出</w:t>
            </w:r>
          </w:p>
        </w:tc>
        <w:tc>
          <w:tcPr>
            <w:tcW w:w="46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56</w:t>
            </w:r>
          </w:p>
        </w:tc>
        <w:tc>
          <w:tcPr>
            <w:tcW w:w="1121"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c>
          <w:tcPr>
            <w:tcW w:w="1339"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c>
          <w:tcPr>
            <w:tcW w:w="1011"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c>
          <w:tcPr>
            <w:tcW w:w="1234"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493"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sz w:val="22"/>
                <w:szCs w:val="22"/>
                <w:highlight w:val="none"/>
                <w:u w:val="none"/>
              </w:rPr>
            </w:pPr>
          </w:p>
        </w:tc>
        <w:tc>
          <w:tcPr>
            <w:tcW w:w="46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25</w:t>
            </w:r>
          </w:p>
        </w:tc>
        <w:tc>
          <w:tcPr>
            <w:tcW w:w="1347"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c>
          <w:tcPr>
            <w:tcW w:w="3601"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二十五、债务付息支出</w:t>
            </w:r>
          </w:p>
        </w:tc>
        <w:tc>
          <w:tcPr>
            <w:tcW w:w="46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57</w:t>
            </w:r>
          </w:p>
        </w:tc>
        <w:tc>
          <w:tcPr>
            <w:tcW w:w="1121"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c>
          <w:tcPr>
            <w:tcW w:w="1339"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c>
          <w:tcPr>
            <w:tcW w:w="1011"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c>
          <w:tcPr>
            <w:tcW w:w="1234"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493"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sz w:val="22"/>
                <w:szCs w:val="22"/>
                <w:highlight w:val="none"/>
                <w:u w:val="none"/>
              </w:rPr>
            </w:pPr>
          </w:p>
        </w:tc>
        <w:tc>
          <w:tcPr>
            <w:tcW w:w="46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26</w:t>
            </w:r>
          </w:p>
        </w:tc>
        <w:tc>
          <w:tcPr>
            <w:tcW w:w="1347"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c>
          <w:tcPr>
            <w:tcW w:w="3601"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二十六、抗疫特别国债安排的支出</w:t>
            </w:r>
          </w:p>
        </w:tc>
        <w:tc>
          <w:tcPr>
            <w:tcW w:w="46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58</w:t>
            </w:r>
          </w:p>
        </w:tc>
        <w:tc>
          <w:tcPr>
            <w:tcW w:w="1121"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c>
          <w:tcPr>
            <w:tcW w:w="1339"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c>
          <w:tcPr>
            <w:tcW w:w="1011"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c>
          <w:tcPr>
            <w:tcW w:w="1234"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493"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本年收入合计</w:t>
            </w:r>
          </w:p>
        </w:tc>
        <w:tc>
          <w:tcPr>
            <w:tcW w:w="46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27</w:t>
            </w:r>
          </w:p>
        </w:tc>
        <w:tc>
          <w:tcPr>
            <w:tcW w:w="1347"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1.54</w:t>
            </w:r>
          </w:p>
        </w:tc>
        <w:tc>
          <w:tcPr>
            <w:tcW w:w="3601"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本年支出合计</w:t>
            </w:r>
          </w:p>
        </w:tc>
        <w:tc>
          <w:tcPr>
            <w:tcW w:w="46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59</w:t>
            </w:r>
          </w:p>
        </w:tc>
        <w:tc>
          <w:tcPr>
            <w:tcW w:w="1121"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1,263.59</w:t>
            </w:r>
          </w:p>
        </w:tc>
        <w:tc>
          <w:tcPr>
            <w:tcW w:w="1339"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1,263.59</w:t>
            </w:r>
          </w:p>
        </w:tc>
        <w:tc>
          <w:tcPr>
            <w:tcW w:w="1011"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c>
          <w:tcPr>
            <w:tcW w:w="1234"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493"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年初财政拨款结转和结余</w:t>
            </w:r>
          </w:p>
        </w:tc>
        <w:tc>
          <w:tcPr>
            <w:tcW w:w="46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28</w:t>
            </w:r>
          </w:p>
        </w:tc>
        <w:tc>
          <w:tcPr>
            <w:tcW w:w="1347"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1,262.05</w:t>
            </w:r>
          </w:p>
        </w:tc>
        <w:tc>
          <w:tcPr>
            <w:tcW w:w="3601"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年末财政拨款结转和结余</w:t>
            </w:r>
          </w:p>
        </w:tc>
        <w:tc>
          <w:tcPr>
            <w:tcW w:w="46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60</w:t>
            </w:r>
          </w:p>
        </w:tc>
        <w:tc>
          <w:tcPr>
            <w:tcW w:w="1121"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c>
          <w:tcPr>
            <w:tcW w:w="1339"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c>
          <w:tcPr>
            <w:tcW w:w="1011"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c>
          <w:tcPr>
            <w:tcW w:w="1234"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493"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一般公共预算财政拨款</w:t>
            </w:r>
          </w:p>
        </w:tc>
        <w:tc>
          <w:tcPr>
            <w:tcW w:w="46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29</w:t>
            </w:r>
          </w:p>
        </w:tc>
        <w:tc>
          <w:tcPr>
            <w:tcW w:w="1347"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1,262.05</w:t>
            </w:r>
          </w:p>
        </w:tc>
        <w:tc>
          <w:tcPr>
            <w:tcW w:w="3601"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sz w:val="20"/>
                <w:szCs w:val="20"/>
                <w:highlight w:val="none"/>
                <w:u w:val="none"/>
              </w:rPr>
            </w:pPr>
          </w:p>
        </w:tc>
        <w:tc>
          <w:tcPr>
            <w:tcW w:w="46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61</w:t>
            </w:r>
          </w:p>
        </w:tc>
        <w:tc>
          <w:tcPr>
            <w:tcW w:w="1121"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0"/>
                <w:szCs w:val="20"/>
                <w:highlight w:val="none"/>
                <w:u w:val="none"/>
              </w:rPr>
            </w:pPr>
          </w:p>
        </w:tc>
        <w:tc>
          <w:tcPr>
            <w:tcW w:w="1339"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0"/>
                <w:szCs w:val="20"/>
                <w:highlight w:val="none"/>
                <w:u w:val="none"/>
              </w:rPr>
            </w:pPr>
          </w:p>
        </w:tc>
        <w:tc>
          <w:tcPr>
            <w:tcW w:w="1011"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0"/>
                <w:szCs w:val="20"/>
                <w:highlight w:val="none"/>
                <w:u w:val="none"/>
              </w:rPr>
            </w:pPr>
          </w:p>
        </w:tc>
        <w:tc>
          <w:tcPr>
            <w:tcW w:w="1234"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493"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政府性基金预算财政拨款</w:t>
            </w:r>
          </w:p>
        </w:tc>
        <w:tc>
          <w:tcPr>
            <w:tcW w:w="46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1347"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0"/>
                <w:szCs w:val="20"/>
                <w:highlight w:val="none"/>
                <w:u w:val="none"/>
              </w:rPr>
            </w:pPr>
          </w:p>
        </w:tc>
        <w:tc>
          <w:tcPr>
            <w:tcW w:w="3601"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sz w:val="20"/>
                <w:szCs w:val="20"/>
                <w:highlight w:val="none"/>
                <w:u w:val="none"/>
              </w:rPr>
            </w:pPr>
          </w:p>
        </w:tc>
        <w:tc>
          <w:tcPr>
            <w:tcW w:w="46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62</w:t>
            </w:r>
          </w:p>
        </w:tc>
        <w:tc>
          <w:tcPr>
            <w:tcW w:w="1121"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0"/>
                <w:szCs w:val="20"/>
                <w:highlight w:val="none"/>
                <w:u w:val="none"/>
              </w:rPr>
            </w:pPr>
          </w:p>
        </w:tc>
        <w:tc>
          <w:tcPr>
            <w:tcW w:w="1339"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0"/>
                <w:szCs w:val="20"/>
                <w:highlight w:val="none"/>
                <w:u w:val="none"/>
              </w:rPr>
            </w:pPr>
          </w:p>
        </w:tc>
        <w:tc>
          <w:tcPr>
            <w:tcW w:w="1011"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0"/>
                <w:szCs w:val="20"/>
                <w:highlight w:val="none"/>
                <w:u w:val="none"/>
              </w:rPr>
            </w:pPr>
          </w:p>
        </w:tc>
        <w:tc>
          <w:tcPr>
            <w:tcW w:w="1234"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493"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  国有资本经营预算财政拨款</w:t>
            </w:r>
          </w:p>
        </w:tc>
        <w:tc>
          <w:tcPr>
            <w:tcW w:w="46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w:t>
            </w:r>
          </w:p>
        </w:tc>
        <w:tc>
          <w:tcPr>
            <w:tcW w:w="1347"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0"/>
                <w:szCs w:val="20"/>
                <w:highlight w:val="none"/>
                <w:u w:val="none"/>
              </w:rPr>
            </w:pPr>
          </w:p>
        </w:tc>
        <w:tc>
          <w:tcPr>
            <w:tcW w:w="3601"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i w:val="0"/>
                <w:iCs w:val="0"/>
                <w:color w:val="auto"/>
                <w:sz w:val="20"/>
                <w:szCs w:val="20"/>
                <w:highlight w:val="none"/>
                <w:u w:val="none"/>
              </w:rPr>
            </w:pPr>
          </w:p>
        </w:tc>
        <w:tc>
          <w:tcPr>
            <w:tcW w:w="46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63</w:t>
            </w:r>
          </w:p>
        </w:tc>
        <w:tc>
          <w:tcPr>
            <w:tcW w:w="1121"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0"/>
                <w:szCs w:val="20"/>
                <w:highlight w:val="none"/>
                <w:u w:val="none"/>
              </w:rPr>
            </w:pPr>
          </w:p>
        </w:tc>
        <w:tc>
          <w:tcPr>
            <w:tcW w:w="1339"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0"/>
                <w:szCs w:val="20"/>
                <w:highlight w:val="none"/>
                <w:u w:val="none"/>
              </w:rPr>
            </w:pPr>
          </w:p>
        </w:tc>
        <w:tc>
          <w:tcPr>
            <w:tcW w:w="1011"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0"/>
                <w:szCs w:val="20"/>
                <w:highlight w:val="none"/>
                <w:u w:val="none"/>
              </w:rPr>
            </w:pPr>
          </w:p>
        </w:tc>
        <w:tc>
          <w:tcPr>
            <w:tcW w:w="1234"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493"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总计</w:t>
            </w:r>
          </w:p>
        </w:tc>
        <w:tc>
          <w:tcPr>
            <w:tcW w:w="462" w:type="dxa"/>
            <w:tcBorders>
              <w:top w:val="nil"/>
              <w:left w:val="nil"/>
              <w:bottom w:val="single" w:color="000000" w:sz="8"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32</w:t>
            </w:r>
          </w:p>
        </w:tc>
        <w:tc>
          <w:tcPr>
            <w:tcW w:w="1347"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1,263.59</w:t>
            </w:r>
          </w:p>
        </w:tc>
        <w:tc>
          <w:tcPr>
            <w:tcW w:w="3601"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总计</w:t>
            </w:r>
          </w:p>
        </w:tc>
        <w:tc>
          <w:tcPr>
            <w:tcW w:w="462"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64</w:t>
            </w:r>
          </w:p>
        </w:tc>
        <w:tc>
          <w:tcPr>
            <w:tcW w:w="1121"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1,263.59</w:t>
            </w:r>
          </w:p>
        </w:tc>
        <w:tc>
          <w:tcPr>
            <w:tcW w:w="1339" w:type="dxa"/>
            <w:tcBorders>
              <w:top w:val="nil"/>
              <w:left w:val="nil"/>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1,263.59</w:t>
            </w:r>
          </w:p>
        </w:tc>
        <w:tc>
          <w:tcPr>
            <w:tcW w:w="1011"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0"/>
                <w:szCs w:val="20"/>
                <w:highlight w:val="none"/>
                <w:u w:val="none"/>
              </w:rPr>
            </w:pPr>
          </w:p>
        </w:tc>
        <w:tc>
          <w:tcPr>
            <w:tcW w:w="1234" w:type="dxa"/>
            <w:tcBorders>
              <w:top w:val="nil"/>
              <w:left w:val="nil"/>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right"/>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4070" w:type="dxa"/>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注：本表反映</w:t>
            </w:r>
            <w:r>
              <w:rPr>
                <w:rFonts w:hint="eastAsia" w:ascii="宋体" w:hAnsi="宋体" w:cs="宋体"/>
                <w:i w:val="0"/>
                <w:iCs w:val="0"/>
                <w:color w:val="auto"/>
                <w:kern w:val="0"/>
                <w:sz w:val="20"/>
                <w:szCs w:val="20"/>
                <w:highlight w:val="none"/>
                <w:u w:val="none"/>
                <w:lang w:val="en-US" w:eastAsia="zh-CN" w:bidi="ar"/>
              </w:rPr>
              <w:t>单位</w:t>
            </w:r>
            <w:r>
              <w:rPr>
                <w:rFonts w:hint="eastAsia" w:ascii="宋体" w:hAnsi="宋体" w:eastAsia="宋体" w:cs="宋体"/>
                <w:i w:val="0"/>
                <w:iCs w:val="0"/>
                <w:color w:val="auto"/>
                <w:kern w:val="0"/>
                <w:sz w:val="20"/>
                <w:szCs w:val="20"/>
                <w:highlight w:val="none"/>
                <w:u w:val="none"/>
                <w:lang w:val="en-US" w:eastAsia="zh-CN" w:bidi="ar"/>
              </w:rPr>
              <w:t>本年度一般公共预算财政拨款、政府性基金预算财政拨款和国有资本经营预算财政拨款的总收支和年末结转结余情况。本表金额转换为万元时，因四舍五入可能存在尾差。</w:t>
            </w:r>
          </w:p>
        </w:tc>
      </w:tr>
    </w:tbl>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黑体" w:hAnsi="宋体" w:eastAsia="黑体" w:cs="宋体"/>
          <w:color w:val="auto"/>
          <w:kern w:val="0"/>
          <w:sz w:val="28"/>
          <w:szCs w:val="28"/>
          <w:highlight w:val="none"/>
        </w:rPr>
      </w:pPr>
      <w:r>
        <w:rPr>
          <w:rFonts w:hint="eastAsia" w:ascii="宋体" w:hAnsi="宋体" w:eastAsia="宋体" w:cs="宋体"/>
          <w:color w:val="auto"/>
          <w:kern w:val="0"/>
          <w:sz w:val="20"/>
          <w:szCs w:val="20"/>
          <w:highlight w:val="none"/>
        </w:rPr>
        <w:br w:type="page"/>
      </w:r>
    </w:p>
    <w:tbl>
      <w:tblPr>
        <w:tblStyle w:val="5"/>
        <w:tblW w:w="141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147"/>
        <w:gridCol w:w="266"/>
        <w:gridCol w:w="272"/>
        <w:gridCol w:w="4269"/>
        <w:gridCol w:w="1707"/>
        <w:gridCol w:w="1120"/>
        <w:gridCol w:w="23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174" w:type="dxa"/>
            <w:gridSpan w:val="7"/>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147" w:type="dxa"/>
            <w:tcBorders>
              <w:top w:val="nil"/>
              <w:left w:val="nil"/>
              <w:bottom w:val="nil"/>
              <w:right w:val="nil"/>
            </w:tcBorders>
            <w:noWrap/>
            <w:vAlign w:val="bottom"/>
          </w:tcPr>
          <w:p>
            <w:pPr>
              <w:rPr>
                <w:rFonts w:hint="eastAsia" w:ascii="Arial" w:hAnsi="Arial" w:cs="Arial"/>
                <w:i w:val="0"/>
                <w:iCs w:val="0"/>
                <w:color w:val="auto"/>
                <w:sz w:val="18"/>
                <w:szCs w:val="18"/>
                <w:highlight w:val="none"/>
                <w:u w:val="none"/>
              </w:rPr>
            </w:pPr>
          </w:p>
        </w:tc>
        <w:tc>
          <w:tcPr>
            <w:tcW w:w="266"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272"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4269"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707"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120"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2393"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147" w:type="dxa"/>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highlight w:val="none"/>
                <w:u w:val="none"/>
              </w:rPr>
            </w:pPr>
            <w:r>
              <w:rPr>
                <w:rFonts w:hint="eastAsia" w:ascii="宋体" w:hAnsi="宋体" w:cs="宋体"/>
                <w:i w:val="0"/>
                <w:iCs w:val="0"/>
                <w:color w:val="auto"/>
                <w:kern w:val="0"/>
                <w:sz w:val="18"/>
                <w:szCs w:val="18"/>
                <w:highlight w:val="none"/>
                <w:u w:val="none"/>
                <w:lang w:val="en-US" w:eastAsia="zh-CN" w:bidi="ar"/>
              </w:rPr>
              <w:t>单位</w:t>
            </w:r>
            <w:r>
              <w:rPr>
                <w:rFonts w:hint="eastAsia" w:ascii="宋体" w:hAnsi="宋体" w:eastAsia="宋体" w:cs="宋体"/>
                <w:i w:val="0"/>
                <w:iCs w:val="0"/>
                <w:color w:val="auto"/>
                <w:kern w:val="0"/>
                <w:sz w:val="18"/>
                <w:szCs w:val="18"/>
                <w:highlight w:val="none"/>
                <w:u w:val="none"/>
                <w:lang w:val="en-US" w:eastAsia="zh-CN" w:bidi="ar"/>
              </w:rPr>
              <w:t>：许昌市交运投资有限责任公司</w:t>
            </w:r>
          </w:p>
        </w:tc>
        <w:tc>
          <w:tcPr>
            <w:tcW w:w="266"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272"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4269"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707"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120"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2393"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954"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5220"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85"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4269"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170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小计</w:t>
            </w:r>
          </w:p>
        </w:tc>
        <w:tc>
          <w:tcPr>
            <w:tcW w:w="112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基本支出</w:t>
            </w:r>
          </w:p>
        </w:tc>
        <w:tc>
          <w:tcPr>
            <w:tcW w:w="2393"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4685"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269"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70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2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39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85"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4269"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70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2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39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954"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170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1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2393"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954"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70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1,263.59</w:t>
            </w:r>
          </w:p>
        </w:tc>
        <w:tc>
          <w:tcPr>
            <w:tcW w:w="11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5.00</w:t>
            </w:r>
          </w:p>
        </w:tc>
        <w:tc>
          <w:tcPr>
            <w:tcW w:w="239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1,258.59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8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w:t>
            </w:r>
          </w:p>
        </w:tc>
        <w:tc>
          <w:tcPr>
            <w:tcW w:w="42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交通运输支出</w:t>
            </w:r>
          </w:p>
        </w:tc>
        <w:tc>
          <w:tcPr>
            <w:tcW w:w="170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1,263.59</w:t>
            </w:r>
          </w:p>
        </w:tc>
        <w:tc>
          <w:tcPr>
            <w:tcW w:w="11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5.00</w:t>
            </w:r>
          </w:p>
        </w:tc>
        <w:tc>
          <w:tcPr>
            <w:tcW w:w="239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1,258.59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8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21401</w:t>
            </w:r>
          </w:p>
        </w:tc>
        <w:tc>
          <w:tcPr>
            <w:tcW w:w="42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公路水路运输</w:t>
            </w:r>
          </w:p>
        </w:tc>
        <w:tc>
          <w:tcPr>
            <w:tcW w:w="170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553.59</w:t>
            </w:r>
          </w:p>
        </w:tc>
        <w:tc>
          <w:tcPr>
            <w:tcW w:w="11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5.00</w:t>
            </w:r>
          </w:p>
        </w:tc>
        <w:tc>
          <w:tcPr>
            <w:tcW w:w="239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548.59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8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2140101</w:t>
            </w:r>
          </w:p>
        </w:tc>
        <w:tc>
          <w:tcPr>
            <w:tcW w:w="42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行政运行</w:t>
            </w:r>
          </w:p>
        </w:tc>
        <w:tc>
          <w:tcPr>
            <w:tcW w:w="170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3.46</w:t>
            </w:r>
          </w:p>
        </w:tc>
        <w:tc>
          <w:tcPr>
            <w:tcW w:w="11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3.46</w:t>
            </w:r>
          </w:p>
        </w:tc>
        <w:tc>
          <w:tcPr>
            <w:tcW w:w="239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8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2140102</w:t>
            </w:r>
          </w:p>
        </w:tc>
        <w:tc>
          <w:tcPr>
            <w:tcW w:w="42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一般行政管理事务</w:t>
            </w:r>
          </w:p>
        </w:tc>
        <w:tc>
          <w:tcPr>
            <w:tcW w:w="170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148.59</w:t>
            </w:r>
          </w:p>
        </w:tc>
        <w:tc>
          <w:tcPr>
            <w:tcW w:w="11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39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148.59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8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2140199</w:t>
            </w:r>
          </w:p>
        </w:tc>
        <w:tc>
          <w:tcPr>
            <w:tcW w:w="42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其他公路水路运输支出</w:t>
            </w:r>
          </w:p>
        </w:tc>
        <w:tc>
          <w:tcPr>
            <w:tcW w:w="170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401.54</w:t>
            </w:r>
          </w:p>
        </w:tc>
        <w:tc>
          <w:tcPr>
            <w:tcW w:w="11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1.54</w:t>
            </w:r>
          </w:p>
        </w:tc>
        <w:tc>
          <w:tcPr>
            <w:tcW w:w="239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8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21404</w:t>
            </w:r>
          </w:p>
        </w:tc>
        <w:tc>
          <w:tcPr>
            <w:tcW w:w="42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成品油价格改革对交通运输的补贴</w:t>
            </w:r>
          </w:p>
        </w:tc>
        <w:tc>
          <w:tcPr>
            <w:tcW w:w="170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600.00</w:t>
            </w:r>
          </w:p>
        </w:tc>
        <w:tc>
          <w:tcPr>
            <w:tcW w:w="11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39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8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2140499</w:t>
            </w:r>
          </w:p>
        </w:tc>
        <w:tc>
          <w:tcPr>
            <w:tcW w:w="42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成品油价格改革补贴其他支出</w:t>
            </w:r>
          </w:p>
        </w:tc>
        <w:tc>
          <w:tcPr>
            <w:tcW w:w="170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600.00</w:t>
            </w:r>
          </w:p>
        </w:tc>
        <w:tc>
          <w:tcPr>
            <w:tcW w:w="11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39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8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21499</w:t>
            </w:r>
          </w:p>
        </w:tc>
        <w:tc>
          <w:tcPr>
            <w:tcW w:w="42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其他交通运输支出</w:t>
            </w:r>
          </w:p>
        </w:tc>
        <w:tc>
          <w:tcPr>
            <w:tcW w:w="170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110.00</w:t>
            </w:r>
          </w:p>
        </w:tc>
        <w:tc>
          <w:tcPr>
            <w:tcW w:w="11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39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85"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2149999</w:t>
            </w:r>
          </w:p>
        </w:tc>
        <w:tc>
          <w:tcPr>
            <w:tcW w:w="426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其他交通运输支出</w:t>
            </w:r>
          </w:p>
        </w:tc>
        <w:tc>
          <w:tcPr>
            <w:tcW w:w="170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110.00</w:t>
            </w:r>
          </w:p>
        </w:tc>
        <w:tc>
          <w:tcPr>
            <w:tcW w:w="11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39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85"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4269"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7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1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239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174" w:type="dxa"/>
            <w:gridSpan w:val="7"/>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本年度一般公共预算财政拨款支出情况。本套报表金额单位转换时可能存在尾数误差。</w:t>
            </w:r>
          </w:p>
        </w:tc>
      </w:tr>
    </w:tbl>
    <w:p>
      <w:pPr>
        <w:keepNext w:val="0"/>
        <w:keepLines w:val="0"/>
        <w:pageBreakBefore w:val="0"/>
        <w:widowControl/>
        <w:kinsoku/>
        <w:wordWrap/>
        <w:overflowPunct/>
        <w:topLinePunct w:val="0"/>
        <w:autoSpaceDE/>
        <w:autoSpaceDN/>
        <w:bidi w:val="0"/>
        <w:adjustRightInd/>
        <w:snapToGrid/>
        <w:spacing w:line="20" w:lineRule="exact"/>
        <w:jc w:val="left"/>
        <w:textAlignment w:val="auto"/>
        <w:rPr>
          <w:rFonts w:ascii="黑体" w:hAnsi="宋体" w:eastAsia="黑体" w:cs="宋体"/>
          <w:color w:val="auto"/>
          <w:kern w:val="0"/>
          <w:sz w:val="28"/>
          <w:szCs w:val="28"/>
          <w:highlight w:val="none"/>
        </w:rPr>
      </w:pPr>
      <w:r>
        <w:rPr>
          <w:rFonts w:ascii="黑体" w:hAnsi="宋体" w:eastAsia="黑体" w:cs="宋体"/>
          <w:color w:val="auto"/>
          <w:kern w:val="0"/>
          <w:sz w:val="28"/>
          <w:szCs w:val="28"/>
          <w:highlight w:val="none"/>
        </w:rPr>
        <w:br w:type="page"/>
      </w:r>
    </w:p>
    <w:tbl>
      <w:tblPr>
        <w:tblStyle w:val="5"/>
        <w:tblW w:w="141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63"/>
        <w:gridCol w:w="2975"/>
        <w:gridCol w:w="703"/>
        <w:gridCol w:w="1222"/>
        <w:gridCol w:w="2750"/>
        <w:gridCol w:w="1100"/>
        <w:gridCol w:w="850"/>
        <w:gridCol w:w="2875"/>
        <w:gridCol w:w="8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174"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863" w:type="dxa"/>
            <w:tcBorders>
              <w:top w:val="nil"/>
              <w:left w:val="nil"/>
              <w:bottom w:val="nil"/>
              <w:right w:val="nil"/>
            </w:tcBorders>
            <w:noWrap/>
            <w:vAlign w:val="bottom"/>
          </w:tcPr>
          <w:p>
            <w:pPr>
              <w:rPr>
                <w:rFonts w:hint="eastAsia" w:ascii="Arial" w:hAnsi="Arial" w:cs="Arial"/>
                <w:i w:val="0"/>
                <w:iCs w:val="0"/>
                <w:color w:val="auto"/>
                <w:sz w:val="20"/>
                <w:szCs w:val="20"/>
                <w:highlight w:val="none"/>
                <w:u w:val="none"/>
              </w:rPr>
            </w:pPr>
          </w:p>
        </w:tc>
        <w:tc>
          <w:tcPr>
            <w:tcW w:w="2975"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703"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222"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2750"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100"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850"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3711"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838" w:type="dxa"/>
            <w:gridSpan w:val="2"/>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r>
              <w:rPr>
                <w:rFonts w:hint="eastAsia" w:ascii="宋体" w:hAnsi="宋体" w:cs="宋体"/>
                <w:i w:val="0"/>
                <w:iCs w:val="0"/>
                <w:color w:val="auto"/>
                <w:kern w:val="0"/>
                <w:sz w:val="18"/>
                <w:szCs w:val="18"/>
                <w:highlight w:val="none"/>
                <w:u w:val="none"/>
                <w:lang w:val="en-US" w:eastAsia="zh-CN" w:bidi="ar"/>
              </w:rPr>
              <w:t>单位</w:t>
            </w:r>
            <w:r>
              <w:rPr>
                <w:rFonts w:hint="eastAsia" w:ascii="宋体" w:hAnsi="宋体" w:eastAsia="宋体" w:cs="宋体"/>
                <w:i w:val="0"/>
                <w:iCs w:val="0"/>
                <w:color w:val="auto"/>
                <w:kern w:val="0"/>
                <w:sz w:val="18"/>
                <w:szCs w:val="18"/>
                <w:highlight w:val="none"/>
                <w:u w:val="none"/>
                <w:lang w:val="en-US" w:eastAsia="zh-CN" w:bidi="ar"/>
              </w:rPr>
              <w:t>：许昌市交运投资有限责任公司</w:t>
            </w:r>
          </w:p>
        </w:tc>
        <w:tc>
          <w:tcPr>
            <w:tcW w:w="703"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222"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2750"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100"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850"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3711"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41"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人员经费</w:t>
            </w:r>
          </w:p>
        </w:tc>
        <w:tc>
          <w:tcPr>
            <w:tcW w:w="9633" w:type="dxa"/>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3"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科目编码</w:t>
            </w:r>
          </w:p>
        </w:tc>
        <w:tc>
          <w:tcPr>
            <w:tcW w:w="297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703"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c>
          <w:tcPr>
            <w:tcW w:w="122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科目编码</w:t>
            </w:r>
          </w:p>
        </w:tc>
        <w:tc>
          <w:tcPr>
            <w:tcW w:w="275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110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c>
          <w:tcPr>
            <w:tcW w:w="85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科目编码</w:t>
            </w:r>
          </w:p>
        </w:tc>
        <w:tc>
          <w:tcPr>
            <w:tcW w:w="287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83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3"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97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703"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22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75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0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85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87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83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w:t>
            </w:r>
          </w:p>
        </w:tc>
        <w:tc>
          <w:tcPr>
            <w:tcW w:w="29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工资福利支出</w:t>
            </w:r>
          </w:p>
        </w:tc>
        <w:tc>
          <w:tcPr>
            <w:tcW w:w="70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3.89</w:t>
            </w:r>
          </w:p>
        </w:tc>
        <w:tc>
          <w:tcPr>
            <w:tcW w:w="122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w:t>
            </w:r>
          </w:p>
        </w:tc>
        <w:tc>
          <w:tcPr>
            <w:tcW w:w="27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商品和服务支出</w:t>
            </w:r>
          </w:p>
        </w:tc>
        <w:tc>
          <w:tcPr>
            <w:tcW w:w="11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1.11</w:t>
            </w:r>
          </w:p>
        </w:tc>
        <w:tc>
          <w:tcPr>
            <w:tcW w:w="8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307</w:t>
            </w:r>
          </w:p>
        </w:tc>
        <w:tc>
          <w:tcPr>
            <w:tcW w:w="28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债务利息及费用支出</w:t>
            </w:r>
          </w:p>
        </w:tc>
        <w:tc>
          <w:tcPr>
            <w:tcW w:w="8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30101</w:t>
            </w:r>
          </w:p>
        </w:tc>
        <w:tc>
          <w:tcPr>
            <w:tcW w:w="29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基本工资</w:t>
            </w:r>
          </w:p>
        </w:tc>
        <w:tc>
          <w:tcPr>
            <w:tcW w:w="7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2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30201</w:t>
            </w:r>
          </w:p>
        </w:tc>
        <w:tc>
          <w:tcPr>
            <w:tcW w:w="27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办公费</w:t>
            </w:r>
          </w:p>
        </w:tc>
        <w:tc>
          <w:tcPr>
            <w:tcW w:w="11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0.54</w:t>
            </w:r>
          </w:p>
        </w:tc>
        <w:tc>
          <w:tcPr>
            <w:tcW w:w="8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30701</w:t>
            </w:r>
          </w:p>
        </w:tc>
        <w:tc>
          <w:tcPr>
            <w:tcW w:w="28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国内债务付息</w:t>
            </w:r>
          </w:p>
        </w:tc>
        <w:tc>
          <w:tcPr>
            <w:tcW w:w="8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30102</w:t>
            </w:r>
          </w:p>
        </w:tc>
        <w:tc>
          <w:tcPr>
            <w:tcW w:w="29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津贴补贴</w:t>
            </w:r>
          </w:p>
        </w:tc>
        <w:tc>
          <w:tcPr>
            <w:tcW w:w="70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1.54</w:t>
            </w:r>
          </w:p>
        </w:tc>
        <w:tc>
          <w:tcPr>
            <w:tcW w:w="122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30202</w:t>
            </w:r>
          </w:p>
        </w:tc>
        <w:tc>
          <w:tcPr>
            <w:tcW w:w="27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印刷费</w:t>
            </w:r>
          </w:p>
        </w:tc>
        <w:tc>
          <w:tcPr>
            <w:tcW w:w="11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30702</w:t>
            </w:r>
          </w:p>
        </w:tc>
        <w:tc>
          <w:tcPr>
            <w:tcW w:w="28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国外债务付息</w:t>
            </w:r>
          </w:p>
        </w:tc>
        <w:tc>
          <w:tcPr>
            <w:tcW w:w="8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30103</w:t>
            </w:r>
          </w:p>
        </w:tc>
        <w:tc>
          <w:tcPr>
            <w:tcW w:w="29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奖金</w:t>
            </w:r>
          </w:p>
        </w:tc>
        <w:tc>
          <w:tcPr>
            <w:tcW w:w="70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2.35</w:t>
            </w:r>
          </w:p>
        </w:tc>
        <w:tc>
          <w:tcPr>
            <w:tcW w:w="122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30203</w:t>
            </w:r>
          </w:p>
        </w:tc>
        <w:tc>
          <w:tcPr>
            <w:tcW w:w="27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咨询费</w:t>
            </w:r>
          </w:p>
        </w:tc>
        <w:tc>
          <w:tcPr>
            <w:tcW w:w="11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w:t>
            </w:r>
          </w:p>
        </w:tc>
        <w:tc>
          <w:tcPr>
            <w:tcW w:w="28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资本性支出</w:t>
            </w:r>
          </w:p>
        </w:tc>
        <w:tc>
          <w:tcPr>
            <w:tcW w:w="8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30106</w:t>
            </w:r>
          </w:p>
        </w:tc>
        <w:tc>
          <w:tcPr>
            <w:tcW w:w="29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伙食补助费</w:t>
            </w:r>
          </w:p>
        </w:tc>
        <w:tc>
          <w:tcPr>
            <w:tcW w:w="7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2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30204</w:t>
            </w:r>
          </w:p>
        </w:tc>
        <w:tc>
          <w:tcPr>
            <w:tcW w:w="27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手续费</w:t>
            </w:r>
          </w:p>
        </w:tc>
        <w:tc>
          <w:tcPr>
            <w:tcW w:w="11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31001</w:t>
            </w:r>
          </w:p>
        </w:tc>
        <w:tc>
          <w:tcPr>
            <w:tcW w:w="28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房屋建筑物购建</w:t>
            </w:r>
          </w:p>
        </w:tc>
        <w:tc>
          <w:tcPr>
            <w:tcW w:w="8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30107</w:t>
            </w:r>
          </w:p>
        </w:tc>
        <w:tc>
          <w:tcPr>
            <w:tcW w:w="29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绩效工资</w:t>
            </w:r>
          </w:p>
        </w:tc>
        <w:tc>
          <w:tcPr>
            <w:tcW w:w="7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2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30205</w:t>
            </w:r>
          </w:p>
        </w:tc>
        <w:tc>
          <w:tcPr>
            <w:tcW w:w="27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水费</w:t>
            </w:r>
          </w:p>
        </w:tc>
        <w:tc>
          <w:tcPr>
            <w:tcW w:w="11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31002</w:t>
            </w:r>
          </w:p>
        </w:tc>
        <w:tc>
          <w:tcPr>
            <w:tcW w:w="28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办公设备购置</w:t>
            </w:r>
          </w:p>
        </w:tc>
        <w:tc>
          <w:tcPr>
            <w:tcW w:w="8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30108</w:t>
            </w:r>
          </w:p>
        </w:tc>
        <w:tc>
          <w:tcPr>
            <w:tcW w:w="29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机关事业单位基本养老保险缴费</w:t>
            </w:r>
          </w:p>
        </w:tc>
        <w:tc>
          <w:tcPr>
            <w:tcW w:w="7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2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30206</w:t>
            </w:r>
          </w:p>
        </w:tc>
        <w:tc>
          <w:tcPr>
            <w:tcW w:w="27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电费</w:t>
            </w:r>
          </w:p>
        </w:tc>
        <w:tc>
          <w:tcPr>
            <w:tcW w:w="11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31003</w:t>
            </w:r>
          </w:p>
        </w:tc>
        <w:tc>
          <w:tcPr>
            <w:tcW w:w="28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专用设备购置</w:t>
            </w:r>
          </w:p>
        </w:tc>
        <w:tc>
          <w:tcPr>
            <w:tcW w:w="8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30109</w:t>
            </w:r>
          </w:p>
        </w:tc>
        <w:tc>
          <w:tcPr>
            <w:tcW w:w="29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职业年金缴费</w:t>
            </w:r>
          </w:p>
        </w:tc>
        <w:tc>
          <w:tcPr>
            <w:tcW w:w="7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2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30207</w:t>
            </w:r>
          </w:p>
        </w:tc>
        <w:tc>
          <w:tcPr>
            <w:tcW w:w="27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邮电费</w:t>
            </w:r>
          </w:p>
        </w:tc>
        <w:tc>
          <w:tcPr>
            <w:tcW w:w="11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0.10</w:t>
            </w:r>
          </w:p>
        </w:tc>
        <w:tc>
          <w:tcPr>
            <w:tcW w:w="8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31005</w:t>
            </w:r>
          </w:p>
        </w:tc>
        <w:tc>
          <w:tcPr>
            <w:tcW w:w="28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基础设施建设</w:t>
            </w:r>
          </w:p>
        </w:tc>
        <w:tc>
          <w:tcPr>
            <w:tcW w:w="8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30110</w:t>
            </w:r>
          </w:p>
        </w:tc>
        <w:tc>
          <w:tcPr>
            <w:tcW w:w="29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职工基本医疗保险缴费</w:t>
            </w:r>
          </w:p>
        </w:tc>
        <w:tc>
          <w:tcPr>
            <w:tcW w:w="7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2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30208</w:t>
            </w:r>
          </w:p>
        </w:tc>
        <w:tc>
          <w:tcPr>
            <w:tcW w:w="27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取暖费</w:t>
            </w:r>
          </w:p>
        </w:tc>
        <w:tc>
          <w:tcPr>
            <w:tcW w:w="11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31006</w:t>
            </w:r>
          </w:p>
        </w:tc>
        <w:tc>
          <w:tcPr>
            <w:tcW w:w="28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大型修缮</w:t>
            </w:r>
          </w:p>
        </w:tc>
        <w:tc>
          <w:tcPr>
            <w:tcW w:w="8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30111</w:t>
            </w:r>
          </w:p>
        </w:tc>
        <w:tc>
          <w:tcPr>
            <w:tcW w:w="29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公务员医疗补助缴费</w:t>
            </w:r>
          </w:p>
        </w:tc>
        <w:tc>
          <w:tcPr>
            <w:tcW w:w="7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2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30209</w:t>
            </w:r>
          </w:p>
        </w:tc>
        <w:tc>
          <w:tcPr>
            <w:tcW w:w="27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物业管理费</w:t>
            </w:r>
          </w:p>
        </w:tc>
        <w:tc>
          <w:tcPr>
            <w:tcW w:w="11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31007</w:t>
            </w:r>
          </w:p>
        </w:tc>
        <w:tc>
          <w:tcPr>
            <w:tcW w:w="28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信息网络及软件购置更新</w:t>
            </w:r>
          </w:p>
        </w:tc>
        <w:tc>
          <w:tcPr>
            <w:tcW w:w="8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30112</w:t>
            </w:r>
          </w:p>
        </w:tc>
        <w:tc>
          <w:tcPr>
            <w:tcW w:w="29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其他社会保障缴费</w:t>
            </w:r>
          </w:p>
        </w:tc>
        <w:tc>
          <w:tcPr>
            <w:tcW w:w="7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2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30211</w:t>
            </w:r>
          </w:p>
        </w:tc>
        <w:tc>
          <w:tcPr>
            <w:tcW w:w="27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差旅费</w:t>
            </w:r>
          </w:p>
        </w:tc>
        <w:tc>
          <w:tcPr>
            <w:tcW w:w="11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31008</w:t>
            </w:r>
          </w:p>
        </w:tc>
        <w:tc>
          <w:tcPr>
            <w:tcW w:w="28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物资储备</w:t>
            </w:r>
          </w:p>
        </w:tc>
        <w:tc>
          <w:tcPr>
            <w:tcW w:w="8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30113</w:t>
            </w:r>
          </w:p>
        </w:tc>
        <w:tc>
          <w:tcPr>
            <w:tcW w:w="29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住房公积金</w:t>
            </w:r>
          </w:p>
        </w:tc>
        <w:tc>
          <w:tcPr>
            <w:tcW w:w="7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2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30212</w:t>
            </w:r>
          </w:p>
        </w:tc>
        <w:tc>
          <w:tcPr>
            <w:tcW w:w="27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因公出国（境）费用</w:t>
            </w:r>
          </w:p>
        </w:tc>
        <w:tc>
          <w:tcPr>
            <w:tcW w:w="11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31009</w:t>
            </w:r>
          </w:p>
        </w:tc>
        <w:tc>
          <w:tcPr>
            <w:tcW w:w="28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土地补偿</w:t>
            </w:r>
          </w:p>
        </w:tc>
        <w:tc>
          <w:tcPr>
            <w:tcW w:w="8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30114</w:t>
            </w:r>
          </w:p>
        </w:tc>
        <w:tc>
          <w:tcPr>
            <w:tcW w:w="29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医疗费</w:t>
            </w:r>
          </w:p>
        </w:tc>
        <w:tc>
          <w:tcPr>
            <w:tcW w:w="7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2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30213</w:t>
            </w:r>
          </w:p>
        </w:tc>
        <w:tc>
          <w:tcPr>
            <w:tcW w:w="27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维修（护）费</w:t>
            </w:r>
          </w:p>
        </w:tc>
        <w:tc>
          <w:tcPr>
            <w:tcW w:w="11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31010</w:t>
            </w:r>
          </w:p>
        </w:tc>
        <w:tc>
          <w:tcPr>
            <w:tcW w:w="28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安置补助</w:t>
            </w:r>
          </w:p>
        </w:tc>
        <w:tc>
          <w:tcPr>
            <w:tcW w:w="8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30199</w:t>
            </w:r>
          </w:p>
        </w:tc>
        <w:tc>
          <w:tcPr>
            <w:tcW w:w="29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其他工资福利支出</w:t>
            </w:r>
          </w:p>
        </w:tc>
        <w:tc>
          <w:tcPr>
            <w:tcW w:w="7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2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30214</w:t>
            </w:r>
          </w:p>
        </w:tc>
        <w:tc>
          <w:tcPr>
            <w:tcW w:w="27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租赁费</w:t>
            </w:r>
          </w:p>
        </w:tc>
        <w:tc>
          <w:tcPr>
            <w:tcW w:w="11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31011</w:t>
            </w:r>
          </w:p>
        </w:tc>
        <w:tc>
          <w:tcPr>
            <w:tcW w:w="28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地上附着物和青苗补偿</w:t>
            </w:r>
          </w:p>
        </w:tc>
        <w:tc>
          <w:tcPr>
            <w:tcW w:w="8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w:t>
            </w:r>
          </w:p>
        </w:tc>
        <w:tc>
          <w:tcPr>
            <w:tcW w:w="29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对个人和家庭的补助</w:t>
            </w:r>
          </w:p>
        </w:tc>
        <w:tc>
          <w:tcPr>
            <w:tcW w:w="7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2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30215</w:t>
            </w:r>
          </w:p>
        </w:tc>
        <w:tc>
          <w:tcPr>
            <w:tcW w:w="27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会议费</w:t>
            </w:r>
          </w:p>
        </w:tc>
        <w:tc>
          <w:tcPr>
            <w:tcW w:w="11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31012</w:t>
            </w:r>
          </w:p>
        </w:tc>
        <w:tc>
          <w:tcPr>
            <w:tcW w:w="28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拆迁补偿</w:t>
            </w:r>
          </w:p>
        </w:tc>
        <w:tc>
          <w:tcPr>
            <w:tcW w:w="8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30301</w:t>
            </w:r>
          </w:p>
        </w:tc>
        <w:tc>
          <w:tcPr>
            <w:tcW w:w="29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离休费</w:t>
            </w:r>
          </w:p>
        </w:tc>
        <w:tc>
          <w:tcPr>
            <w:tcW w:w="7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2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30216</w:t>
            </w:r>
          </w:p>
        </w:tc>
        <w:tc>
          <w:tcPr>
            <w:tcW w:w="27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培训费</w:t>
            </w:r>
          </w:p>
        </w:tc>
        <w:tc>
          <w:tcPr>
            <w:tcW w:w="11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31013</w:t>
            </w:r>
          </w:p>
        </w:tc>
        <w:tc>
          <w:tcPr>
            <w:tcW w:w="28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公务用车购置</w:t>
            </w:r>
          </w:p>
        </w:tc>
        <w:tc>
          <w:tcPr>
            <w:tcW w:w="8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30302</w:t>
            </w:r>
          </w:p>
        </w:tc>
        <w:tc>
          <w:tcPr>
            <w:tcW w:w="29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退休费</w:t>
            </w:r>
          </w:p>
        </w:tc>
        <w:tc>
          <w:tcPr>
            <w:tcW w:w="7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2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30217</w:t>
            </w:r>
          </w:p>
        </w:tc>
        <w:tc>
          <w:tcPr>
            <w:tcW w:w="27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公务接待费</w:t>
            </w:r>
          </w:p>
        </w:tc>
        <w:tc>
          <w:tcPr>
            <w:tcW w:w="11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31019</w:t>
            </w:r>
          </w:p>
        </w:tc>
        <w:tc>
          <w:tcPr>
            <w:tcW w:w="28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其他交通工具购置</w:t>
            </w:r>
          </w:p>
        </w:tc>
        <w:tc>
          <w:tcPr>
            <w:tcW w:w="8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30303</w:t>
            </w:r>
          </w:p>
        </w:tc>
        <w:tc>
          <w:tcPr>
            <w:tcW w:w="29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退职（役）费</w:t>
            </w:r>
          </w:p>
        </w:tc>
        <w:tc>
          <w:tcPr>
            <w:tcW w:w="7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2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30218</w:t>
            </w:r>
          </w:p>
        </w:tc>
        <w:tc>
          <w:tcPr>
            <w:tcW w:w="27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专用材料费</w:t>
            </w:r>
          </w:p>
        </w:tc>
        <w:tc>
          <w:tcPr>
            <w:tcW w:w="11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31021</w:t>
            </w:r>
          </w:p>
        </w:tc>
        <w:tc>
          <w:tcPr>
            <w:tcW w:w="28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文物和陈列品购置</w:t>
            </w:r>
          </w:p>
        </w:tc>
        <w:tc>
          <w:tcPr>
            <w:tcW w:w="8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30304</w:t>
            </w:r>
          </w:p>
        </w:tc>
        <w:tc>
          <w:tcPr>
            <w:tcW w:w="29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抚恤金</w:t>
            </w:r>
          </w:p>
        </w:tc>
        <w:tc>
          <w:tcPr>
            <w:tcW w:w="7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2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30224</w:t>
            </w:r>
          </w:p>
        </w:tc>
        <w:tc>
          <w:tcPr>
            <w:tcW w:w="27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被装购置费</w:t>
            </w:r>
          </w:p>
        </w:tc>
        <w:tc>
          <w:tcPr>
            <w:tcW w:w="11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31022</w:t>
            </w:r>
          </w:p>
        </w:tc>
        <w:tc>
          <w:tcPr>
            <w:tcW w:w="28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无形资产购置</w:t>
            </w:r>
          </w:p>
        </w:tc>
        <w:tc>
          <w:tcPr>
            <w:tcW w:w="8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30305</w:t>
            </w:r>
          </w:p>
        </w:tc>
        <w:tc>
          <w:tcPr>
            <w:tcW w:w="29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生活补助</w:t>
            </w:r>
          </w:p>
        </w:tc>
        <w:tc>
          <w:tcPr>
            <w:tcW w:w="7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2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30225</w:t>
            </w:r>
          </w:p>
        </w:tc>
        <w:tc>
          <w:tcPr>
            <w:tcW w:w="27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专用燃料费</w:t>
            </w:r>
          </w:p>
        </w:tc>
        <w:tc>
          <w:tcPr>
            <w:tcW w:w="11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31099</w:t>
            </w:r>
          </w:p>
        </w:tc>
        <w:tc>
          <w:tcPr>
            <w:tcW w:w="28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其他资本性支出</w:t>
            </w:r>
          </w:p>
        </w:tc>
        <w:tc>
          <w:tcPr>
            <w:tcW w:w="8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30306</w:t>
            </w:r>
          </w:p>
        </w:tc>
        <w:tc>
          <w:tcPr>
            <w:tcW w:w="29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救济费</w:t>
            </w:r>
          </w:p>
        </w:tc>
        <w:tc>
          <w:tcPr>
            <w:tcW w:w="7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2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30226</w:t>
            </w:r>
          </w:p>
        </w:tc>
        <w:tc>
          <w:tcPr>
            <w:tcW w:w="27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劳务费</w:t>
            </w:r>
          </w:p>
        </w:tc>
        <w:tc>
          <w:tcPr>
            <w:tcW w:w="11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w:t>
            </w:r>
          </w:p>
        </w:tc>
        <w:tc>
          <w:tcPr>
            <w:tcW w:w="28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其他支出</w:t>
            </w:r>
          </w:p>
        </w:tc>
        <w:tc>
          <w:tcPr>
            <w:tcW w:w="8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30307</w:t>
            </w:r>
          </w:p>
        </w:tc>
        <w:tc>
          <w:tcPr>
            <w:tcW w:w="29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医疗费补助</w:t>
            </w:r>
          </w:p>
        </w:tc>
        <w:tc>
          <w:tcPr>
            <w:tcW w:w="7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2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30227</w:t>
            </w:r>
          </w:p>
        </w:tc>
        <w:tc>
          <w:tcPr>
            <w:tcW w:w="27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委托业务费</w:t>
            </w:r>
          </w:p>
        </w:tc>
        <w:tc>
          <w:tcPr>
            <w:tcW w:w="11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39906</w:t>
            </w:r>
          </w:p>
        </w:tc>
        <w:tc>
          <w:tcPr>
            <w:tcW w:w="28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赠与</w:t>
            </w:r>
          </w:p>
        </w:tc>
        <w:tc>
          <w:tcPr>
            <w:tcW w:w="8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30308</w:t>
            </w:r>
          </w:p>
        </w:tc>
        <w:tc>
          <w:tcPr>
            <w:tcW w:w="29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助学金</w:t>
            </w:r>
          </w:p>
        </w:tc>
        <w:tc>
          <w:tcPr>
            <w:tcW w:w="7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2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30228</w:t>
            </w:r>
          </w:p>
        </w:tc>
        <w:tc>
          <w:tcPr>
            <w:tcW w:w="27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工会经费</w:t>
            </w:r>
          </w:p>
        </w:tc>
        <w:tc>
          <w:tcPr>
            <w:tcW w:w="11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39907</w:t>
            </w:r>
          </w:p>
        </w:tc>
        <w:tc>
          <w:tcPr>
            <w:tcW w:w="28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国家赔偿费用支出</w:t>
            </w:r>
          </w:p>
        </w:tc>
        <w:tc>
          <w:tcPr>
            <w:tcW w:w="8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30309</w:t>
            </w:r>
          </w:p>
        </w:tc>
        <w:tc>
          <w:tcPr>
            <w:tcW w:w="29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奖励金</w:t>
            </w:r>
          </w:p>
        </w:tc>
        <w:tc>
          <w:tcPr>
            <w:tcW w:w="7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2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30229</w:t>
            </w:r>
          </w:p>
        </w:tc>
        <w:tc>
          <w:tcPr>
            <w:tcW w:w="27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福利费</w:t>
            </w:r>
          </w:p>
        </w:tc>
        <w:tc>
          <w:tcPr>
            <w:tcW w:w="11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39908</w:t>
            </w:r>
          </w:p>
        </w:tc>
        <w:tc>
          <w:tcPr>
            <w:tcW w:w="28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对民间非营利组织和群众性自治组织补贴</w:t>
            </w:r>
          </w:p>
        </w:tc>
        <w:tc>
          <w:tcPr>
            <w:tcW w:w="8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30310</w:t>
            </w:r>
          </w:p>
        </w:tc>
        <w:tc>
          <w:tcPr>
            <w:tcW w:w="29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个人农业生产补贴</w:t>
            </w:r>
          </w:p>
        </w:tc>
        <w:tc>
          <w:tcPr>
            <w:tcW w:w="7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2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30231</w:t>
            </w:r>
          </w:p>
        </w:tc>
        <w:tc>
          <w:tcPr>
            <w:tcW w:w="27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公务用车运行维护费</w:t>
            </w:r>
          </w:p>
        </w:tc>
        <w:tc>
          <w:tcPr>
            <w:tcW w:w="110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0.46</w:t>
            </w:r>
          </w:p>
        </w:tc>
        <w:tc>
          <w:tcPr>
            <w:tcW w:w="8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39999</w:t>
            </w:r>
          </w:p>
        </w:tc>
        <w:tc>
          <w:tcPr>
            <w:tcW w:w="28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其他支出</w:t>
            </w:r>
          </w:p>
        </w:tc>
        <w:tc>
          <w:tcPr>
            <w:tcW w:w="8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30311</w:t>
            </w:r>
          </w:p>
        </w:tc>
        <w:tc>
          <w:tcPr>
            <w:tcW w:w="29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代缴社会保险费</w:t>
            </w:r>
          </w:p>
        </w:tc>
        <w:tc>
          <w:tcPr>
            <w:tcW w:w="7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2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30239</w:t>
            </w:r>
          </w:p>
        </w:tc>
        <w:tc>
          <w:tcPr>
            <w:tcW w:w="27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其他交通费用</w:t>
            </w:r>
          </w:p>
        </w:tc>
        <w:tc>
          <w:tcPr>
            <w:tcW w:w="11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5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87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3"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30399</w:t>
            </w:r>
          </w:p>
        </w:tc>
        <w:tc>
          <w:tcPr>
            <w:tcW w:w="2975"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其他对个人和家庭的补助</w:t>
            </w:r>
          </w:p>
        </w:tc>
        <w:tc>
          <w:tcPr>
            <w:tcW w:w="7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2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30240</w:t>
            </w:r>
          </w:p>
        </w:tc>
        <w:tc>
          <w:tcPr>
            <w:tcW w:w="27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税金及附加费用</w:t>
            </w:r>
          </w:p>
        </w:tc>
        <w:tc>
          <w:tcPr>
            <w:tcW w:w="11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5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87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63"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97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70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22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30299</w:t>
            </w:r>
          </w:p>
        </w:tc>
        <w:tc>
          <w:tcPr>
            <w:tcW w:w="275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 xml:space="preserve">  其他商品和服务支出</w:t>
            </w:r>
          </w:p>
        </w:tc>
        <w:tc>
          <w:tcPr>
            <w:tcW w:w="110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850"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2875"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83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38"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人员经费合计</w:t>
            </w:r>
          </w:p>
        </w:tc>
        <w:tc>
          <w:tcPr>
            <w:tcW w:w="703"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3.89</w:t>
            </w:r>
          </w:p>
        </w:tc>
        <w:tc>
          <w:tcPr>
            <w:tcW w:w="8797" w:type="dxa"/>
            <w:gridSpan w:val="5"/>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公用经费合计</w:t>
            </w:r>
          </w:p>
        </w:tc>
        <w:tc>
          <w:tcPr>
            <w:tcW w:w="83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174" w:type="dxa"/>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本年度一般公共预算财政拨款基本支出明细情况。本表金额转换为万元时，因四舍五入可能存在尾差。</w:t>
            </w:r>
          </w:p>
        </w:tc>
      </w:tr>
    </w:tbl>
    <w:p>
      <w:pPr>
        <w:widowControl/>
        <w:jc w:val="left"/>
        <w:rPr>
          <w:rFonts w:ascii="黑体" w:hAnsi="宋体" w:eastAsia="黑体" w:cs="宋体"/>
          <w:color w:val="auto"/>
          <w:kern w:val="0"/>
          <w:sz w:val="28"/>
          <w:szCs w:val="28"/>
          <w:highlight w:val="none"/>
        </w:rPr>
        <w:sectPr>
          <w:pgSz w:w="16838" w:h="11906" w:orient="landscape"/>
          <w:pgMar w:top="1123" w:right="1440" w:bottom="1123"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5"/>
        <w:tblW w:w="141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416"/>
        <w:gridCol w:w="1097"/>
        <w:gridCol w:w="956"/>
        <w:gridCol w:w="717"/>
        <w:gridCol w:w="958"/>
        <w:gridCol w:w="726"/>
        <w:gridCol w:w="956"/>
        <w:gridCol w:w="1097"/>
        <w:gridCol w:w="957"/>
        <w:gridCol w:w="718"/>
        <w:gridCol w:w="959"/>
        <w:gridCol w:w="16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4174" w:type="dxa"/>
            <w:gridSpan w:val="12"/>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416" w:type="dxa"/>
            <w:tcBorders>
              <w:top w:val="nil"/>
              <w:left w:val="nil"/>
              <w:bottom w:val="nil"/>
              <w:right w:val="nil"/>
            </w:tcBorders>
            <w:noWrap/>
            <w:vAlign w:val="bottom"/>
          </w:tcPr>
          <w:p>
            <w:pPr>
              <w:rPr>
                <w:rFonts w:hint="eastAsia" w:ascii="Arial" w:hAnsi="Arial" w:cs="Arial"/>
                <w:i w:val="0"/>
                <w:iCs w:val="0"/>
                <w:color w:val="auto"/>
                <w:sz w:val="18"/>
                <w:szCs w:val="18"/>
                <w:highlight w:val="none"/>
                <w:u w:val="none"/>
              </w:rPr>
            </w:pPr>
          </w:p>
        </w:tc>
        <w:tc>
          <w:tcPr>
            <w:tcW w:w="1097"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956"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717"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958"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726"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956"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097"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957"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718"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959"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617"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416" w:type="dxa"/>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highlight w:val="none"/>
                <w:u w:val="none"/>
              </w:rPr>
            </w:pPr>
            <w:r>
              <w:rPr>
                <w:rFonts w:hint="eastAsia" w:ascii="宋体" w:hAnsi="宋体" w:cs="宋体"/>
                <w:i w:val="0"/>
                <w:iCs w:val="0"/>
                <w:color w:val="auto"/>
                <w:kern w:val="0"/>
                <w:sz w:val="18"/>
                <w:szCs w:val="18"/>
                <w:highlight w:val="none"/>
                <w:u w:val="none"/>
                <w:lang w:val="en-US" w:eastAsia="zh-CN" w:bidi="ar"/>
              </w:rPr>
              <w:t>单位</w:t>
            </w:r>
            <w:r>
              <w:rPr>
                <w:rFonts w:hint="eastAsia" w:ascii="宋体" w:hAnsi="宋体" w:eastAsia="宋体" w:cs="宋体"/>
                <w:i w:val="0"/>
                <w:iCs w:val="0"/>
                <w:color w:val="auto"/>
                <w:kern w:val="0"/>
                <w:sz w:val="18"/>
                <w:szCs w:val="18"/>
                <w:highlight w:val="none"/>
                <w:u w:val="none"/>
                <w:lang w:val="en-US" w:eastAsia="zh-CN" w:bidi="ar"/>
              </w:rPr>
              <w:t>：许昌市交运投资有限责任公司</w:t>
            </w:r>
          </w:p>
        </w:tc>
        <w:tc>
          <w:tcPr>
            <w:tcW w:w="1097"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956"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717"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958"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726"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956"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097"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957"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718"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959"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617"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87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预算数</w:t>
            </w:r>
          </w:p>
        </w:tc>
        <w:tc>
          <w:tcPr>
            <w:tcW w:w="6304"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16"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09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因公出国（境）费</w:t>
            </w:r>
          </w:p>
        </w:tc>
        <w:tc>
          <w:tcPr>
            <w:tcW w:w="2631"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公务用车购置及运行费</w:t>
            </w:r>
          </w:p>
        </w:tc>
        <w:tc>
          <w:tcPr>
            <w:tcW w:w="72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公务接待费</w:t>
            </w:r>
          </w:p>
        </w:tc>
        <w:tc>
          <w:tcPr>
            <w:tcW w:w="95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09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因公出国（境）费</w:t>
            </w:r>
          </w:p>
        </w:tc>
        <w:tc>
          <w:tcPr>
            <w:tcW w:w="2634"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公务用车购置及运行费</w:t>
            </w:r>
          </w:p>
        </w:tc>
        <w:tc>
          <w:tcPr>
            <w:tcW w:w="161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3416"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9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95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小计</w:t>
            </w:r>
          </w:p>
        </w:tc>
        <w:tc>
          <w:tcPr>
            <w:tcW w:w="71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公务用车购置费</w:t>
            </w:r>
          </w:p>
        </w:tc>
        <w:tc>
          <w:tcPr>
            <w:tcW w:w="95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公务用车运行费</w:t>
            </w:r>
          </w:p>
        </w:tc>
        <w:tc>
          <w:tcPr>
            <w:tcW w:w="72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95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9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95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小计</w:t>
            </w:r>
          </w:p>
        </w:tc>
        <w:tc>
          <w:tcPr>
            <w:tcW w:w="71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公务用车购置费</w:t>
            </w:r>
          </w:p>
        </w:tc>
        <w:tc>
          <w:tcPr>
            <w:tcW w:w="95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公务用车运行费</w:t>
            </w:r>
          </w:p>
        </w:tc>
        <w:tc>
          <w:tcPr>
            <w:tcW w:w="161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16"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09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95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71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95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72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c>
          <w:tcPr>
            <w:tcW w:w="956"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7</w:t>
            </w:r>
          </w:p>
        </w:tc>
        <w:tc>
          <w:tcPr>
            <w:tcW w:w="109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8</w:t>
            </w:r>
          </w:p>
        </w:tc>
        <w:tc>
          <w:tcPr>
            <w:tcW w:w="95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9</w:t>
            </w:r>
          </w:p>
        </w:tc>
        <w:tc>
          <w:tcPr>
            <w:tcW w:w="718"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10</w:t>
            </w:r>
          </w:p>
        </w:tc>
        <w:tc>
          <w:tcPr>
            <w:tcW w:w="959"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11</w:t>
            </w:r>
          </w:p>
        </w:tc>
        <w:tc>
          <w:tcPr>
            <w:tcW w:w="161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1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0.46</w:t>
            </w:r>
          </w:p>
        </w:tc>
        <w:tc>
          <w:tcPr>
            <w:tcW w:w="10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5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0.46</w:t>
            </w:r>
          </w:p>
        </w:tc>
        <w:tc>
          <w:tcPr>
            <w:tcW w:w="7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58"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0.46</w:t>
            </w:r>
          </w:p>
        </w:tc>
        <w:tc>
          <w:tcPr>
            <w:tcW w:w="72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5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0.46</w:t>
            </w:r>
          </w:p>
        </w:tc>
        <w:tc>
          <w:tcPr>
            <w:tcW w:w="109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5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0.46</w:t>
            </w:r>
          </w:p>
        </w:tc>
        <w:tc>
          <w:tcPr>
            <w:tcW w:w="718"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959"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0.46</w:t>
            </w:r>
          </w:p>
        </w:tc>
        <w:tc>
          <w:tcPr>
            <w:tcW w:w="16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4174" w:type="dxa"/>
            <w:gridSpan w:val="1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416"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097"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956"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717"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958"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726"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956"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097"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957"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718"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959"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c>
          <w:tcPr>
            <w:tcW w:w="1617" w:type="dxa"/>
            <w:tcBorders>
              <w:top w:val="nil"/>
              <w:left w:val="nil"/>
              <w:bottom w:val="nil"/>
              <w:right w:val="nil"/>
            </w:tcBorders>
            <w:noWrap/>
            <w:vAlign w:val="bottom"/>
          </w:tcPr>
          <w:p>
            <w:pPr>
              <w:rPr>
                <w:rFonts w:hint="default" w:ascii="Arial" w:hAnsi="Arial" w:cs="Arial"/>
                <w:i w:val="0"/>
                <w:iCs w:val="0"/>
                <w:color w:val="auto"/>
                <w:sz w:val="20"/>
                <w:szCs w:val="20"/>
                <w:highlight w:val="none"/>
                <w:u w:val="none"/>
              </w:rPr>
            </w:pPr>
          </w:p>
        </w:tc>
      </w:tr>
    </w:tbl>
    <w:p>
      <w:pPr>
        <w:widowControl/>
        <w:jc w:val="left"/>
        <w:rPr>
          <w:rFonts w:ascii="黑体" w:hAnsi="宋体" w:eastAsia="黑体" w:cs="宋体"/>
          <w:color w:val="auto"/>
          <w:kern w:val="0"/>
          <w:sz w:val="28"/>
          <w:szCs w:val="28"/>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5"/>
        <w:tblW w:w="141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416"/>
        <w:gridCol w:w="222"/>
        <w:gridCol w:w="222"/>
        <w:gridCol w:w="1096"/>
        <w:gridCol w:w="1484"/>
        <w:gridCol w:w="1529"/>
        <w:gridCol w:w="1529"/>
        <w:gridCol w:w="1529"/>
        <w:gridCol w:w="1530"/>
        <w:gridCol w:w="16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174"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auto"/>
                <w:sz w:val="30"/>
                <w:szCs w:val="30"/>
                <w:highlight w:val="none"/>
                <w:u w:val="none"/>
              </w:rPr>
            </w:pPr>
            <w:r>
              <w:rPr>
                <w:rFonts w:hint="eastAsia" w:ascii="宋体" w:hAnsi="宋体" w:eastAsia="宋体" w:cs="宋体"/>
                <w:i w:val="0"/>
                <w:iCs w:val="0"/>
                <w:color w:val="auto"/>
                <w:kern w:val="0"/>
                <w:sz w:val="30"/>
                <w:szCs w:val="30"/>
                <w:highlight w:val="none"/>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416" w:type="dxa"/>
            <w:tcBorders>
              <w:top w:val="nil"/>
              <w:left w:val="nil"/>
              <w:bottom w:val="nil"/>
              <w:right w:val="nil"/>
            </w:tcBorders>
            <w:noWrap/>
            <w:vAlign w:val="bottom"/>
          </w:tcPr>
          <w:p>
            <w:pPr>
              <w:rPr>
                <w:rFonts w:hint="eastAsia" w:ascii="Arial" w:hAnsi="Arial" w:cs="Arial"/>
                <w:i w:val="0"/>
                <w:iCs w:val="0"/>
                <w:color w:val="auto"/>
                <w:sz w:val="18"/>
                <w:szCs w:val="18"/>
                <w:highlight w:val="none"/>
                <w:u w:val="none"/>
              </w:rPr>
            </w:pPr>
          </w:p>
        </w:tc>
        <w:tc>
          <w:tcPr>
            <w:tcW w:w="222"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222"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096"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484"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529"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529"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529"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530"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617"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416" w:type="dxa"/>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auto"/>
                <w:sz w:val="18"/>
                <w:szCs w:val="18"/>
                <w:highlight w:val="none"/>
                <w:u w:val="none"/>
              </w:rPr>
            </w:pPr>
            <w:r>
              <w:rPr>
                <w:rFonts w:hint="eastAsia" w:ascii="宋体" w:hAnsi="宋体" w:cs="宋体"/>
                <w:i w:val="0"/>
                <w:iCs w:val="0"/>
                <w:color w:val="auto"/>
                <w:kern w:val="0"/>
                <w:sz w:val="18"/>
                <w:szCs w:val="18"/>
                <w:highlight w:val="none"/>
                <w:u w:val="none"/>
                <w:lang w:val="en-US" w:eastAsia="zh-CN" w:bidi="ar"/>
              </w:rPr>
              <w:t>单位</w:t>
            </w:r>
            <w:r>
              <w:rPr>
                <w:rFonts w:hint="eastAsia" w:ascii="宋体" w:hAnsi="宋体" w:eastAsia="宋体" w:cs="宋体"/>
                <w:i w:val="0"/>
                <w:iCs w:val="0"/>
                <w:color w:val="auto"/>
                <w:kern w:val="0"/>
                <w:sz w:val="18"/>
                <w:szCs w:val="18"/>
                <w:highlight w:val="none"/>
                <w:u w:val="none"/>
                <w:lang w:val="en-US" w:eastAsia="zh-CN" w:bidi="ar"/>
              </w:rPr>
              <w:t>：许昌市交运投资有限责任公司</w:t>
            </w:r>
          </w:p>
        </w:tc>
        <w:tc>
          <w:tcPr>
            <w:tcW w:w="222"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222"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096"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484"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529"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529"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529"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530" w:type="dxa"/>
            <w:tcBorders>
              <w:top w:val="nil"/>
              <w:left w:val="nil"/>
              <w:bottom w:val="nil"/>
              <w:right w:val="nil"/>
            </w:tcBorders>
            <w:noWrap/>
            <w:vAlign w:val="bottom"/>
          </w:tcPr>
          <w:p>
            <w:pPr>
              <w:rPr>
                <w:rFonts w:hint="default" w:ascii="Arial" w:hAnsi="Arial" w:cs="Arial"/>
                <w:i w:val="0"/>
                <w:iCs w:val="0"/>
                <w:color w:val="auto"/>
                <w:sz w:val="18"/>
                <w:szCs w:val="18"/>
                <w:highlight w:val="none"/>
                <w:u w:val="none"/>
              </w:rPr>
            </w:pPr>
          </w:p>
        </w:tc>
        <w:tc>
          <w:tcPr>
            <w:tcW w:w="1617" w:type="dxa"/>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56"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w:t>
            </w:r>
          </w:p>
        </w:tc>
        <w:tc>
          <w:tcPr>
            <w:tcW w:w="1484"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年初结转和结余</w:t>
            </w:r>
          </w:p>
        </w:tc>
        <w:tc>
          <w:tcPr>
            <w:tcW w:w="1529"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本年收入</w:t>
            </w:r>
          </w:p>
        </w:tc>
        <w:tc>
          <w:tcPr>
            <w:tcW w:w="4588"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本年支出</w:t>
            </w:r>
          </w:p>
        </w:tc>
        <w:tc>
          <w:tcPr>
            <w:tcW w:w="161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功能分类科目编码</w:t>
            </w:r>
          </w:p>
        </w:tc>
        <w:tc>
          <w:tcPr>
            <w:tcW w:w="1096"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科目名称</w:t>
            </w:r>
          </w:p>
        </w:tc>
        <w:tc>
          <w:tcPr>
            <w:tcW w:w="148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52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52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小计</w:t>
            </w:r>
          </w:p>
        </w:tc>
        <w:tc>
          <w:tcPr>
            <w:tcW w:w="152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基本支出</w:t>
            </w:r>
          </w:p>
        </w:tc>
        <w:tc>
          <w:tcPr>
            <w:tcW w:w="153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项目支出</w:t>
            </w:r>
          </w:p>
        </w:tc>
        <w:tc>
          <w:tcPr>
            <w:tcW w:w="161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9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48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52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52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52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53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61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096"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22"/>
                <w:szCs w:val="22"/>
                <w:highlight w:val="none"/>
                <w:u w:val="none"/>
              </w:rPr>
            </w:pPr>
          </w:p>
        </w:tc>
        <w:tc>
          <w:tcPr>
            <w:tcW w:w="1484"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529"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52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52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53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61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56"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栏次</w:t>
            </w:r>
          </w:p>
        </w:tc>
        <w:tc>
          <w:tcPr>
            <w:tcW w:w="148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1</w:t>
            </w:r>
          </w:p>
        </w:tc>
        <w:tc>
          <w:tcPr>
            <w:tcW w:w="152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2</w:t>
            </w:r>
          </w:p>
        </w:tc>
        <w:tc>
          <w:tcPr>
            <w:tcW w:w="152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3</w:t>
            </w:r>
          </w:p>
        </w:tc>
        <w:tc>
          <w:tcPr>
            <w:tcW w:w="1529"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4</w:t>
            </w:r>
          </w:p>
        </w:tc>
        <w:tc>
          <w:tcPr>
            <w:tcW w:w="153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5</w:t>
            </w:r>
          </w:p>
        </w:tc>
        <w:tc>
          <w:tcPr>
            <w:tcW w:w="161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56"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合计</w:t>
            </w:r>
          </w:p>
        </w:tc>
        <w:tc>
          <w:tcPr>
            <w:tcW w:w="14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152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152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152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15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c>
          <w:tcPr>
            <w:tcW w:w="16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09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4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2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2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2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09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4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2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2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2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09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4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2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2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2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09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4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2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2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2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09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4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2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2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2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860"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09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auto"/>
                <w:sz w:val="22"/>
                <w:szCs w:val="22"/>
                <w:highlight w:val="none"/>
                <w:u w:val="none"/>
              </w:rPr>
            </w:pPr>
          </w:p>
        </w:tc>
        <w:tc>
          <w:tcPr>
            <w:tcW w:w="1484"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2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2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29"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5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c>
          <w:tcPr>
            <w:tcW w:w="16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174" w:type="dxa"/>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注：本表反映</w:t>
            </w:r>
            <w:r>
              <w:rPr>
                <w:rFonts w:hint="eastAsia" w:ascii="宋体" w:hAnsi="宋体" w:cs="宋体"/>
                <w:i w:val="0"/>
                <w:iCs w:val="0"/>
                <w:color w:val="auto"/>
                <w:kern w:val="0"/>
                <w:sz w:val="22"/>
                <w:szCs w:val="22"/>
                <w:highlight w:val="none"/>
                <w:u w:val="none"/>
                <w:lang w:val="en-US" w:eastAsia="zh-CN" w:bidi="ar"/>
              </w:rPr>
              <w:t>单位</w:t>
            </w:r>
            <w:r>
              <w:rPr>
                <w:rFonts w:hint="eastAsia" w:ascii="宋体" w:hAnsi="宋体" w:eastAsia="宋体" w:cs="宋体"/>
                <w:i w:val="0"/>
                <w:iCs w:val="0"/>
                <w:color w:val="auto"/>
                <w:kern w:val="0"/>
                <w:sz w:val="22"/>
                <w:szCs w:val="22"/>
                <w:highlight w:val="none"/>
                <w:u w:val="none"/>
                <w:lang w:val="en-US" w:eastAsia="zh-CN" w:bidi="ar"/>
              </w:rPr>
              <w:t>本年度政府性基金预算财政拨款收入、支出及结转和结余情况。本表金额转换为万元时，因四舍五入可能存在尾差。</w:t>
            </w:r>
          </w:p>
        </w:tc>
      </w:tr>
    </w:tbl>
    <w:p>
      <w:pPr>
        <w:widowControl/>
        <w:jc w:val="left"/>
        <w:rPr>
          <w:rFonts w:ascii="黑体" w:hAnsi="宋体" w:eastAsia="黑体" w:cs="宋体"/>
          <w:color w:val="auto"/>
          <w:kern w:val="0"/>
          <w:sz w:val="28"/>
          <w:szCs w:val="28"/>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r>
        <w:rPr>
          <w:rFonts w:hint="eastAsia" w:ascii="仿宋_GB2312" w:hAnsi="仿宋_GB2312" w:eastAsia="仿宋_GB2312" w:cs="仿宋_GB2312"/>
          <w:color w:val="auto"/>
          <w:sz w:val="32"/>
          <w:szCs w:val="32"/>
          <w:highlight w:val="none"/>
          <w:lang w:val="en-US" w:eastAsia="zh-CN"/>
        </w:rPr>
        <w:t>说明：我单位没有政府性基金收入，也没有使用政府性基金安排的支出，故本表无数据。</w:t>
      </w: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第三部分 2021年度</w:t>
      </w:r>
      <w:r>
        <w:rPr>
          <w:rFonts w:hint="eastAsia" w:ascii="黑体" w:hAnsi="黑体" w:eastAsia="黑体" w:cs="黑体"/>
          <w:color w:val="auto"/>
          <w:sz w:val="48"/>
          <w:szCs w:val="48"/>
          <w:highlight w:val="none"/>
          <w:lang w:eastAsia="zh-CN"/>
        </w:rPr>
        <w:t>单位</w:t>
      </w:r>
      <w:r>
        <w:rPr>
          <w:rFonts w:hint="eastAsia" w:ascii="黑体" w:hAnsi="黑体" w:eastAsia="黑体" w:cs="黑体"/>
          <w:color w:val="auto"/>
          <w:sz w:val="48"/>
          <w:szCs w:val="48"/>
          <w:highlight w:val="none"/>
        </w:rPr>
        <w:t>决算情况说明</w:t>
      </w: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一、收入支出决算总体情况说明</w:t>
      </w:r>
    </w:p>
    <w:p>
      <w:pPr>
        <w:widowControl/>
        <w:spacing w:line="590" w:lineRule="exact"/>
        <w:ind w:firstLine="640" w:firstLineChars="200"/>
        <w:rPr>
          <w:rFonts w:hint="eastAsia" w:ascii="黑体" w:hAnsi="黑体" w:eastAsia="黑体" w:cs="黑体"/>
          <w:color w:val="auto"/>
          <w:sz w:val="32"/>
          <w:szCs w:val="32"/>
          <w:highlight w:val="none"/>
        </w:rPr>
      </w:pPr>
      <w:r>
        <w:rPr>
          <w:rFonts w:hint="eastAsia" w:ascii="仿宋_GB2312" w:hAnsi="仿宋_GB2312" w:eastAsia="仿宋_GB2312"/>
          <w:color w:val="auto"/>
          <w:sz w:val="32"/>
          <w:szCs w:val="24"/>
          <w:highlight w:val="none"/>
        </w:rPr>
        <w:t>2021年度收、支总计均为</w:t>
      </w:r>
      <w:r>
        <w:rPr>
          <w:rFonts w:hint="eastAsia" w:ascii="仿宋_GB2312" w:hAnsi="仿宋_GB2312" w:eastAsia="仿宋_GB2312"/>
          <w:color w:val="auto"/>
          <w:sz w:val="32"/>
          <w:szCs w:val="24"/>
          <w:highlight w:val="none"/>
          <w:lang w:val="en-US" w:eastAsia="zh-CN"/>
        </w:rPr>
        <w:t>1263.59</w:t>
      </w:r>
      <w:r>
        <w:rPr>
          <w:rFonts w:hint="eastAsia" w:ascii="仿宋_GB2312" w:hAnsi="仿宋_GB2312" w:eastAsia="仿宋_GB2312"/>
          <w:color w:val="auto"/>
          <w:sz w:val="32"/>
          <w:szCs w:val="24"/>
          <w:highlight w:val="none"/>
        </w:rPr>
        <w:t>万元。与上年度相比，收、支总计各</w:t>
      </w:r>
      <w:r>
        <w:rPr>
          <w:rFonts w:hint="eastAsia" w:ascii="仿宋_GB2312" w:hAnsi="仿宋_GB2312" w:eastAsia="仿宋_GB2312"/>
          <w:color w:val="auto"/>
          <w:sz w:val="32"/>
          <w:szCs w:val="24"/>
          <w:highlight w:val="none"/>
          <w:lang w:eastAsia="zh-CN"/>
        </w:rPr>
        <w:t>减少</w:t>
      </w:r>
      <w:r>
        <w:rPr>
          <w:rFonts w:hint="eastAsia" w:ascii="仿宋_GB2312" w:hAnsi="仿宋_GB2312" w:eastAsia="仿宋_GB2312"/>
          <w:color w:val="auto"/>
          <w:sz w:val="32"/>
          <w:szCs w:val="24"/>
          <w:highlight w:val="none"/>
          <w:lang w:val="en-US" w:eastAsia="zh-CN"/>
        </w:rPr>
        <w:t>728.15</w:t>
      </w:r>
      <w:r>
        <w:rPr>
          <w:rFonts w:hint="eastAsia" w:ascii="仿宋_GB2312" w:hAnsi="仿宋_GB2312" w:eastAsia="仿宋_GB2312"/>
          <w:color w:val="auto"/>
          <w:sz w:val="32"/>
          <w:szCs w:val="24"/>
          <w:highlight w:val="none"/>
        </w:rPr>
        <w:t>万元，</w:t>
      </w:r>
      <w:r>
        <w:rPr>
          <w:rFonts w:hint="eastAsia" w:ascii="仿宋_GB2312" w:hAnsi="仿宋_GB2312" w:eastAsia="仿宋_GB2312"/>
          <w:color w:val="auto"/>
          <w:sz w:val="32"/>
          <w:szCs w:val="24"/>
          <w:highlight w:val="none"/>
          <w:lang w:eastAsia="zh-CN"/>
        </w:rPr>
        <w:t>下降</w:t>
      </w:r>
      <w:r>
        <w:rPr>
          <w:rFonts w:hint="eastAsia" w:ascii="仿宋_GB2312" w:hAnsi="仿宋_GB2312" w:eastAsia="仿宋_GB2312"/>
          <w:color w:val="auto"/>
          <w:sz w:val="32"/>
          <w:szCs w:val="24"/>
          <w:highlight w:val="none"/>
          <w:lang w:val="en-US" w:eastAsia="zh-CN"/>
        </w:rPr>
        <w:t>36.56</w:t>
      </w:r>
      <w:r>
        <w:rPr>
          <w:rFonts w:hint="eastAsia" w:ascii="仿宋_GB2312" w:hAnsi="仿宋_GB2312" w:eastAsia="仿宋_GB2312"/>
          <w:color w:val="auto"/>
          <w:sz w:val="32"/>
          <w:szCs w:val="24"/>
          <w:highlight w:val="none"/>
        </w:rPr>
        <w:t>%。</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val="en-US" w:eastAsia="zh-CN"/>
        </w:rPr>
        <w:t>一是2020年我单位参与生产经营类事业单位改革，撤销事业单位建制，未编制2021年预算；二是零距离换乘中心项目进入后期，建设经费减少</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二、收入决算情况说明</w:t>
      </w:r>
    </w:p>
    <w:p>
      <w:pPr>
        <w:widowControl/>
        <w:spacing w:line="590" w:lineRule="exact"/>
        <w:ind w:firstLine="640" w:firstLineChars="200"/>
        <w:rPr>
          <w:rFonts w:hint="eastAsia" w:ascii="黑体" w:hAnsi="黑体" w:eastAsia="黑体" w:cs="黑体"/>
          <w:color w:val="auto"/>
          <w:sz w:val="32"/>
          <w:szCs w:val="32"/>
          <w:highlight w:val="none"/>
        </w:rPr>
      </w:pPr>
      <w:r>
        <w:rPr>
          <w:rFonts w:hint="eastAsia" w:ascii="仿宋_GB2312" w:hAnsi="仿宋_GB2312" w:eastAsia="仿宋_GB2312"/>
          <w:color w:val="auto"/>
          <w:sz w:val="32"/>
          <w:szCs w:val="24"/>
          <w:highlight w:val="none"/>
          <w:lang w:val="en-US"/>
        </w:rPr>
        <w:t>2021年度收入合计</w:t>
      </w:r>
      <w:r>
        <w:rPr>
          <w:rFonts w:hint="eastAsia" w:ascii="仿宋_GB2312" w:hAnsi="仿宋_GB2312" w:eastAsia="仿宋_GB2312"/>
          <w:color w:val="auto"/>
          <w:sz w:val="32"/>
          <w:szCs w:val="24"/>
          <w:highlight w:val="none"/>
          <w:lang w:val="en-US" w:eastAsia="zh-CN"/>
        </w:rPr>
        <w:t>1.54</w:t>
      </w:r>
      <w:r>
        <w:rPr>
          <w:rFonts w:hint="eastAsia" w:ascii="仿宋_GB2312" w:hAnsi="仿宋_GB2312" w:eastAsia="仿宋_GB2312"/>
          <w:color w:val="auto"/>
          <w:sz w:val="32"/>
          <w:szCs w:val="24"/>
          <w:highlight w:val="none"/>
          <w:lang w:val="en-US"/>
        </w:rPr>
        <w:t>万元，其中：财政拨款收入</w:t>
      </w:r>
      <w:r>
        <w:rPr>
          <w:rFonts w:hint="eastAsia" w:ascii="仿宋_GB2312" w:hAnsi="仿宋_GB2312" w:eastAsia="仿宋_GB2312"/>
          <w:color w:val="auto"/>
          <w:sz w:val="32"/>
          <w:szCs w:val="24"/>
          <w:highlight w:val="none"/>
          <w:lang w:val="en-US" w:eastAsia="zh-CN"/>
        </w:rPr>
        <w:t>1.54</w:t>
      </w:r>
      <w:r>
        <w:rPr>
          <w:rFonts w:hint="eastAsia" w:ascii="仿宋_GB2312" w:hAnsi="仿宋_GB2312" w:eastAsia="仿宋_GB2312"/>
          <w:color w:val="auto"/>
          <w:sz w:val="32"/>
          <w:szCs w:val="24"/>
          <w:highlight w:val="none"/>
          <w:lang w:val="en-US"/>
        </w:rPr>
        <w:t>万元，占100</w:t>
      </w:r>
      <w:r>
        <w:rPr>
          <w:rFonts w:hint="eastAsia" w:ascii="仿宋_GB2312" w:hAnsi="仿宋_GB2312" w:eastAsia="仿宋_GB2312"/>
          <w:color w:val="auto"/>
          <w:sz w:val="32"/>
          <w:szCs w:val="24"/>
          <w:highlight w:val="none"/>
          <w:lang w:val="en-US" w:eastAsia="zh-CN"/>
        </w:rPr>
        <w:t>.00</w:t>
      </w:r>
      <w:r>
        <w:rPr>
          <w:rFonts w:hint="eastAsia" w:ascii="仿宋_GB2312" w:hAnsi="仿宋_GB2312" w:eastAsia="仿宋_GB2312"/>
          <w:color w:val="auto"/>
          <w:sz w:val="32"/>
          <w:szCs w:val="24"/>
          <w:highlight w:val="none"/>
          <w:lang w:val="en-US"/>
        </w:rPr>
        <w:t>%；上级补助收入0</w:t>
      </w:r>
      <w:r>
        <w:rPr>
          <w:rFonts w:hint="eastAsia" w:ascii="仿宋_GB2312" w:hAnsi="仿宋_GB2312" w:eastAsia="仿宋_GB2312"/>
          <w:color w:val="auto"/>
          <w:sz w:val="32"/>
          <w:szCs w:val="24"/>
          <w:highlight w:val="none"/>
          <w:lang w:val="en-US" w:eastAsia="zh-CN"/>
        </w:rPr>
        <w:t>.00</w:t>
      </w:r>
      <w:r>
        <w:rPr>
          <w:rFonts w:hint="eastAsia" w:ascii="仿宋_GB2312" w:hAnsi="仿宋_GB2312" w:eastAsia="仿宋_GB2312"/>
          <w:color w:val="auto"/>
          <w:sz w:val="32"/>
          <w:szCs w:val="24"/>
          <w:highlight w:val="none"/>
          <w:lang w:val="en-US"/>
        </w:rPr>
        <w:t>万元，占0</w:t>
      </w:r>
      <w:r>
        <w:rPr>
          <w:rFonts w:hint="eastAsia" w:ascii="仿宋_GB2312" w:hAnsi="仿宋_GB2312" w:eastAsia="仿宋_GB2312"/>
          <w:color w:val="auto"/>
          <w:sz w:val="32"/>
          <w:szCs w:val="24"/>
          <w:highlight w:val="none"/>
          <w:lang w:val="en-US" w:eastAsia="zh-CN"/>
        </w:rPr>
        <w:t>.00</w:t>
      </w:r>
      <w:r>
        <w:rPr>
          <w:rFonts w:hint="eastAsia" w:ascii="仿宋_GB2312" w:hAnsi="仿宋_GB2312" w:eastAsia="仿宋_GB2312"/>
          <w:color w:val="auto"/>
          <w:sz w:val="32"/>
          <w:szCs w:val="24"/>
          <w:highlight w:val="none"/>
          <w:lang w:val="en-US"/>
        </w:rPr>
        <w:t>%；事业收入0</w:t>
      </w:r>
      <w:r>
        <w:rPr>
          <w:rFonts w:hint="eastAsia" w:ascii="仿宋_GB2312" w:hAnsi="仿宋_GB2312" w:eastAsia="仿宋_GB2312"/>
          <w:color w:val="auto"/>
          <w:sz w:val="32"/>
          <w:szCs w:val="24"/>
          <w:highlight w:val="none"/>
          <w:lang w:val="en-US" w:eastAsia="zh-CN"/>
        </w:rPr>
        <w:t>.00</w:t>
      </w:r>
      <w:r>
        <w:rPr>
          <w:rFonts w:hint="eastAsia" w:ascii="仿宋_GB2312" w:hAnsi="仿宋_GB2312" w:eastAsia="仿宋_GB2312"/>
          <w:color w:val="auto"/>
          <w:sz w:val="32"/>
          <w:szCs w:val="24"/>
          <w:highlight w:val="none"/>
          <w:lang w:val="en-US"/>
        </w:rPr>
        <w:t>万元，占0</w:t>
      </w:r>
      <w:r>
        <w:rPr>
          <w:rFonts w:hint="eastAsia" w:ascii="仿宋_GB2312" w:hAnsi="仿宋_GB2312" w:eastAsia="仿宋_GB2312"/>
          <w:color w:val="auto"/>
          <w:sz w:val="32"/>
          <w:szCs w:val="24"/>
          <w:highlight w:val="none"/>
          <w:lang w:val="en-US" w:eastAsia="zh-CN"/>
        </w:rPr>
        <w:t>.00</w:t>
      </w:r>
      <w:r>
        <w:rPr>
          <w:rFonts w:hint="eastAsia" w:ascii="仿宋_GB2312" w:hAnsi="仿宋_GB2312" w:eastAsia="仿宋_GB2312"/>
          <w:color w:val="auto"/>
          <w:sz w:val="32"/>
          <w:szCs w:val="24"/>
          <w:highlight w:val="none"/>
          <w:lang w:val="en-US"/>
        </w:rPr>
        <w:t>%；经营收入0</w:t>
      </w:r>
      <w:r>
        <w:rPr>
          <w:rFonts w:hint="eastAsia" w:ascii="仿宋_GB2312" w:hAnsi="仿宋_GB2312" w:eastAsia="仿宋_GB2312"/>
          <w:color w:val="auto"/>
          <w:sz w:val="32"/>
          <w:szCs w:val="24"/>
          <w:highlight w:val="none"/>
          <w:lang w:val="en-US" w:eastAsia="zh-CN"/>
        </w:rPr>
        <w:t>.00</w:t>
      </w:r>
      <w:r>
        <w:rPr>
          <w:rFonts w:hint="eastAsia" w:ascii="仿宋_GB2312" w:hAnsi="仿宋_GB2312" w:eastAsia="仿宋_GB2312"/>
          <w:color w:val="auto"/>
          <w:sz w:val="32"/>
          <w:szCs w:val="24"/>
          <w:highlight w:val="none"/>
          <w:lang w:val="en-US"/>
        </w:rPr>
        <w:t>万元，占0</w:t>
      </w:r>
      <w:r>
        <w:rPr>
          <w:rFonts w:hint="eastAsia" w:ascii="仿宋_GB2312" w:hAnsi="仿宋_GB2312" w:eastAsia="仿宋_GB2312"/>
          <w:color w:val="auto"/>
          <w:sz w:val="32"/>
          <w:szCs w:val="24"/>
          <w:highlight w:val="none"/>
          <w:lang w:val="en-US" w:eastAsia="zh-CN"/>
        </w:rPr>
        <w:t>.00</w:t>
      </w:r>
      <w:r>
        <w:rPr>
          <w:rFonts w:hint="eastAsia" w:ascii="仿宋_GB2312" w:hAnsi="仿宋_GB2312" w:eastAsia="仿宋_GB2312"/>
          <w:color w:val="auto"/>
          <w:sz w:val="32"/>
          <w:szCs w:val="24"/>
          <w:highlight w:val="none"/>
          <w:lang w:val="en-US"/>
        </w:rPr>
        <w:t>%；附属单位上缴收入0</w:t>
      </w:r>
      <w:r>
        <w:rPr>
          <w:rFonts w:hint="eastAsia" w:ascii="仿宋_GB2312" w:hAnsi="仿宋_GB2312" w:eastAsia="仿宋_GB2312"/>
          <w:color w:val="auto"/>
          <w:sz w:val="32"/>
          <w:szCs w:val="24"/>
          <w:highlight w:val="none"/>
          <w:lang w:val="en-US" w:eastAsia="zh-CN"/>
        </w:rPr>
        <w:t>.00</w:t>
      </w:r>
      <w:r>
        <w:rPr>
          <w:rFonts w:hint="eastAsia" w:ascii="仿宋_GB2312" w:hAnsi="仿宋_GB2312" w:eastAsia="仿宋_GB2312"/>
          <w:color w:val="auto"/>
          <w:sz w:val="32"/>
          <w:szCs w:val="24"/>
          <w:highlight w:val="none"/>
          <w:lang w:val="en-US"/>
        </w:rPr>
        <w:t>万元，占0</w:t>
      </w:r>
      <w:r>
        <w:rPr>
          <w:rFonts w:hint="eastAsia" w:ascii="仿宋_GB2312" w:hAnsi="仿宋_GB2312" w:eastAsia="仿宋_GB2312"/>
          <w:color w:val="auto"/>
          <w:sz w:val="32"/>
          <w:szCs w:val="24"/>
          <w:highlight w:val="none"/>
          <w:lang w:val="en-US" w:eastAsia="zh-CN"/>
        </w:rPr>
        <w:t>.00</w:t>
      </w:r>
      <w:r>
        <w:rPr>
          <w:rFonts w:hint="eastAsia" w:ascii="仿宋_GB2312" w:hAnsi="仿宋_GB2312" w:eastAsia="仿宋_GB2312"/>
          <w:color w:val="auto"/>
          <w:sz w:val="32"/>
          <w:szCs w:val="24"/>
          <w:highlight w:val="none"/>
          <w:lang w:val="en-US"/>
        </w:rPr>
        <w:t>%；其他收入0</w:t>
      </w:r>
      <w:r>
        <w:rPr>
          <w:rFonts w:hint="eastAsia" w:ascii="仿宋_GB2312" w:hAnsi="仿宋_GB2312" w:eastAsia="仿宋_GB2312"/>
          <w:color w:val="auto"/>
          <w:sz w:val="32"/>
          <w:szCs w:val="24"/>
          <w:highlight w:val="none"/>
          <w:lang w:val="en-US" w:eastAsia="zh-CN"/>
        </w:rPr>
        <w:t>.00</w:t>
      </w:r>
      <w:r>
        <w:rPr>
          <w:rFonts w:hint="eastAsia" w:ascii="仿宋_GB2312" w:hAnsi="仿宋_GB2312" w:eastAsia="仿宋_GB2312"/>
          <w:color w:val="auto"/>
          <w:sz w:val="32"/>
          <w:szCs w:val="24"/>
          <w:highlight w:val="none"/>
          <w:lang w:val="en-US"/>
        </w:rPr>
        <w:t>万元，占0</w:t>
      </w:r>
      <w:r>
        <w:rPr>
          <w:rFonts w:hint="eastAsia" w:ascii="仿宋_GB2312" w:hAnsi="仿宋_GB2312" w:eastAsia="仿宋_GB2312"/>
          <w:color w:val="auto"/>
          <w:sz w:val="32"/>
          <w:szCs w:val="24"/>
          <w:highlight w:val="none"/>
          <w:lang w:val="en-US" w:eastAsia="zh-CN"/>
        </w:rPr>
        <w:t>.00</w:t>
      </w:r>
      <w:r>
        <w:rPr>
          <w:rFonts w:hint="eastAsia" w:ascii="仿宋_GB2312" w:hAnsi="仿宋_GB2312" w:eastAsia="仿宋_GB2312"/>
          <w:color w:val="auto"/>
          <w:sz w:val="32"/>
          <w:szCs w:val="24"/>
          <w:highlight w:val="none"/>
          <w:lang w:val="en-US"/>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三、支出决算情况说明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olor w:val="auto"/>
          <w:sz w:val="32"/>
          <w:szCs w:val="24"/>
          <w:highlight w:val="none"/>
          <w:lang w:val="en-US"/>
        </w:rPr>
        <w:t>2021年度支出合计</w:t>
      </w:r>
      <w:r>
        <w:rPr>
          <w:rFonts w:hint="eastAsia" w:ascii="仿宋_GB2312" w:hAnsi="仿宋_GB2312" w:eastAsia="仿宋_GB2312"/>
          <w:color w:val="auto"/>
          <w:sz w:val="32"/>
          <w:szCs w:val="24"/>
          <w:highlight w:val="none"/>
          <w:lang w:val="en-US" w:eastAsia="zh-CN"/>
        </w:rPr>
        <w:t>1263.59</w:t>
      </w:r>
      <w:r>
        <w:rPr>
          <w:rFonts w:hint="eastAsia" w:ascii="仿宋_GB2312" w:hAnsi="仿宋_GB2312" w:eastAsia="仿宋_GB2312"/>
          <w:color w:val="auto"/>
          <w:sz w:val="32"/>
          <w:szCs w:val="24"/>
          <w:highlight w:val="none"/>
          <w:lang w:val="en-US"/>
        </w:rPr>
        <w:t>万元，其中：基本支出</w:t>
      </w:r>
      <w:r>
        <w:rPr>
          <w:rFonts w:hint="eastAsia" w:ascii="仿宋_GB2312" w:hAnsi="仿宋_GB2312" w:eastAsia="仿宋_GB2312"/>
          <w:color w:val="auto"/>
          <w:sz w:val="32"/>
          <w:szCs w:val="24"/>
          <w:highlight w:val="none"/>
          <w:lang w:val="en-US" w:eastAsia="zh-CN"/>
        </w:rPr>
        <w:t>5.00</w:t>
      </w:r>
      <w:r>
        <w:rPr>
          <w:rFonts w:hint="eastAsia" w:ascii="仿宋_GB2312" w:hAnsi="仿宋_GB2312" w:eastAsia="仿宋_GB2312"/>
          <w:color w:val="auto"/>
          <w:sz w:val="32"/>
          <w:szCs w:val="24"/>
          <w:highlight w:val="none"/>
          <w:lang w:val="en-US"/>
        </w:rPr>
        <w:t>万元，占</w:t>
      </w:r>
      <w:r>
        <w:rPr>
          <w:rFonts w:hint="eastAsia" w:ascii="仿宋_GB2312" w:hAnsi="仿宋_GB2312" w:eastAsia="仿宋_GB2312"/>
          <w:color w:val="auto"/>
          <w:sz w:val="32"/>
          <w:szCs w:val="24"/>
          <w:highlight w:val="none"/>
          <w:lang w:val="en-US" w:eastAsia="zh-CN"/>
        </w:rPr>
        <w:t>0.40</w:t>
      </w:r>
      <w:r>
        <w:rPr>
          <w:rFonts w:hint="eastAsia" w:ascii="仿宋_GB2312" w:hAnsi="仿宋_GB2312" w:eastAsia="仿宋_GB2312"/>
          <w:color w:val="auto"/>
          <w:sz w:val="32"/>
          <w:szCs w:val="24"/>
          <w:highlight w:val="none"/>
          <w:lang w:val="en-US"/>
        </w:rPr>
        <w:t>%；项目支出</w:t>
      </w:r>
      <w:r>
        <w:rPr>
          <w:rFonts w:hint="eastAsia" w:ascii="仿宋_GB2312" w:hAnsi="仿宋_GB2312" w:eastAsia="仿宋_GB2312"/>
          <w:color w:val="auto"/>
          <w:sz w:val="32"/>
          <w:szCs w:val="24"/>
          <w:highlight w:val="none"/>
          <w:lang w:val="en-US" w:eastAsia="zh-CN"/>
        </w:rPr>
        <w:t>1258.59</w:t>
      </w:r>
      <w:r>
        <w:rPr>
          <w:rFonts w:hint="eastAsia" w:ascii="仿宋_GB2312" w:hAnsi="仿宋_GB2312" w:eastAsia="仿宋_GB2312"/>
          <w:color w:val="auto"/>
          <w:sz w:val="32"/>
          <w:szCs w:val="24"/>
          <w:highlight w:val="none"/>
          <w:lang w:val="en-US"/>
        </w:rPr>
        <w:t>万元，占</w:t>
      </w:r>
      <w:r>
        <w:rPr>
          <w:rFonts w:hint="eastAsia" w:ascii="仿宋_GB2312" w:hAnsi="仿宋_GB2312" w:eastAsia="仿宋_GB2312"/>
          <w:color w:val="auto"/>
          <w:sz w:val="32"/>
          <w:szCs w:val="24"/>
          <w:highlight w:val="none"/>
          <w:lang w:val="en-US" w:eastAsia="zh-CN"/>
        </w:rPr>
        <w:t>99.60</w:t>
      </w:r>
      <w:r>
        <w:rPr>
          <w:rFonts w:hint="eastAsia" w:ascii="仿宋_GB2312" w:hAnsi="仿宋_GB2312" w:eastAsia="仿宋_GB2312"/>
          <w:color w:val="auto"/>
          <w:sz w:val="32"/>
          <w:szCs w:val="24"/>
          <w:highlight w:val="none"/>
          <w:lang w:val="en-US"/>
        </w:rPr>
        <w:t>%；</w:t>
      </w:r>
      <w:r>
        <w:rPr>
          <w:rFonts w:hint="eastAsia" w:ascii="仿宋_GB2312" w:hAnsi="仿宋_GB2312" w:eastAsia="仿宋_GB2312" w:cs="仿宋_GB2312"/>
          <w:color w:val="auto"/>
          <w:sz w:val="32"/>
          <w:szCs w:val="32"/>
          <w:highlight w:val="none"/>
          <w:lang w:val="en-US" w:eastAsia="zh-CN"/>
        </w:rPr>
        <w:t>上缴上级支出0.00万元，占0.00%；经营支出0.00万元，占0.00%；对附属单位补助支出0.00万元，占0.00%。</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四、财政拨款收入支出决算总体情况说明</w:t>
      </w:r>
    </w:p>
    <w:p>
      <w:pPr>
        <w:widowControl/>
        <w:spacing w:line="590" w:lineRule="exact"/>
        <w:ind w:firstLine="640" w:firstLineChars="200"/>
        <w:rPr>
          <w:rFonts w:hint="eastAsia" w:ascii="黑体" w:hAnsi="黑体" w:eastAsia="黑体" w:cs="黑体"/>
          <w:color w:val="auto"/>
          <w:sz w:val="32"/>
          <w:szCs w:val="32"/>
          <w:highlight w:val="none"/>
        </w:rPr>
      </w:pPr>
      <w:r>
        <w:rPr>
          <w:rFonts w:hint="eastAsia" w:ascii="仿宋_GB2312" w:hAnsi="仿宋_GB2312" w:eastAsia="仿宋_GB2312"/>
          <w:color w:val="auto"/>
          <w:sz w:val="32"/>
          <w:szCs w:val="24"/>
          <w:highlight w:val="none"/>
          <w:lang w:val="en-US"/>
        </w:rPr>
        <w:t>2021年度财政拨款收、支总计均为</w:t>
      </w:r>
      <w:r>
        <w:rPr>
          <w:rFonts w:hint="eastAsia" w:ascii="仿宋_GB2312" w:hAnsi="仿宋_GB2312" w:eastAsia="仿宋_GB2312"/>
          <w:color w:val="auto"/>
          <w:sz w:val="32"/>
          <w:szCs w:val="24"/>
          <w:highlight w:val="none"/>
          <w:lang w:val="en-US" w:eastAsia="zh-CN"/>
        </w:rPr>
        <w:t>1263.59</w:t>
      </w:r>
      <w:r>
        <w:rPr>
          <w:rFonts w:hint="eastAsia" w:ascii="仿宋_GB2312" w:hAnsi="仿宋_GB2312" w:eastAsia="仿宋_GB2312"/>
          <w:color w:val="auto"/>
          <w:sz w:val="32"/>
          <w:szCs w:val="24"/>
          <w:highlight w:val="none"/>
          <w:lang w:val="en-US"/>
        </w:rPr>
        <w:t>万元。</w:t>
      </w:r>
      <w:r>
        <w:rPr>
          <w:rFonts w:hint="eastAsia" w:ascii="仿宋_GB2312" w:hAnsi="仿宋_GB2312" w:eastAsia="仿宋_GB2312"/>
          <w:color w:val="auto"/>
          <w:sz w:val="32"/>
          <w:szCs w:val="24"/>
          <w:highlight w:val="none"/>
        </w:rPr>
        <w:t>与上年度相比，收、支总计各</w:t>
      </w:r>
      <w:r>
        <w:rPr>
          <w:rFonts w:hint="eastAsia" w:ascii="仿宋_GB2312" w:hAnsi="仿宋_GB2312" w:eastAsia="仿宋_GB2312"/>
          <w:color w:val="auto"/>
          <w:sz w:val="32"/>
          <w:szCs w:val="24"/>
          <w:highlight w:val="none"/>
          <w:lang w:eastAsia="zh-CN"/>
        </w:rPr>
        <w:t>减少</w:t>
      </w:r>
      <w:r>
        <w:rPr>
          <w:rFonts w:hint="eastAsia" w:ascii="仿宋_GB2312" w:hAnsi="仿宋_GB2312" w:eastAsia="仿宋_GB2312"/>
          <w:color w:val="auto"/>
          <w:sz w:val="32"/>
          <w:szCs w:val="24"/>
          <w:highlight w:val="none"/>
          <w:lang w:val="en-US" w:eastAsia="zh-CN"/>
        </w:rPr>
        <w:t>728.15</w:t>
      </w:r>
      <w:r>
        <w:rPr>
          <w:rFonts w:hint="eastAsia" w:ascii="仿宋_GB2312" w:hAnsi="仿宋_GB2312" w:eastAsia="仿宋_GB2312"/>
          <w:color w:val="auto"/>
          <w:sz w:val="32"/>
          <w:szCs w:val="24"/>
          <w:highlight w:val="none"/>
        </w:rPr>
        <w:t>万元，</w:t>
      </w:r>
      <w:r>
        <w:rPr>
          <w:rFonts w:hint="eastAsia" w:ascii="仿宋_GB2312" w:hAnsi="仿宋_GB2312" w:eastAsia="仿宋_GB2312"/>
          <w:color w:val="auto"/>
          <w:sz w:val="32"/>
          <w:szCs w:val="24"/>
          <w:highlight w:val="none"/>
          <w:lang w:eastAsia="zh-CN"/>
        </w:rPr>
        <w:t>下降</w:t>
      </w:r>
      <w:r>
        <w:rPr>
          <w:rFonts w:hint="eastAsia" w:ascii="仿宋_GB2312" w:hAnsi="仿宋_GB2312" w:eastAsia="仿宋_GB2312"/>
          <w:color w:val="auto"/>
          <w:sz w:val="32"/>
          <w:szCs w:val="24"/>
          <w:highlight w:val="none"/>
          <w:lang w:val="en-US" w:eastAsia="zh-CN"/>
        </w:rPr>
        <w:t>36.56</w:t>
      </w:r>
      <w:r>
        <w:rPr>
          <w:rFonts w:hint="eastAsia" w:ascii="仿宋_GB2312" w:hAnsi="仿宋_GB2312" w:eastAsia="仿宋_GB2312"/>
          <w:color w:val="auto"/>
          <w:sz w:val="32"/>
          <w:szCs w:val="24"/>
          <w:highlight w:val="none"/>
        </w:rPr>
        <w:t>%。</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val="en-US" w:eastAsia="zh-CN"/>
        </w:rPr>
        <w:t>一是2020年我单位参与生产经营类事业单位改革，撤销事业单位建制，未编制2021年预算；二是零距离换乘中心项目进入后期，建设经费减少</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五、一般公共预算财政拨款支出决算情况说明</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（一）总体情况。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olor w:val="auto"/>
          <w:sz w:val="32"/>
          <w:szCs w:val="32"/>
          <w:highlight w:val="none"/>
          <w:lang w:val="en-US" w:eastAsia="zh-CN"/>
        </w:rPr>
        <w:t>1263.59</w:t>
      </w:r>
      <w:r>
        <w:rPr>
          <w:rFonts w:hint="eastAsia" w:ascii="仿宋_GB2312" w:hAnsi="仿宋_GB2312" w:eastAsia="仿宋_GB2312" w:cs="仿宋_GB2312"/>
          <w:color w:val="auto"/>
          <w:sz w:val="32"/>
          <w:szCs w:val="32"/>
          <w:highlight w:val="none"/>
        </w:rPr>
        <w:t>万元，占支出合计的</w:t>
      </w:r>
      <w:r>
        <w:rPr>
          <w:rFonts w:hint="eastAsia" w:ascii="仿宋_GB2312" w:hAnsi="仿宋_GB2312" w:eastAsia="仿宋_GB2312" w:cs="仿宋_GB2312"/>
          <w:color w:val="auto"/>
          <w:sz w:val="32"/>
          <w:szCs w:val="32"/>
          <w:highlight w:val="none"/>
          <w:lang w:val="en-US" w:eastAsia="zh-CN"/>
        </w:rPr>
        <w:t>100.00</w:t>
      </w:r>
      <w:r>
        <w:rPr>
          <w:rFonts w:hint="eastAsia" w:ascii="仿宋_GB2312" w:hAnsi="仿宋_GB2312" w:eastAsia="仿宋_GB2312" w:cs="仿宋_GB2312"/>
          <w:color w:val="auto"/>
          <w:sz w:val="32"/>
          <w:szCs w:val="32"/>
          <w:highlight w:val="none"/>
        </w:rPr>
        <w:t>%。与上年度相比，一般公共预算财政拨款支出</w:t>
      </w:r>
      <w:r>
        <w:rPr>
          <w:rFonts w:hint="eastAsia" w:ascii="仿宋_GB2312" w:hAnsi="仿宋_GB2312" w:eastAsia="仿宋_GB2312"/>
          <w:color w:val="auto"/>
          <w:sz w:val="32"/>
          <w:szCs w:val="32"/>
          <w:highlight w:val="none"/>
          <w:lang w:eastAsia="zh-CN"/>
        </w:rPr>
        <w:t>减少</w:t>
      </w:r>
      <w:r>
        <w:rPr>
          <w:rFonts w:hint="eastAsia" w:ascii="仿宋_GB2312" w:hAnsi="仿宋_GB2312" w:eastAsia="仿宋_GB2312"/>
          <w:color w:val="auto"/>
          <w:sz w:val="32"/>
          <w:szCs w:val="32"/>
          <w:highlight w:val="none"/>
          <w:lang w:val="en-US" w:eastAsia="zh-CN"/>
        </w:rPr>
        <w:t>728.15</w:t>
      </w:r>
      <w:r>
        <w:rPr>
          <w:rFonts w:hint="eastAsia" w:ascii="仿宋_GB2312" w:hAnsi="仿宋_GB2312" w:eastAsia="仿宋_GB2312"/>
          <w:color w:val="auto"/>
          <w:sz w:val="32"/>
          <w:szCs w:val="32"/>
          <w:highlight w:val="none"/>
        </w:rPr>
        <w:t>万元，</w:t>
      </w:r>
      <w:r>
        <w:rPr>
          <w:rFonts w:hint="eastAsia" w:ascii="仿宋_GB2312" w:hAnsi="仿宋_GB2312" w:eastAsia="仿宋_GB2312"/>
          <w:color w:val="auto"/>
          <w:sz w:val="32"/>
          <w:szCs w:val="32"/>
          <w:highlight w:val="none"/>
          <w:lang w:eastAsia="zh-CN"/>
        </w:rPr>
        <w:t>下降</w:t>
      </w:r>
      <w:r>
        <w:rPr>
          <w:rFonts w:hint="eastAsia" w:ascii="仿宋_GB2312" w:hAnsi="仿宋_GB2312" w:eastAsia="仿宋_GB2312"/>
          <w:color w:val="auto"/>
          <w:sz w:val="32"/>
          <w:szCs w:val="32"/>
          <w:highlight w:val="none"/>
          <w:lang w:val="en-US" w:eastAsia="zh-CN"/>
        </w:rPr>
        <w:t>36.56</w:t>
      </w:r>
      <w:r>
        <w:rPr>
          <w:rFonts w:hint="eastAsia" w:ascii="仿宋_GB2312" w:hAnsi="仿宋_GB2312" w:eastAsia="仿宋_GB2312"/>
          <w:color w:val="auto"/>
          <w:sz w:val="32"/>
          <w:szCs w:val="32"/>
          <w:highlight w:val="none"/>
        </w:rPr>
        <w:t>%</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auto"/>
          <w:sz w:val="32"/>
          <w:szCs w:val="32"/>
          <w:highlight w:val="none"/>
          <w:lang w:val="en-US" w:eastAsia="zh-CN"/>
        </w:rPr>
        <w:t>一是2020年我单位参与生产经营类事业单位改革，撤销事业单位建制，未编制2021年预算；二是零距离换乘中心项目进入后期，建设经费减少</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（二）结构情况。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olor w:val="auto"/>
          <w:sz w:val="32"/>
          <w:szCs w:val="24"/>
          <w:highlight w:val="none"/>
          <w:lang w:val="en-US" w:eastAsia="zh-CN"/>
        </w:rPr>
        <w:t>1263.59</w:t>
      </w:r>
      <w:r>
        <w:rPr>
          <w:rFonts w:hint="eastAsia" w:ascii="仿宋_GB2312" w:hAnsi="仿宋_GB2312" w:eastAsia="仿宋_GB2312" w:cs="仿宋_GB2312"/>
          <w:color w:val="auto"/>
          <w:sz w:val="32"/>
          <w:szCs w:val="32"/>
          <w:highlight w:val="none"/>
        </w:rPr>
        <w:t>万元，主要用于以下方面：</w:t>
      </w:r>
      <w:r>
        <w:rPr>
          <w:rFonts w:hint="eastAsia" w:ascii="仿宋_GB2312" w:hAnsi="仿宋_GB2312" w:eastAsia="仿宋_GB2312" w:cs="仿宋_GB2312"/>
          <w:color w:val="auto"/>
          <w:sz w:val="32"/>
          <w:szCs w:val="32"/>
          <w:highlight w:val="none"/>
          <w:lang w:val="en-US" w:eastAsia="zh-CN"/>
        </w:rPr>
        <w:t>交通运输（类）</w:t>
      </w:r>
      <w:r>
        <w:rPr>
          <w:rFonts w:hint="eastAsia" w:ascii="仿宋_GB2312" w:hAnsi="仿宋_GB2312" w:eastAsia="仿宋_GB2312" w:cs="仿宋_GB2312"/>
          <w:color w:val="auto"/>
          <w:sz w:val="32"/>
          <w:szCs w:val="32"/>
          <w:highlight w:val="none"/>
        </w:rPr>
        <w:t>支出</w:t>
      </w:r>
      <w:r>
        <w:rPr>
          <w:rFonts w:hint="eastAsia" w:ascii="仿宋_GB2312" w:hAnsi="仿宋_GB2312" w:eastAsia="仿宋_GB2312"/>
          <w:color w:val="auto"/>
          <w:sz w:val="32"/>
          <w:szCs w:val="24"/>
          <w:highlight w:val="none"/>
          <w:lang w:val="en-US" w:eastAsia="zh-CN"/>
        </w:rPr>
        <w:t>1263.59</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100.00</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（三）具体情况。</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olor w:val="auto"/>
          <w:sz w:val="32"/>
          <w:szCs w:val="24"/>
          <w:highlight w:val="none"/>
          <w:lang w:val="en-US" w:eastAsia="zh-CN"/>
        </w:rPr>
        <w:t>1263.59</w:t>
      </w:r>
      <w:r>
        <w:rPr>
          <w:rFonts w:hint="eastAsia" w:ascii="仿宋_GB2312" w:hAnsi="仿宋_GB2312" w:eastAsia="仿宋_GB2312" w:cs="仿宋_GB2312"/>
          <w:color w:val="auto"/>
          <w:sz w:val="32"/>
          <w:szCs w:val="32"/>
          <w:highlight w:val="none"/>
        </w:rPr>
        <w:t>万元。其中：</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w:t>
      </w:r>
      <w:r>
        <w:rPr>
          <w:rFonts w:hint="eastAsia" w:ascii="仿宋_GB2312" w:hAnsi="仿宋_GB2312" w:eastAsia="仿宋_GB2312" w:cs="仿宋_GB2312"/>
          <w:b/>
          <w:bCs/>
          <w:color w:val="auto"/>
          <w:sz w:val="32"/>
          <w:szCs w:val="32"/>
          <w:highlight w:val="none"/>
          <w:lang w:val="en-US" w:eastAsia="zh-CN"/>
        </w:rPr>
        <w:t>交通运输（类）公路水路运输（款）行政运行（项）。</w:t>
      </w:r>
      <w:r>
        <w:rPr>
          <w:rFonts w:hint="eastAsia" w:ascii="仿宋_GB2312" w:hAnsi="仿宋_GB2312" w:eastAsia="仿宋_GB2312" w:cs="仿宋_GB2312"/>
          <w:color w:val="auto"/>
          <w:sz w:val="32"/>
          <w:szCs w:val="32"/>
          <w:highlight w:val="none"/>
          <w:lang w:val="en-US" w:eastAsia="zh-CN"/>
        </w:rPr>
        <w:t>年初预算为0.00万元，支出决算为3.46万元。决算数与年初预算数存在差异的主要原因是</w:t>
      </w:r>
      <w:r>
        <w:rPr>
          <w:rFonts w:hint="eastAsia" w:ascii="仿宋_GB2312" w:hAnsi="仿宋_GB2312" w:eastAsia="仿宋_GB2312" w:cs="仿宋_GB2312"/>
          <w:color w:val="auto"/>
          <w:sz w:val="32"/>
          <w:szCs w:val="32"/>
          <w:highlight w:val="none"/>
          <w:shd w:val="clear" w:color="auto" w:fill="FFFFFF"/>
          <w:lang w:val="en-US" w:eastAsia="zh-CN"/>
        </w:rPr>
        <w:t>使用以前年度结转资金</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w:t>
      </w:r>
      <w:r>
        <w:rPr>
          <w:rFonts w:hint="eastAsia" w:ascii="仿宋_GB2312" w:hAnsi="仿宋_GB2312" w:eastAsia="仿宋_GB2312" w:cs="仿宋_GB2312"/>
          <w:b/>
          <w:bCs/>
          <w:color w:val="auto"/>
          <w:sz w:val="32"/>
          <w:szCs w:val="32"/>
          <w:highlight w:val="none"/>
          <w:lang w:val="en-US" w:eastAsia="zh-CN"/>
        </w:rPr>
        <w:t>交通运输（类）公路水路运输（款）</w:t>
      </w:r>
      <w:r>
        <w:rPr>
          <w:rFonts w:hint="eastAsia" w:ascii="仿宋_GB2312" w:hAnsi="仿宋_GB2312" w:eastAsia="仿宋_GB2312" w:cs="仿宋_GB2312"/>
          <w:b/>
          <w:bCs/>
          <w:color w:val="auto"/>
          <w:sz w:val="32"/>
          <w:szCs w:val="32"/>
          <w:highlight w:val="none"/>
        </w:rPr>
        <w:t>一般行政管理事务（项）。</w:t>
      </w:r>
      <w:r>
        <w:rPr>
          <w:rFonts w:hint="eastAsia" w:ascii="仿宋_GB2312" w:hAnsi="仿宋_GB2312" w:eastAsia="仿宋_GB2312" w:cs="仿宋_GB2312"/>
          <w:color w:val="auto"/>
          <w:sz w:val="32"/>
          <w:szCs w:val="32"/>
          <w:highlight w:val="none"/>
          <w:lang w:val="en-US" w:eastAsia="zh-CN"/>
        </w:rPr>
        <w:t>年初预算为0.00万元，支出决算为148.59万元。决算数与年初预算数存在差异的主要原因是</w:t>
      </w:r>
      <w:r>
        <w:rPr>
          <w:rFonts w:hint="eastAsia" w:ascii="仿宋_GB2312" w:hAnsi="仿宋_GB2312" w:eastAsia="仿宋_GB2312" w:cs="仿宋_GB2312"/>
          <w:color w:val="auto"/>
          <w:sz w:val="32"/>
          <w:szCs w:val="32"/>
          <w:highlight w:val="none"/>
          <w:shd w:val="clear" w:color="auto" w:fill="FFFFFF"/>
          <w:lang w:val="en-US" w:eastAsia="zh-CN"/>
        </w:rPr>
        <w:t>使用以前年度结转资金</w:t>
      </w:r>
      <w:r>
        <w:rPr>
          <w:rFonts w:hint="eastAsia" w:ascii="仿宋_GB2312" w:hAnsi="仿宋_GB2312" w:eastAsia="仿宋_GB2312" w:cs="仿宋_GB2312"/>
          <w:color w:val="auto"/>
          <w:sz w:val="32"/>
          <w:szCs w:val="32"/>
          <w:highlight w:val="none"/>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3．交通运输（类）公路水路运输（款）</w:t>
      </w:r>
      <w:r>
        <w:rPr>
          <w:rFonts w:hint="eastAsia" w:ascii="仿宋_GB2312" w:hAnsi="仿宋_GB2312" w:eastAsia="仿宋_GB2312" w:cs="仿宋_GB2312"/>
          <w:b/>
          <w:bCs/>
          <w:color w:val="auto"/>
          <w:sz w:val="32"/>
          <w:szCs w:val="32"/>
          <w:highlight w:val="none"/>
        </w:rPr>
        <w:t>其他公路水路运输支出（项）。</w:t>
      </w:r>
      <w:r>
        <w:rPr>
          <w:rFonts w:hint="eastAsia" w:ascii="仿宋_GB2312" w:hAnsi="仿宋_GB2312" w:eastAsia="仿宋_GB2312" w:cs="仿宋_GB2312"/>
          <w:color w:val="auto"/>
          <w:sz w:val="32"/>
          <w:szCs w:val="32"/>
          <w:highlight w:val="none"/>
          <w:lang w:val="en-US" w:eastAsia="zh-CN"/>
        </w:rPr>
        <w:t>年初预算为0.00万元，支出决算为401.54万元。决算数与年初预算数存在差异的主要原因一是</w:t>
      </w:r>
      <w:r>
        <w:rPr>
          <w:rFonts w:hint="eastAsia" w:ascii="仿宋_GB2312" w:hAnsi="仿宋_GB2312" w:eastAsia="仿宋_GB2312" w:cs="仿宋_GB2312"/>
          <w:color w:val="auto"/>
          <w:sz w:val="32"/>
          <w:szCs w:val="32"/>
          <w:highlight w:val="none"/>
          <w:shd w:val="clear" w:color="auto" w:fill="FFFFFF"/>
          <w:lang w:val="en-US" w:eastAsia="zh-CN"/>
        </w:rPr>
        <w:t>使用以前年度结转资金400.00万元，二是收到拨入未休假补贴</w:t>
      </w:r>
      <w:r>
        <w:rPr>
          <w:rFonts w:hint="eastAsia" w:ascii="仿宋_GB2312" w:hAnsi="仿宋_GB2312" w:eastAsia="仿宋_GB2312" w:cs="仿宋_GB2312"/>
          <w:color w:val="auto"/>
          <w:sz w:val="32"/>
          <w:szCs w:val="32"/>
          <w:highlight w:val="none"/>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4.</w:t>
      </w:r>
      <w:r>
        <w:rPr>
          <w:rFonts w:hint="eastAsia" w:ascii="仿宋_GB2312" w:hAnsi="仿宋_GB2312" w:eastAsia="仿宋_GB2312" w:cs="仿宋_GB2312"/>
          <w:b/>
          <w:bCs/>
          <w:color w:val="auto"/>
          <w:sz w:val="32"/>
          <w:szCs w:val="32"/>
          <w:highlight w:val="none"/>
          <w:lang w:val="en-US" w:eastAsia="zh-CN"/>
        </w:rPr>
        <w:t>交通运输（类）成品油价格改革对交通运输的补贴（款）</w:t>
      </w:r>
      <w:r>
        <w:rPr>
          <w:rFonts w:hint="eastAsia" w:ascii="仿宋_GB2312" w:hAnsi="仿宋_GB2312" w:eastAsia="仿宋_GB2312" w:cs="仿宋_GB2312"/>
          <w:b/>
          <w:bCs/>
          <w:color w:val="auto"/>
          <w:sz w:val="32"/>
          <w:szCs w:val="32"/>
          <w:highlight w:val="none"/>
          <w:lang w:eastAsia="zh-CN"/>
        </w:rPr>
        <w:t>成品油价格改革补贴其他支出</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lang w:val="en-US" w:eastAsia="zh-CN"/>
        </w:rPr>
        <w:t>年初预算为0.00万元，支出决算为600.00万元。决算数与年初预算数存在差异的主要原因是</w:t>
      </w:r>
      <w:r>
        <w:rPr>
          <w:rFonts w:hint="eastAsia" w:ascii="仿宋_GB2312" w:hAnsi="仿宋_GB2312" w:eastAsia="仿宋_GB2312" w:cs="仿宋_GB2312"/>
          <w:color w:val="auto"/>
          <w:sz w:val="32"/>
          <w:szCs w:val="32"/>
          <w:highlight w:val="none"/>
          <w:shd w:val="clear" w:color="auto" w:fill="FFFFFF"/>
          <w:lang w:val="en-US" w:eastAsia="zh-CN"/>
        </w:rPr>
        <w:t>使用以前年度结转资金</w:t>
      </w:r>
      <w:r>
        <w:rPr>
          <w:rFonts w:hint="eastAsia" w:ascii="仿宋_GB2312" w:hAnsi="仿宋_GB2312" w:eastAsia="仿宋_GB2312" w:cs="仿宋_GB2312"/>
          <w:color w:val="auto"/>
          <w:sz w:val="32"/>
          <w:szCs w:val="32"/>
          <w:highlight w:val="none"/>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5．交通运输（类）其他交通运输支出（款）</w:t>
      </w:r>
      <w:r>
        <w:rPr>
          <w:rFonts w:hint="eastAsia" w:ascii="仿宋_GB2312" w:hAnsi="仿宋_GB2312" w:eastAsia="仿宋_GB2312" w:cs="仿宋_GB2312"/>
          <w:b/>
          <w:bCs/>
          <w:color w:val="auto"/>
          <w:sz w:val="32"/>
          <w:szCs w:val="32"/>
          <w:highlight w:val="none"/>
        </w:rPr>
        <w:t>其他交通运输支出（项）。</w:t>
      </w:r>
      <w:r>
        <w:rPr>
          <w:rFonts w:hint="eastAsia" w:ascii="仿宋_GB2312" w:hAnsi="仿宋_GB2312" w:eastAsia="仿宋_GB2312" w:cs="仿宋_GB2312"/>
          <w:color w:val="auto"/>
          <w:sz w:val="32"/>
          <w:szCs w:val="32"/>
          <w:highlight w:val="none"/>
          <w:lang w:val="en-US" w:eastAsia="zh-CN"/>
        </w:rPr>
        <w:t>年初预算为0.00万元，支出决算为110.00万元。决算数与年初预算数存在差异的主要原因是</w:t>
      </w:r>
      <w:r>
        <w:rPr>
          <w:rFonts w:hint="eastAsia" w:ascii="仿宋_GB2312" w:hAnsi="仿宋_GB2312" w:eastAsia="仿宋_GB2312" w:cs="仿宋_GB2312"/>
          <w:color w:val="auto"/>
          <w:sz w:val="32"/>
          <w:szCs w:val="32"/>
          <w:highlight w:val="none"/>
          <w:shd w:val="clear" w:color="auto" w:fill="FFFFFF"/>
          <w:lang w:val="en-US" w:eastAsia="zh-CN"/>
        </w:rPr>
        <w:t>使用以前年度结转资金</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年度一般公共预算财政拨款基本支出</w:t>
      </w:r>
      <w:r>
        <w:rPr>
          <w:rFonts w:hint="eastAsia" w:ascii="仿宋_GB2312" w:hAnsi="仿宋_GB2312" w:eastAsia="仿宋_GB2312"/>
          <w:color w:val="auto"/>
          <w:sz w:val="32"/>
          <w:szCs w:val="24"/>
          <w:highlight w:val="none"/>
          <w:lang w:val="en-US" w:eastAsia="zh-CN"/>
        </w:rPr>
        <w:t>5.00</w:t>
      </w:r>
      <w:r>
        <w:rPr>
          <w:rFonts w:hint="eastAsia" w:ascii="仿宋_GB2312" w:hAnsi="仿宋_GB2312" w:eastAsia="仿宋_GB2312" w:cs="仿宋_GB2312"/>
          <w:color w:val="auto"/>
          <w:sz w:val="32"/>
          <w:szCs w:val="32"/>
          <w:highlight w:val="none"/>
        </w:rPr>
        <w:t>万元。其中：</w:t>
      </w:r>
      <w:r>
        <w:rPr>
          <w:rFonts w:hint="eastAsia" w:ascii="仿宋_GB2312" w:hAnsi="仿宋_GB2312" w:eastAsia="仿宋_GB2312"/>
          <w:color w:val="auto"/>
          <w:sz w:val="32"/>
          <w:szCs w:val="24"/>
          <w:highlight w:val="none"/>
        </w:rPr>
        <w:t>人员经费</w:t>
      </w:r>
      <w:r>
        <w:rPr>
          <w:rFonts w:hint="eastAsia" w:ascii="仿宋_GB2312" w:hAnsi="仿宋_GB2312" w:eastAsia="仿宋_GB2312"/>
          <w:color w:val="auto"/>
          <w:sz w:val="32"/>
          <w:szCs w:val="24"/>
          <w:highlight w:val="none"/>
          <w:lang w:val="en-US" w:eastAsia="zh-CN"/>
        </w:rPr>
        <w:t>3.89</w:t>
      </w:r>
      <w:r>
        <w:rPr>
          <w:rFonts w:hint="eastAsia" w:ascii="仿宋_GB2312" w:hAnsi="仿宋_GB2312" w:eastAsia="仿宋_GB2312"/>
          <w:color w:val="auto"/>
          <w:sz w:val="32"/>
          <w:szCs w:val="24"/>
          <w:highlight w:val="none"/>
        </w:rPr>
        <w:t>万元，主要包括：津贴补贴、</w:t>
      </w:r>
      <w:r>
        <w:rPr>
          <w:rFonts w:hint="eastAsia" w:ascii="仿宋_GB2312" w:hAnsi="仿宋_GB2312" w:eastAsia="仿宋_GB2312"/>
          <w:color w:val="auto"/>
          <w:sz w:val="32"/>
          <w:szCs w:val="24"/>
          <w:highlight w:val="none"/>
          <w:lang w:eastAsia="zh-CN"/>
        </w:rPr>
        <w:t>奖金</w:t>
      </w:r>
      <w:r>
        <w:rPr>
          <w:rFonts w:hint="eastAsia" w:ascii="仿宋_GB2312" w:hAnsi="仿宋_GB2312" w:eastAsia="仿宋_GB2312"/>
          <w:color w:val="auto"/>
          <w:sz w:val="32"/>
          <w:szCs w:val="24"/>
          <w:highlight w:val="none"/>
        </w:rPr>
        <w:t>；公用经费</w:t>
      </w:r>
      <w:r>
        <w:rPr>
          <w:rFonts w:hint="eastAsia" w:ascii="仿宋_GB2312" w:hAnsi="仿宋_GB2312" w:eastAsia="仿宋_GB2312"/>
          <w:color w:val="auto"/>
          <w:sz w:val="32"/>
          <w:szCs w:val="24"/>
          <w:highlight w:val="none"/>
          <w:lang w:val="en-US" w:eastAsia="zh-CN"/>
        </w:rPr>
        <w:t>1.11</w:t>
      </w:r>
      <w:r>
        <w:rPr>
          <w:rFonts w:hint="eastAsia" w:ascii="仿宋_GB2312" w:hAnsi="仿宋_GB2312" w:eastAsia="仿宋_GB2312"/>
          <w:color w:val="auto"/>
          <w:sz w:val="32"/>
          <w:szCs w:val="24"/>
          <w:highlight w:val="none"/>
        </w:rPr>
        <w:t>万元，主要包括：办公费、邮电费、公务用车运行维护费</w:t>
      </w:r>
      <w:r>
        <w:rPr>
          <w:rFonts w:hint="eastAsia" w:ascii="仿宋_GB2312" w:hAnsi="仿宋_GB2312" w:eastAsia="仿宋_GB2312" w:cs="仿宋_GB2312"/>
          <w:color w:val="auto"/>
          <w:sz w:val="32"/>
          <w:szCs w:val="32"/>
          <w:highlight w:val="none"/>
        </w:rPr>
        <w:t>。</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七、一般公共预算财政拨款“三公”经费支出决算情况说明</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（一）“三公”经费财政拨款支出决算总体情况说明。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年度“三公”经费财政拨款支出预算为</w:t>
      </w:r>
      <w:r>
        <w:rPr>
          <w:rFonts w:hint="eastAsia" w:ascii="仿宋_GB2312" w:hAnsi="仿宋_GB2312" w:eastAsia="仿宋_GB2312" w:cs="仿宋_GB2312"/>
          <w:color w:val="auto"/>
          <w:sz w:val="32"/>
          <w:szCs w:val="32"/>
          <w:highlight w:val="none"/>
          <w:lang w:val="en-US" w:eastAsia="zh-CN"/>
        </w:rPr>
        <w:t>0.46</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0.46</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100.00</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年度“三公”经费支出决算数与预算数</w:t>
      </w:r>
      <w:r>
        <w:rPr>
          <w:rFonts w:hint="eastAsia" w:ascii="仿宋_GB2312" w:hAnsi="仿宋_GB2312" w:eastAsia="仿宋_GB2312" w:cs="仿宋_GB2312"/>
          <w:color w:val="auto"/>
          <w:sz w:val="32"/>
          <w:szCs w:val="32"/>
          <w:highlight w:val="none"/>
          <w:lang w:eastAsia="zh-CN"/>
        </w:rPr>
        <w:t>不</w:t>
      </w:r>
      <w:r>
        <w:rPr>
          <w:rFonts w:hint="eastAsia" w:ascii="仿宋_GB2312" w:hAnsi="仿宋_GB2312" w:eastAsia="仿宋_GB2312" w:cs="仿宋_GB2312"/>
          <w:color w:val="auto"/>
          <w:sz w:val="32"/>
          <w:szCs w:val="32"/>
          <w:highlight w:val="none"/>
        </w:rPr>
        <w:t>存在差异。</w:t>
      </w:r>
    </w:p>
    <w:p>
      <w:pPr>
        <w:widowControl/>
        <w:spacing w:line="590" w:lineRule="exact"/>
        <w:ind w:firstLine="643" w:firstLineChars="200"/>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年度“三公”经费财政拨款支出决算中，因公出国（境）费支出决算</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万元；公务用车购置及运行费支出决算</w:t>
      </w:r>
      <w:r>
        <w:rPr>
          <w:rFonts w:hint="eastAsia" w:ascii="仿宋_GB2312" w:hAnsi="仿宋_GB2312" w:eastAsia="仿宋_GB2312" w:cs="仿宋_GB2312"/>
          <w:color w:val="auto"/>
          <w:sz w:val="32"/>
          <w:szCs w:val="32"/>
          <w:highlight w:val="none"/>
          <w:lang w:val="en-US" w:eastAsia="zh-CN"/>
        </w:rPr>
        <w:t>0.46</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100.00</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100.00</w:t>
      </w:r>
      <w:r>
        <w:rPr>
          <w:rFonts w:hint="eastAsia" w:ascii="仿宋_GB2312" w:hAnsi="仿宋_GB2312" w:eastAsia="仿宋_GB2312" w:cs="仿宋_GB2312"/>
          <w:color w:val="auto"/>
          <w:sz w:val="32"/>
          <w:szCs w:val="32"/>
          <w:highlight w:val="none"/>
        </w:rPr>
        <w:t>%；公务接待费支出决算</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万元。具体情况如下：</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1．因公出国（境）费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2021年因公出国（境）费</w:t>
      </w:r>
      <w:r>
        <w:rPr>
          <w:rFonts w:hint="eastAsia" w:ascii="仿宋_GB2312" w:hAnsi="仿宋_GB2312" w:eastAsia="仿宋_GB2312" w:cs="仿宋_GB2312"/>
          <w:color w:val="auto"/>
          <w:sz w:val="32"/>
          <w:szCs w:val="32"/>
          <w:highlight w:val="none"/>
        </w:rPr>
        <w:t>决算数与预算数</w:t>
      </w:r>
      <w:r>
        <w:rPr>
          <w:rFonts w:hint="eastAsia" w:ascii="仿宋_GB2312" w:hAnsi="仿宋_GB2312" w:eastAsia="仿宋_GB2312" w:cs="仿宋_GB2312"/>
          <w:color w:val="auto"/>
          <w:sz w:val="32"/>
          <w:szCs w:val="32"/>
          <w:highlight w:val="none"/>
          <w:lang w:eastAsia="zh-CN"/>
        </w:rPr>
        <w:t>不</w:t>
      </w:r>
      <w:r>
        <w:rPr>
          <w:rFonts w:hint="eastAsia" w:ascii="仿宋_GB2312" w:hAnsi="仿宋_GB2312" w:eastAsia="仿宋_GB2312" w:cs="仿宋_GB2312"/>
          <w:color w:val="auto"/>
          <w:sz w:val="32"/>
          <w:szCs w:val="32"/>
          <w:highlight w:val="none"/>
        </w:rPr>
        <w:t>存在差异。因公出国（境）团组数0个，因公出国（境）人</w:t>
      </w:r>
      <w:r>
        <w:rPr>
          <w:rFonts w:hint="eastAsia" w:ascii="仿宋_GB2312" w:hAnsi="仿宋_GB2312" w:eastAsia="仿宋_GB2312" w:cs="仿宋_GB2312"/>
          <w:color w:val="auto"/>
          <w:sz w:val="32"/>
          <w:szCs w:val="32"/>
          <w:highlight w:val="none"/>
          <w:lang w:eastAsia="zh-CN"/>
        </w:rPr>
        <w:t>累计</w:t>
      </w:r>
      <w:r>
        <w:rPr>
          <w:rFonts w:hint="eastAsia" w:ascii="仿宋_GB2312" w:hAnsi="仿宋_GB2312" w:eastAsia="仿宋_GB2312" w:cs="仿宋_GB2312"/>
          <w:color w:val="auto"/>
          <w:sz w:val="32"/>
          <w:szCs w:val="32"/>
          <w:highlight w:val="none"/>
        </w:rPr>
        <w:t>0人</w:t>
      </w:r>
      <w:r>
        <w:rPr>
          <w:rFonts w:hint="eastAsia" w:ascii="仿宋_GB2312" w:hAnsi="仿宋_GB2312" w:eastAsia="仿宋_GB2312" w:cs="仿宋_GB2312"/>
          <w:color w:val="auto"/>
          <w:sz w:val="32"/>
          <w:szCs w:val="32"/>
          <w:highlight w:val="none"/>
          <w:lang w:eastAsia="zh-CN"/>
        </w:rPr>
        <w:t>次</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2．公务用车购置及运行费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0.46</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0.46</w:t>
      </w:r>
      <w:r>
        <w:rPr>
          <w:rFonts w:hint="eastAsia" w:ascii="仿宋_GB2312" w:hAnsi="仿宋_GB2312" w:eastAsia="仿宋_GB2312" w:cs="仿宋_GB2312"/>
          <w:color w:val="auto"/>
          <w:sz w:val="32"/>
          <w:szCs w:val="32"/>
          <w:highlight w:val="none"/>
        </w:rPr>
        <w:t>万元，完成预算的</w:t>
      </w:r>
      <w:r>
        <w:rPr>
          <w:rFonts w:hint="eastAsia" w:ascii="仿宋_GB2312" w:hAnsi="仿宋_GB2312" w:eastAsia="仿宋_GB2312" w:cs="仿宋_GB2312"/>
          <w:color w:val="auto"/>
          <w:sz w:val="32"/>
          <w:szCs w:val="32"/>
          <w:highlight w:val="none"/>
          <w:lang w:val="en-US" w:eastAsia="zh-CN"/>
        </w:rPr>
        <w:t>100.00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2021年公务用车运行维护费</w:t>
      </w:r>
      <w:r>
        <w:rPr>
          <w:rFonts w:hint="eastAsia" w:ascii="仿宋_GB2312" w:hAnsi="仿宋_GB2312" w:eastAsia="仿宋_GB2312" w:cs="仿宋_GB2312"/>
          <w:color w:val="auto"/>
          <w:sz w:val="32"/>
          <w:szCs w:val="32"/>
          <w:highlight w:val="none"/>
        </w:rPr>
        <w:t>决算数与预算数</w:t>
      </w:r>
      <w:r>
        <w:rPr>
          <w:rFonts w:hint="eastAsia" w:ascii="仿宋_GB2312" w:hAnsi="仿宋_GB2312" w:eastAsia="仿宋_GB2312" w:cs="仿宋_GB2312"/>
          <w:color w:val="auto"/>
          <w:sz w:val="32"/>
          <w:szCs w:val="32"/>
          <w:highlight w:val="none"/>
          <w:lang w:eastAsia="zh-CN"/>
        </w:rPr>
        <w:t>不</w:t>
      </w:r>
      <w:r>
        <w:rPr>
          <w:rFonts w:hint="eastAsia" w:ascii="仿宋_GB2312" w:hAnsi="仿宋_GB2312" w:eastAsia="仿宋_GB2312" w:cs="仿宋_GB2312"/>
          <w:color w:val="auto"/>
          <w:sz w:val="32"/>
          <w:szCs w:val="32"/>
          <w:highlight w:val="none"/>
        </w:rPr>
        <w:t>存在差异。其中：</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公务用车购置支出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万元，购置车辆</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台。</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公务用车运行支出</w:t>
      </w:r>
      <w:r>
        <w:rPr>
          <w:rFonts w:hint="eastAsia" w:ascii="仿宋_GB2312" w:hAnsi="仿宋_GB2312" w:eastAsia="仿宋_GB2312" w:cs="仿宋_GB2312"/>
          <w:color w:val="auto"/>
          <w:sz w:val="32"/>
          <w:szCs w:val="32"/>
          <w:highlight w:val="none"/>
          <w:lang w:val="en-US" w:eastAsia="zh-CN"/>
        </w:rPr>
        <w:t>0.46</w:t>
      </w:r>
      <w:r>
        <w:rPr>
          <w:rFonts w:hint="eastAsia" w:ascii="仿宋_GB2312" w:hAnsi="仿宋_GB2312" w:eastAsia="仿宋_GB2312" w:cs="仿宋_GB2312"/>
          <w:color w:val="auto"/>
          <w:sz w:val="32"/>
          <w:szCs w:val="32"/>
          <w:highlight w:val="none"/>
        </w:rPr>
        <w:t>万元。主要用于</w:t>
      </w:r>
      <w:r>
        <w:rPr>
          <w:rFonts w:hint="eastAsia" w:ascii="仿宋_GB2312" w:hAnsi="仿宋_GB2312" w:eastAsia="仿宋_GB2312" w:cs="仿宋_GB2312"/>
          <w:color w:val="auto"/>
          <w:sz w:val="32"/>
          <w:szCs w:val="32"/>
          <w:highlight w:val="none"/>
          <w:lang w:val="en-US" w:eastAsia="zh-CN"/>
        </w:rPr>
        <w:t>公务用车加油、购买保险、维修维护等</w:t>
      </w:r>
      <w:r>
        <w:rPr>
          <w:rFonts w:hint="eastAsia" w:ascii="仿宋_GB2312" w:hAnsi="仿宋_GB2312" w:eastAsia="仿宋_GB2312" w:cs="仿宋_GB2312"/>
          <w:color w:val="auto"/>
          <w:sz w:val="32"/>
          <w:szCs w:val="32"/>
          <w:highlight w:val="none"/>
        </w:rPr>
        <w:t>。</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年期末，单位开支财政拨款的公务用车保有量为</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eastAsia="zh-CN"/>
        </w:rPr>
        <w:t>辆</w:t>
      </w:r>
      <w:r>
        <w:rPr>
          <w:rFonts w:hint="eastAsia" w:ascii="仿宋_GB2312" w:hAnsi="仿宋_GB2312" w:eastAsia="仿宋_GB2312" w:cs="仿宋_GB2312"/>
          <w:color w:val="auto"/>
          <w:sz w:val="32"/>
          <w:szCs w:val="32"/>
          <w:highlight w:val="none"/>
        </w:rPr>
        <w:t>。</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3.公务接待费</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2021年公务接待费</w:t>
      </w:r>
      <w:r>
        <w:rPr>
          <w:rFonts w:hint="eastAsia" w:ascii="仿宋_GB2312" w:hAnsi="仿宋_GB2312" w:eastAsia="仿宋_GB2312" w:cs="仿宋_GB2312"/>
          <w:color w:val="auto"/>
          <w:sz w:val="32"/>
          <w:szCs w:val="32"/>
          <w:highlight w:val="none"/>
        </w:rPr>
        <w:t>决算数与预算数</w:t>
      </w:r>
      <w:r>
        <w:rPr>
          <w:rFonts w:hint="eastAsia" w:ascii="仿宋_GB2312" w:hAnsi="仿宋_GB2312" w:eastAsia="仿宋_GB2312" w:cs="仿宋_GB2312"/>
          <w:color w:val="auto"/>
          <w:sz w:val="32"/>
          <w:szCs w:val="32"/>
          <w:highlight w:val="none"/>
          <w:lang w:eastAsia="zh-CN"/>
        </w:rPr>
        <w:t>不</w:t>
      </w:r>
      <w:r>
        <w:rPr>
          <w:rFonts w:hint="eastAsia" w:ascii="仿宋_GB2312" w:hAnsi="仿宋_GB2312" w:eastAsia="仿宋_GB2312" w:cs="仿宋_GB2312"/>
          <w:color w:val="auto"/>
          <w:sz w:val="32"/>
          <w:szCs w:val="32"/>
          <w:highlight w:val="none"/>
        </w:rPr>
        <w:t>存在差异。其中：</w:t>
      </w:r>
    </w:p>
    <w:p>
      <w:pPr>
        <w:widowControl/>
        <w:spacing w:line="590" w:lineRule="exact"/>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外宾接待支出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年共接待国（境）外来访团组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个、来访外宾</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人次（不包括陪同人员）。</w:t>
      </w:r>
    </w:p>
    <w:p>
      <w:pPr>
        <w:widowControl/>
        <w:spacing w:line="59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其他国内公务接待支出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年共接待国内来访团组</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个、来宾</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人次（不包括陪同人员）。</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八、政府性基金预算财政拨款支出决算情况说明</w:t>
      </w:r>
    </w:p>
    <w:p>
      <w:pPr>
        <w:widowControl/>
        <w:spacing w:line="590" w:lineRule="exact"/>
        <w:ind w:firstLine="640" w:firstLineChars="200"/>
        <w:outlineLvl w:val="1"/>
        <w:rPr>
          <w:rFonts w:hint="eastAsia" w:ascii="仿宋_GB2312" w:hAnsi="仿宋_GB2312" w:eastAsia="仿宋_GB2312" w:cs="仿宋_GB2312"/>
          <w:color w:val="auto"/>
          <w:sz w:val="32"/>
          <w:szCs w:val="32"/>
          <w:highlight w:val="none"/>
          <w:lang w:val="en-US" w:eastAsia="zh-CN"/>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年度政府性基金预算财政拨款支出</w:t>
      </w:r>
      <w:r>
        <w:rPr>
          <w:rFonts w:hint="eastAsia" w:ascii="仿宋_GB2312" w:hAnsi="仿宋_GB2312" w:eastAsia="仿宋_GB2312" w:cs="仿宋_GB2312"/>
          <w:color w:val="auto"/>
          <w:sz w:val="32"/>
          <w:szCs w:val="32"/>
          <w:highlight w:val="none"/>
          <w:lang w:eastAsia="zh-CN"/>
        </w:rPr>
        <w:t>年初</w:t>
      </w:r>
      <w:r>
        <w:rPr>
          <w:rFonts w:hint="eastAsia" w:ascii="仿宋_GB2312" w:hAnsi="仿宋_GB2312" w:eastAsia="仿宋_GB2312" w:cs="仿宋_GB2312"/>
          <w:color w:val="auto"/>
          <w:sz w:val="32"/>
          <w:szCs w:val="32"/>
          <w:highlight w:val="none"/>
        </w:rPr>
        <w:t>预算为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万元，支出决算为</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不存在项目年末结转和结余资金数额较大</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情况说明：我单位</w:t>
      </w:r>
      <w:r>
        <w:rPr>
          <w:rFonts w:hint="eastAsia" w:ascii="仿宋_GB2312" w:hAnsi="仿宋_GB2312" w:eastAsia="仿宋_GB2312" w:cs="仿宋_GB2312"/>
          <w:color w:val="auto"/>
          <w:sz w:val="32"/>
          <w:szCs w:val="32"/>
          <w:highlight w:val="none"/>
          <w:lang w:val="en-US" w:eastAsia="zh-CN"/>
        </w:rPr>
        <w:t>2021年度没有政府性基金收入，也没有使用政府性基金安排的支出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九、机关运行经费支出情况说明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我单位不是行政机关，也不是参照公务员管理事业单位，没有机关运行经费支出。</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十、政府采购支出情况说明</w:t>
      </w:r>
    </w:p>
    <w:p>
      <w:pPr>
        <w:spacing w:beforeLines="0" w:afterLines="0" w:line="590" w:lineRule="exact"/>
        <w:ind w:firstLine="640"/>
        <w:rPr>
          <w:rFonts w:hint="default" w:ascii="Times New Roman" w:hAnsi="Times New Roman" w:eastAsia="Times New Roman"/>
          <w:color w:val="auto"/>
          <w:kern w:val="0"/>
          <w:sz w:val="18"/>
          <w:szCs w:val="24"/>
          <w:highlight w:val="none"/>
          <w:lang w:val="zh-CN"/>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olor w:val="auto"/>
          <w:sz w:val="32"/>
          <w:szCs w:val="24"/>
          <w:highlight w:val="none"/>
          <w:lang w:val="en-US"/>
        </w:rPr>
        <w:t>度政府采购支出总额</w:t>
      </w:r>
      <w:r>
        <w:rPr>
          <w:rFonts w:hint="eastAsia" w:ascii="仿宋_GB2312" w:hAnsi="仿宋_GB2312" w:eastAsia="仿宋_GB2312"/>
          <w:color w:val="auto"/>
          <w:sz w:val="32"/>
          <w:szCs w:val="24"/>
          <w:highlight w:val="none"/>
          <w:lang w:val="en-US" w:eastAsia="zh-CN"/>
        </w:rPr>
        <w:t>1198.59</w:t>
      </w:r>
      <w:r>
        <w:rPr>
          <w:rFonts w:hint="eastAsia" w:ascii="仿宋_GB2312" w:hAnsi="仿宋_GB2312" w:eastAsia="仿宋_GB2312"/>
          <w:color w:val="auto"/>
          <w:sz w:val="32"/>
          <w:szCs w:val="24"/>
          <w:highlight w:val="none"/>
          <w:lang w:val="en-US"/>
        </w:rPr>
        <w:t>万元，其中：政府采购货物支出</w:t>
      </w:r>
      <w:r>
        <w:rPr>
          <w:rFonts w:hint="eastAsia" w:ascii="仿宋_GB2312" w:hAnsi="仿宋_GB2312" w:eastAsia="仿宋_GB2312"/>
          <w:color w:val="auto"/>
          <w:sz w:val="32"/>
          <w:szCs w:val="24"/>
          <w:highlight w:val="none"/>
          <w:lang w:val="en-US" w:eastAsia="zh-CN"/>
        </w:rPr>
        <w:t>1198.59</w:t>
      </w:r>
      <w:r>
        <w:rPr>
          <w:rFonts w:hint="eastAsia" w:ascii="仿宋_GB2312" w:hAnsi="仿宋_GB2312" w:eastAsia="仿宋_GB2312"/>
          <w:color w:val="auto"/>
          <w:sz w:val="32"/>
          <w:szCs w:val="24"/>
          <w:highlight w:val="none"/>
          <w:lang w:val="en-US"/>
        </w:rPr>
        <w:t>万元、政府采购工程支出0</w:t>
      </w:r>
      <w:r>
        <w:rPr>
          <w:rFonts w:hint="eastAsia" w:ascii="仿宋_GB2312" w:hAnsi="仿宋_GB2312" w:eastAsia="仿宋_GB2312"/>
          <w:color w:val="auto"/>
          <w:sz w:val="32"/>
          <w:szCs w:val="24"/>
          <w:highlight w:val="none"/>
          <w:lang w:val="en-US" w:eastAsia="zh-CN"/>
        </w:rPr>
        <w:t>.00</w:t>
      </w:r>
      <w:r>
        <w:rPr>
          <w:rFonts w:hint="eastAsia" w:ascii="仿宋_GB2312" w:hAnsi="仿宋_GB2312" w:eastAsia="仿宋_GB2312"/>
          <w:color w:val="auto"/>
          <w:sz w:val="32"/>
          <w:szCs w:val="24"/>
          <w:highlight w:val="none"/>
          <w:lang w:val="en-US"/>
        </w:rPr>
        <w:t>万元、政府采购服务支出0</w:t>
      </w:r>
      <w:r>
        <w:rPr>
          <w:rFonts w:hint="eastAsia" w:ascii="仿宋_GB2312" w:hAnsi="仿宋_GB2312" w:eastAsia="仿宋_GB2312"/>
          <w:color w:val="auto"/>
          <w:sz w:val="32"/>
          <w:szCs w:val="24"/>
          <w:highlight w:val="none"/>
          <w:lang w:val="en-US" w:eastAsia="zh-CN"/>
        </w:rPr>
        <w:t>.00</w:t>
      </w:r>
      <w:r>
        <w:rPr>
          <w:rFonts w:hint="eastAsia" w:ascii="仿宋_GB2312" w:hAnsi="仿宋_GB2312" w:eastAsia="仿宋_GB2312"/>
          <w:color w:val="auto"/>
          <w:sz w:val="32"/>
          <w:szCs w:val="24"/>
          <w:highlight w:val="none"/>
          <w:lang w:val="en-US"/>
        </w:rPr>
        <w:t>万元。授予中小企业合同金额0</w:t>
      </w:r>
      <w:r>
        <w:rPr>
          <w:rFonts w:hint="eastAsia" w:ascii="仿宋_GB2312" w:hAnsi="仿宋_GB2312" w:eastAsia="仿宋_GB2312"/>
          <w:color w:val="auto"/>
          <w:sz w:val="32"/>
          <w:szCs w:val="24"/>
          <w:highlight w:val="none"/>
          <w:lang w:val="en-US" w:eastAsia="zh-CN"/>
        </w:rPr>
        <w:t>.00</w:t>
      </w:r>
      <w:r>
        <w:rPr>
          <w:rFonts w:hint="eastAsia" w:ascii="仿宋_GB2312" w:hAnsi="仿宋_GB2312" w:eastAsia="仿宋_GB2312"/>
          <w:color w:val="auto"/>
          <w:sz w:val="32"/>
          <w:szCs w:val="24"/>
          <w:highlight w:val="none"/>
          <w:lang w:val="en-US"/>
        </w:rPr>
        <w:t>万元,其中：授予小微企业合同金额0</w:t>
      </w:r>
      <w:r>
        <w:rPr>
          <w:rFonts w:hint="eastAsia" w:ascii="仿宋_GB2312" w:hAnsi="仿宋_GB2312" w:eastAsia="仿宋_GB2312"/>
          <w:color w:val="auto"/>
          <w:sz w:val="32"/>
          <w:szCs w:val="24"/>
          <w:highlight w:val="none"/>
          <w:lang w:val="en-US" w:eastAsia="zh-CN"/>
        </w:rPr>
        <w:t>.00</w:t>
      </w:r>
      <w:r>
        <w:rPr>
          <w:rFonts w:hint="eastAsia" w:ascii="仿宋_GB2312" w:hAnsi="仿宋_GB2312" w:eastAsia="仿宋_GB2312"/>
          <w:color w:val="auto"/>
          <w:sz w:val="32"/>
          <w:szCs w:val="24"/>
          <w:highlight w:val="none"/>
          <w:lang w:val="en-US"/>
        </w:rPr>
        <w:t>万元。</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十一、国有资产占用情况说明</w:t>
      </w:r>
    </w:p>
    <w:p>
      <w:pPr>
        <w:widowControl/>
        <w:spacing w:line="590" w:lineRule="exact"/>
        <w:ind w:firstLine="640" w:firstLineChars="200"/>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年期末，我单位共有车辆</w:t>
      </w:r>
      <w:r>
        <w:rPr>
          <w:rFonts w:hint="eastAsia" w:ascii="仿宋_GB2312" w:hAnsi="仿宋_GB2312" w:eastAsia="仿宋_GB2312" w:cs="仿宋_GB2312"/>
          <w:color w:val="auto"/>
          <w:sz w:val="32"/>
          <w:szCs w:val="32"/>
          <w:highlight w:val="none"/>
          <w:lang w:val="en-US" w:eastAsia="zh-CN"/>
        </w:rPr>
        <w:t>551</w:t>
      </w:r>
      <w:r>
        <w:rPr>
          <w:rFonts w:hint="eastAsia" w:ascii="仿宋_GB2312" w:hAnsi="仿宋_GB2312" w:eastAsia="仿宋_GB2312" w:cs="仿宋_GB2312"/>
          <w:color w:val="auto"/>
          <w:sz w:val="32"/>
          <w:szCs w:val="32"/>
          <w:highlight w:val="none"/>
        </w:rPr>
        <w:t>辆，其中：省级领导干部用车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辆、主要领导干部用车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辆、机要通信用车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辆、应急保障车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辆、执法执勤用车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辆、特种专业技术用车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辆、离退休干部用车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辆、其他用车</w:t>
      </w:r>
      <w:r>
        <w:rPr>
          <w:rFonts w:hint="eastAsia" w:ascii="仿宋_GB2312" w:hAnsi="仿宋_GB2312" w:eastAsia="仿宋_GB2312" w:cs="仿宋_GB2312"/>
          <w:color w:val="auto"/>
          <w:sz w:val="32"/>
          <w:szCs w:val="32"/>
          <w:highlight w:val="none"/>
          <w:lang w:val="en-US" w:eastAsia="zh-CN"/>
        </w:rPr>
        <w:t>551</w:t>
      </w:r>
      <w:r>
        <w:rPr>
          <w:rFonts w:hint="eastAsia" w:ascii="仿宋_GB2312" w:hAnsi="仿宋_GB2312" w:eastAsia="仿宋_GB2312" w:cs="仿宋_GB2312"/>
          <w:color w:val="auto"/>
          <w:sz w:val="32"/>
          <w:szCs w:val="32"/>
          <w:highlight w:val="none"/>
        </w:rPr>
        <w:t>辆；单位价值50万元以上通用设备</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台（套），单位价值100万元以上专用设备</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台（套）。</w:t>
      </w:r>
    </w:p>
    <w:p>
      <w:pPr>
        <w:widowControl/>
        <w:spacing w:line="590" w:lineRule="exact"/>
        <w:ind w:firstLine="640" w:firstLineChars="200"/>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许昌市人民政府关于全面实施预算绩效管理的实施意见》（许发〔2021〕13号）文件要求，对本单位整体支出和项目支出开展全过程预算绩效管理。2021年我单位纳入预算绩效管理的支出总额为</w:t>
      </w:r>
      <w:r>
        <w:rPr>
          <w:rFonts w:hint="eastAsia" w:ascii="仿宋_GB2312" w:hAnsi="仿宋_GB2312" w:eastAsia="仿宋_GB2312"/>
          <w:color w:val="auto"/>
          <w:sz w:val="32"/>
          <w:szCs w:val="24"/>
          <w:highlight w:val="none"/>
        </w:rPr>
        <w:t>1263.59</w:t>
      </w:r>
      <w:r>
        <w:rPr>
          <w:rFonts w:hint="eastAsia" w:ascii="仿宋_GB2312" w:hAnsi="仿宋_GB2312" w:eastAsia="仿宋_GB2312" w:cs="仿宋_GB2312"/>
          <w:color w:val="auto"/>
          <w:sz w:val="32"/>
          <w:szCs w:val="32"/>
          <w:highlight w:val="none"/>
          <w:lang w:val="en-US" w:eastAsia="zh-CN"/>
        </w:rPr>
        <w:t>万元，其中：基本支出</w:t>
      </w:r>
      <w:r>
        <w:rPr>
          <w:rFonts w:hint="eastAsia" w:ascii="仿宋_GB2312" w:hAnsi="仿宋_GB2312" w:eastAsia="仿宋_GB2312"/>
          <w:color w:val="auto"/>
          <w:sz w:val="32"/>
          <w:szCs w:val="24"/>
          <w:highlight w:val="none"/>
          <w:lang w:val="en-US" w:eastAsia="zh-CN"/>
        </w:rPr>
        <w:t>5.00</w:t>
      </w:r>
      <w:r>
        <w:rPr>
          <w:rFonts w:hint="eastAsia" w:ascii="仿宋_GB2312" w:hAnsi="仿宋_GB2312" w:eastAsia="仿宋_GB2312" w:cs="仿宋_GB2312"/>
          <w:color w:val="auto"/>
          <w:sz w:val="32"/>
          <w:szCs w:val="32"/>
          <w:highlight w:val="none"/>
          <w:lang w:val="en-US" w:eastAsia="zh-CN"/>
        </w:rPr>
        <w:t>万元；支出项目2个，支出金额1258.59万元。开展项目绩效自评项目0个，自评金额0.00万元；纳入重点绩效评价0个，评价金额0.00万元。</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ind w:firstLine="640" w:firstLineChars="200"/>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按照《许昌市财政局关于开展2021年度市级预算绩效自评工作的通知》（许财效〔2021〕1号）等文件精神，我单位对本单位整体绩效目标和项目支出绩效目标进行了自评。一是单位整体绩效自评情况。</w:t>
      </w:r>
      <w:r>
        <w:rPr>
          <w:rFonts w:hint="eastAsia" w:ascii="仿宋_GB2312" w:hAnsi="仿宋_GB2312" w:eastAsia="仿宋_GB2312" w:cs="仿宋_GB2312"/>
          <w:color w:val="auto"/>
          <w:sz w:val="32"/>
          <w:szCs w:val="32"/>
          <w:highlight w:val="none"/>
          <w:lang w:eastAsia="zh-CN"/>
        </w:rPr>
        <w:t>我</w:t>
      </w:r>
      <w:r>
        <w:rPr>
          <w:rFonts w:hint="eastAsia" w:ascii="仿宋_GB2312" w:hAnsi="仿宋_GB2312" w:eastAsia="仿宋_GB2312" w:cs="仿宋_GB2312"/>
          <w:color w:val="auto"/>
          <w:sz w:val="32"/>
          <w:szCs w:val="32"/>
          <w:highlight w:val="none"/>
          <w:lang w:val="en-US" w:eastAsia="zh-CN"/>
        </w:rPr>
        <w:t>单位本着清晰明确可量化、可实现的原则，切实结合我单位工作实际，使单位整体绩效评价指标具有较强的针对性，充分体现出我单位的工作的性质、工作内容和特点。根据绩效评价结果来看，绩效指标设定较为科学、合理，体现了针对性和可实现性。总体评价结果等次为“优”。二是项目绩效自评情况。</w:t>
      </w:r>
      <w:r>
        <w:rPr>
          <w:rFonts w:hint="eastAsia" w:ascii="仿宋_GB2312" w:hAnsi="仿宋_GB2312" w:eastAsia="仿宋_GB2312" w:cs="仿宋_GB2312"/>
          <w:color w:val="auto"/>
          <w:sz w:val="32"/>
          <w:szCs w:val="32"/>
          <w:highlight w:val="none"/>
          <w:lang w:val="en-US" w:eastAsia="zh-CN"/>
        </w:rPr>
        <w:t>我单位共有0个项目批复了绩效目标，项目金额0.00万元。</w:t>
      </w: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基于项目预期目标的实现程度，对2021年度项目支出绩效进行自评，绩效自评平均得分为/分。其中：0个项目评价等级为“优”、0个项目评价等级为“良”、0个项目评价等级为“中”、0个项目评价等级为“差”。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964" w:firstLineChars="3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2021年度我单位没有开展重点绩效评价的项目。</w:t>
      </w: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sectPr>
          <w:pgSz w:w="11906" w:h="16838"/>
          <w:pgMar w:top="1440" w:right="1531" w:bottom="1440" w:left="1587" w:header="850" w:footer="992" w:gutter="0"/>
          <w:pgBorders>
            <w:top w:val="none" w:sz="0" w:space="0"/>
            <w:left w:val="none" w:sz="0" w:space="0"/>
            <w:bottom w:val="none" w:sz="0" w:space="0"/>
            <w:right w:val="none" w:sz="0" w:space="0"/>
          </w:pgBorders>
          <w:pgNumType w:fmt="numberInDash"/>
          <w:cols w:space="720" w:num="1"/>
          <w:docGrid w:type="lines" w:linePitch="317" w:charSpace="0"/>
        </w:sect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widowControl/>
        <w:jc w:val="left"/>
        <w:rPr>
          <w:rFonts w:hint="eastAsia"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第四部分  名词解释</w:t>
      </w:r>
    </w:p>
    <w:p>
      <w:pPr>
        <w:jc w:val="center"/>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Borders>
            <w:top w:val="none" w:sz="0" w:space="0"/>
            <w:left w:val="none" w:sz="0" w:space="0"/>
            <w:bottom w:val="none" w:sz="0" w:space="0"/>
            <w:right w:val="none" w:sz="0" w:space="0"/>
          </w:pgBorders>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十六、年末结余：本年度或以前年度预算安排，已执行完毕或因客观条件发生变化无法按原预算安排实施，不需要再使用或无法按原预算安排继续使用的资金。</w:t>
      </w:r>
    </w:p>
    <w:bookmarkEnd w:id="0"/>
    <w:sectPr>
      <w:pgSz w:w="11906" w:h="16838"/>
      <w:pgMar w:top="1928" w:right="1474" w:bottom="1701" w:left="1588"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wrap="none" lIns="0" tIns="0" rIns="0" bIns="0" upright="0">
                      <a:spAutoFit/>
                    </wps:bodyPr>
                  </wps:wsp>
                </a:graphicData>
              </a:graphic>
            </wp:anchor>
          </w:drawing>
        </mc:Choice>
        <mc:Fallback>
          <w:pict>
            <v:shape id="文本框 1030"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AegnfyQEAAJw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wrap="none" lIns="0" tIns="0" rIns="0" bIns="0" upright="0">
                      <a:spAutoFit/>
                    </wps:bodyPr>
                  </wps:wsp>
                </a:graphicData>
              </a:graphic>
            </wp:anchor>
          </w:drawing>
        </mc:Choice>
        <mc:Fallback>
          <w:pict>
            <v:shape id="文本框 1031"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p3kmnLAQAAnAMAAA4AAAAAAAAAAQAgAAAAHgEAAGRycy9lMm9E&#10;b2MueG1sUEsFBgAAAAAGAAYAWQEAAFs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3E6509"/>
    <w:multiLevelType w:val="singleLevel"/>
    <w:tmpl w:val="9A3E6509"/>
    <w:lvl w:ilvl="0" w:tentative="0">
      <w:start w:val="1"/>
      <w:numFmt w:val="chineseCounting"/>
      <w:suff w:val="space"/>
      <w:lvlText w:val="第%1部分"/>
      <w:lvlJc w:val="left"/>
      <w:rPr>
        <w:rFonts w:hint="eastAsia"/>
      </w:rPr>
    </w:lvl>
  </w:abstractNum>
  <w:abstractNum w:abstractNumId="1">
    <w:nsid w:val="5971BE17"/>
    <w:multiLevelType w:val="singleLevel"/>
    <w:tmpl w:val="5971BE17"/>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zMmNhMmI2OGM1NmNkZjBmOGIxOWRhMjk5NzcyYmUifQ=="/>
  </w:docVars>
  <w:rsids>
    <w:rsidRoot w:val="00172A27"/>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51832"/>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322275"/>
    <w:rsid w:val="01DC6F05"/>
    <w:rsid w:val="02A3489A"/>
    <w:rsid w:val="02CA138D"/>
    <w:rsid w:val="033646FC"/>
    <w:rsid w:val="03C75F80"/>
    <w:rsid w:val="0478364D"/>
    <w:rsid w:val="053D4C0D"/>
    <w:rsid w:val="0557532E"/>
    <w:rsid w:val="06836E20"/>
    <w:rsid w:val="0799329C"/>
    <w:rsid w:val="081C2C4C"/>
    <w:rsid w:val="08397436"/>
    <w:rsid w:val="086F16A7"/>
    <w:rsid w:val="08C97472"/>
    <w:rsid w:val="0A0F7225"/>
    <w:rsid w:val="0A2B7D82"/>
    <w:rsid w:val="0A7B04A7"/>
    <w:rsid w:val="0ADC40E9"/>
    <w:rsid w:val="0AE607F4"/>
    <w:rsid w:val="0B386127"/>
    <w:rsid w:val="0B451598"/>
    <w:rsid w:val="0BEC73F4"/>
    <w:rsid w:val="0C392698"/>
    <w:rsid w:val="0D5C557D"/>
    <w:rsid w:val="0DF649F6"/>
    <w:rsid w:val="0EC96AFC"/>
    <w:rsid w:val="10BD36F6"/>
    <w:rsid w:val="11BF0649"/>
    <w:rsid w:val="123E3E08"/>
    <w:rsid w:val="133212F4"/>
    <w:rsid w:val="13D22E22"/>
    <w:rsid w:val="161C2DFF"/>
    <w:rsid w:val="16373578"/>
    <w:rsid w:val="16D3336B"/>
    <w:rsid w:val="17200028"/>
    <w:rsid w:val="17806C36"/>
    <w:rsid w:val="17A51A81"/>
    <w:rsid w:val="17A74F62"/>
    <w:rsid w:val="18A47774"/>
    <w:rsid w:val="192C2A25"/>
    <w:rsid w:val="1A8D28EB"/>
    <w:rsid w:val="1A9F2D78"/>
    <w:rsid w:val="1B2E6FD8"/>
    <w:rsid w:val="1B877D21"/>
    <w:rsid w:val="1C4319A9"/>
    <w:rsid w:val="1E443B4B"/>
    <w:rsid w:val="1E994F4A"/>
    <w:rsid w:val="1EAF0224"/>
    <w:rsid w:val="1F2230A4"/>
    <w:rsid w:val="20210932"/>
    <w:rsid w:val="202448E0"/>
    <w:rsid w:val="208D2FFB"/>
    <w:rsid w:val="20F614FE"/>
    <w:rsid w:val="21302EEA"/>
    <w:rsid w:val="22376FB5"/>
    <w:rsid w:val="23E152D7"/>
    <w:rsid w:val="23EE2489"/>
    <w:rsid w:val="255D43C8"/>
    <w:rsid w:val="26714EF8"/>
    <w:rsid w:val="26876BDD"/>
    <w:rsid w:val="2714632A"/>
    <w:rsid w:val="27541E73"/>
    <w:rsid w:val="27B0539E"/>
    <w:rsid w:val="292C7FA3"/>
    <w:rsid w:val="29365CF8"/>
    <w:rsid w:val="299469B3"/>
    <w:rsid w:val="2A805789"/>
    <w:rsid w:val="2ADC0D75"/>
    <w:rsid w:val="2B4A0E52"/>
    <w:rsid w:val="2C975890"/>
    <w:rsid w:val="2CF55060"/>
    <w:rsid w:val="2DEF21BB"/>
    <w:rsid w:val="2E4A2F05"/>
    <w:rsid w:val="2ECC1061"/>
    <w:rsid w:val="2F1D6B3D"/>
    <w:rsid w:val="2FA476AD"/>
    <w:rsid w:val="303F7540"/>
    <w:rsid w:val="31DD00BF"/>
    <w:rsid w:val="3293174C"/>
    <w:rsid w:val="32BB38D4"/>
    <w:rsid w:val="32C9376D"/>
    <w:rsid w:val="33780472"/>
    <w:rsid w:val="33AF0905"/>
    <w:rsid w:val="34BF0924"/>
    <w:rsid w:val="355932F4"/>
    <w:rsid w:val="35611882"/>
    <w:rsid w:val="36746FC3"/>
    <w:rsid w:val="368763AE"/>
    <w:rsid w:val="38887A3A"/>
    <w:rsid w:val="395D59E7"/>
    <w:rsid w:val="39A93932"/>
    <w:rsid w:val="3A10004C"/>
    <w:rsid w:val="3A743148"/>
    <w:rsid w:val="3A915562"/>
    <w:rsid w:val="3B8D4765"/>
    <w:rsid w:val="3C000DBA"/>
    <w:rsid w:val="3C765DE7"/>
    <w:rsid w:val="3CB26374"/>
    <w:rsid w:val="3DC045D3"/>
    <w:rsid w:val="3E504FFB"/>
    <w:rsid w:val="3E615CD0"/>
    <w:rsid w:val="3E9C47F6"/>
    <w:rsid w:val="3F8B0112"/>
    <w:rsid w:val="3F941C6F"/>
    <w:rsid w:val="3FAB3095"/>
    <w:rsid w:val="3FE45947"/>
    <w:rsid w:val="41242965"/>
    <w:rsid w:val="435671EA"/>
    <w:rsid w:val="437D4BB7"/>
    <w:rsid w:val="440809E9"/>
    <w:rsid w:val="442407A6"/>
    <w:rsid w:val="442B1604"/>
    <w:rsid w:val="44761A62"/>
    <w:rsid w:val="44805EA1"/>
    <w:rsid w:val="45710696"/>
    <w:rsid w:val="46142B1B"/>
    <w:rsid w:val="47E60DD0"/>
    <w:rsid w:val="48735039"/>
    <w:rsid w:val="492C684B"/>
    <w:rsid w:val="49500594"/>
    <w:rsid w:val="49E7604E"/>
    <w:rsid w:val="4B1A3361"/>
    <w:rsid w:val="4BF67CDD"/>
    <w:rsid w:val="4D173441"/>
    <w:rsid w:val="4D603DD6"/>
    <w:rsid w:val="4EBF010F"/>
    <w:rsid w:val="4F471EB0"/>
    <w:rsid w:val="51331326"/>
    <w:rsid w:val="51740A7F"/>
    <w:rsid w:val="51A5541E"/>
    <w:rsid w:val="51C96242"/>
    <w:rsid w:val="53906AE1"/>
    <w:rsid w:val="54F46F60"/>
    <w:rsid w:val="55A37BEA"/>
    <w:rsid w:val="56362CD2"/>
    <w:rsid w:val="57200F59"/>
    <w:rsid w:val="5784687B"/>
    <w:rsid w:val="57846959"/>
    <w:rsid w:val="578E6A87"/>
    <w:rsid w:val="59B20671"/>
    <w:rsid w:val="5AC2203A"/>
    <w:rsid w:val="5CBB3334"/>
    <w:rsid w:val="5D115FAF"/>
    <w:rsid w:val="5D30277E"/>
    <w:rsid w:val="5EF639DB"/>
    <w:rsid w:val="5FFF525C"/>
    <w:rsid w:val="62811722"/>
    <w:rsid w:val="62D52F2F"/>
    <w:rsid w:val="62E75A72"/>
    <w:rsid w:val="63B85327"/>
    <w:rsid w:val="64571880"/>
    <w:rsid w:val="649125B6"/>
    <w:rsid w:val="652F4C1A"/>
    <w:rsid w:val="666D37F1"/>
    <w:rsid w:val="67087D8F"/>
    <w:rsid w:val="671F687E"/>
    <w:rsid w:val="67F415F8"/>
    <w:rsid w:val="682640D1"/>
    <w:rsid w:val="684B73E5"/>
    <w:rsid w:val="6A047A2A"/>
    <w:rsid w:val="6EFB7548"/>
    <w:rsid w:val="6F3831C3"/>
    <w:rsid w:val="6F8B71C1"/>
    <w:rsid w:val="6FA25A03"/>
    <w:rsid w:val="70753482"/>
    <w:rsid w:val="707B522A"/>
    <w:rsid w:val="73194D05"/>
    <w:rsid w:val="73A83B0E"/>
    <w:rsid w:val="744D3EF9"/>
    <w:rsid w:val="74794411"/>
    <w:rsid w:val="75867C40"/>
    <w:rsid w:val="75B10B26"/>
    <w:rsid w:val="76432199"/>
    <w:rsid w:val="76F44829"/>
    <w:rsid w:val="77A267C0"/>
    <w:rsid w:val="78882278"/>
    <w:rsid w:val="78B118A6"/>
    <w:rsid w:val="79135044"/>
    <w:rsid w:val="7A7D0F99"/>
    <w:rsid w:val="7DE56B55"/>
    <w:rsid w:val="7DF712DD"/>
    <w:rsid w:val="7E4A0E7C"/>
    <w:rsid w:val="7EBF3243"/>
    <w:rsid w:val="7EFD449D"/>
    <w:rsid w:val="FDDFE23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批注框文本 Char"/>
    <w:link w:val="2"/>
    <w:semiHidden/>
    <w:qFormat/>
    <w:uiPriority w:val="99"/>
    <w:rPr>
      <w:kern w:val="2"/>
      <w:sz w:val="18"/>
      <w:szCs w:val="18"/>
    </w:rPr>
  </w:style>
  <w:style w:type="character" w:customStyle="1" w:styleId="11">
    <w:name w:val="页脚 Char"/>
    <w:link w:val="3"/>
    <w:qFormat/>
    <w:uiPriority w:val="99"/>
    <w:rPr>
      <w:kern w:val="2"/>
      <w:sz w:val="18"/>
      <w:szCs w:val="18"/>
    </w:rPr>
  </w:style>
  <w:style w:type="character" w:customStyle="1" w:styleId="12">
    <w:name w:val="页眉 Char"/>
    <w:link w:val="4"/>
    <w:qFormat/>
    <w:uiPriority w:val="99"/>
    <w:rPr>
      <w:kern w:val="2"/>
      <w:sz w:val="18"/>
      <w:szCs w:val="18"/>
    </w:rPr>
  </w:style>
  <w:style w:type="character" w:customStyle="1" w:styleId="13">
    <w:name w:val="font01"/>
    <w:qFormat/>
    <w:uiPriority w:val="0"/>
    <w:rPr>
      <w:rFonts w:hint="eastAsia" w:ascii="宋体" w:hAnsi="宋体" w:eastAsia="宋体" w:cs="宋体"/>
      <w:color w:val="000000"/>
      <w:sz w:val="22"/>
      <w:szCs w:val="22"/>
      <w:u w:val="none"/>
    </w:rPr>
  </w:style>
  <w:style w:type="character" w:customStyle="1" w:styleId="14">
    <w:name w:val="font21"/>
    <w:qFormat/>
    <w:uiPriority w:val="0"/>
    <w:rPr>
      <w:rFonts w:hint="eastAsia" w:ascii="宋体" w:hAnsi="宋体" w:eastAsia="宋体" w:cs="宋体"/>
      <w:color w:val="000000"/>
      <w:sz w:val="22"/>
      <w:szCs w:val="22"/>
      <w:u w:val="none"/>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11"/>
    <w:qFormat/>
    <w:uiPriority w:val="0"/>
    <w:rPr>
      <w:rFonts w:hint="eastAsia" w:ascii="宋体" w:hAnsi="宋体" w:eastAsia="宋体" w:cs="宋体"/>
      <w:color w:val="000000"/>
      <w:sz w:val="20"/>
      <w:szCs w:val="20"/>
      <w:u w:val="none"/>
    </w:rPr>
  </w:style>
  <w:style w:type="character" w:customStyle="1" w:styleId="17">
    <w:name w:val="font41"/>
    <w:qFormat/>
    <w:uiPriority w:val="0"/>
    <w:rPr>
      <w:rFonts w:hint="eastAsia" w:ascii="宋体" w:hAnsi="宋体" w:eastAsia="宋体" w:cs="宋体"/>
      <w:color w:val="000000"/>
      <w:sz w:val="24"/>
      <w:szCs w:val="24"/>
      <w:u w:val="none"/>
    </w:rPr>
  </w:style>
  <w:style w:type="paragraph" w:customStyle="1" w:styleId="18">
    <w:name w:val="正文缩进1"/>
    <w:basedOn w:val="1"/>
    <w:qFormat/>
    <w:uiPriority w:val="0"/>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26</Pages>
  <Words>7526</Words>
  <Characters>8955</Characters>
  <Lines>60</Lines>
  <Paragraphs>16</Paragraphs>
  <TotalTime>305</TotalTime>
  <ScaleCrop>false</ScaleCrop>
  <LinksUpToDate>false</LinksUpToDate>
  <CharactersWithSpaces>9155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2007-11-29T19:41:00Z</dcterms:created>
  <dc:creator>管理者</dc:creator>
  <cp:lastModifiedBy>悟の</cp:lastModifiedBy>
  <cp:lastPrinted>2018-07-25T02:50:00Z</cp:lastPrinted>
  <dcterms:modified xsi:type="dcterms:W3CDTF">2023-09-17T11:08:31Z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AB6B43A09C434B66A59B145CAE02B1C9</vt:lpwstr>
  </property>
</Properties>
</file>