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宋体" w:eastAsia="黑体" w:cs="宋体"/>
          <w:kern w:val="0"/>
          <w:sz w:val="28"/>
          <w:szCs w:val="28"/>
          <w:highlight w:val="none"/>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52"/>
          <w:szCs w:val="52"/>
          <w:highlight w:val="none"/>
        </w:rPr>
      </w:pPr>
      <w:r>
        <w:rPr>
          <w:rFonts w:hint="eastAsia" w:ascii="黑体" w:hAnsi="黑体" w:eastAsia="黑体" w:cs="黑体"/>
          <w:sz w:val="52"/>
          <w:szCs w:val="52"/>
          <w:highlight w:val="none"/>
          <w:lang w:eastAsia="zh-CN"/>
        </w:rPr>
        <w:t>中国国际贸易促委员会河南省分会许昌支会</w:t>
      </w:r>
      <w:r>
        <w:rPr>
          <w:rFonts w:hint="eastAsia" w:ascii="黑体" w:hAnsi="黑体" w:eastAsia="黑体" w:cs="黑体"/>
          <w:sz w:val="52"/>
          <w:szCs w:val="52"/>
          <w:highlight w:val="none"/>
        </w:rPr>
        <w:t>决算</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cs="黑体"/>
          <w:sz w:val="52"/>
          <w:szCs w:val="52"/>
          <w:highlight w:val="none"/>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52"/>
          <w:szCs w:val="52"/>
          <w:highlight w:val="none"/>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52"/>
          <w:szCs w:val="52"/>
          <w:highlight w:val="none"/>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52"/>
          <w:szCs w:val="52"/>
          <w:highlight w:val="none"/>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52"/>
          <w:szCs w:val="52"/>
          <w:highlight w:val="none"/>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52"/>
          <w:szCs w:val="52"/>
          <w:highlight w:val="none"/>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52"/>
          <w:szCs w:val="52"/>
          <w:highlight w:val="none"/>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52"/>
          <w:szCs w:val="52"/>
          <w:highlight w:val="none"/>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52"/>
          <w:szCs w:val="52"/>
          <w:highlight w:val="none"/>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52"/>
          <w:szCs w:val="52"/>
          <w:highlight w:val="none"/>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52"/>
          <w:szCs w:val="52"/>
          <w:highlight w:val="none"/>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highlight w:val="none"/>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highlight w:val="none"/>
        </w:rPr>
      </w:pPr>
      <w:r>
        <w:rPr>
          <w:rFonts w:hint="eastAsia" w:ascii="黑体" w:hAnsi="黑体" w:eastAsia="黑体" w:cs="黑体"/>
          <w:sz w:val="36"/>
          <w:szCs w:val="36"/>
          <w:highlight w:val="none"/>
        </w:rPr>
        <w:t>目　　录</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highlight w:val="none"/>
        </w:rPr>
      </w:pPr>
    </w:p>
    <w:p>
      <w:pPr>
        <w:keepNext w:val="0"/>
        <w:keepLines w:val="0"/>
        <w:pageBreakBefore w:val="0"/>
        <w:numPr>
          <w:ilvl w:val="0"/>
          <w:numId w:val="0"/>
        </w:numPr>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第一部分</w:t>
      </w:r>
      <w:r>
        <w:rPr>
          <w:rFonts w:hint="eastAsia" w:ascii="黑体" w:hAnsi="黑体" w:eastAsia="黑体" w:cs="黑体"/>
          <w:sz w:val="32"/>
          <w:szCs w:val="32"/>
          <w:highlight w:val="none"/>
          <w:lang w:val="en-US" w:eastAsia="zh-CN"/>
        </w:rPr>
        <w:t xml:space="preserve">  </w:t>
      </w:r>
      <w:r>
        <w:rPr>
          <w:rFonts w:hint="eastAsia" w:ascii="黑体" w:hAnsi="黑体" w:eastAsia="黑体" w:cs="黑体"/>
          <w:sz w:val="32"/>
          <w:szCs w:val="32"/>
          <w:highlight w:val="none"/>
          <w:lang w:eastAsia="zh-CN"/>
        </w:rPr>
        <w:t>中国国际贸易促进委员会河南省分会</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1600" w:firstLineChars="500"/>
        <w:jc w:val="left"/>
        <w:textAlignment w:val="auto"/>
        <w:rPr>
          <w:rFonts w:ascii="黑体" w:hAnsi="黑体" w:eastAsia="黑体" w:cs="黑体"/>
          <w:sz w:val="32"/>
          <w:szCs w:val="32"/>
          <w:highlight w:val="none"/>
        </w:rPr>
      </w:pPr>
      <w:r>
        <w:rPr>
          <w:rFonts w:hint="eastAsia" w:ascii="黑体" w:hAnsi="黑体" w:eastAsia="黑体" w:cs="黑体"/>
          <w:sz w:val="32"/>
          <w:szCs w:val="32"/>
          <w:highlight w:val="none"/>
          <w:lang w:eastAsia="zh-CN"/>
        </w:rPr>
        <w:t>许昌支会</w:t>
      </w:r>
      <w:r>
        <w:rPr>
          <w:rFonts w:hint="eastAsia" w:ascii="黑体" w:hAnsi="黑体" w:eastAsia="黑体" w:cs="黑体"/>
          <w:sz w:val="32"/>
          <w:szCs w:val="32"/>
          <w:highlight w:val="none"/>
        </w:rPr>
        <w:t>概况</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ascii="宋体" w:hAnsi="宋体" w:cs="宋体"/>
          <w:sz w:val="32"/>
          <w:szCs w:val="32"/>
          <w:highlight w:val="none"/>
        </w:rPr>
      </w:pPr>
      <w:r>
        <w:rPr>
          <w:rFonts w:hint="eastAsia" w:ascii="宋体" w:hAnsi="宋体" w:cs="宋体"/>
          <w:sz w:val="32"/>
          <w:szCs w:val="32"/>
          <w:highlight w:val="none"/>
          <w:lang w:eastAsia="zh-CN"/>
        </w:rPr>
        <w:t>单位</w:t>
      </w:r>
      <w:r>
        <w:rPr>
          <w:rFonts w:hint="eastAsia" w:ascii="宋体" w:hAnsi="宋体" w:cs="宋体"/>
          <w:sz w:val="32"/>
          <w:szCs w:val="32"/>
          <w:highlight w:val="none"/>
        </w:rPr>
        <w:t>职责</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ascii="宋体" w:hAnsi="宋体" w:cs="宋体"/>
          <w:sz w:val="32"/>
          <w:szCs w:val="32"/>
          <w:highlight w:val="none"/>
        </w:rPr>
      </w:pPr>
      <w:r>
        <w:rPr>
          <w:rFonts w:hint="eastAsia" w:ascii="宋体" w:hAnsi="宋体" w:cs="宋体"/>
          <w:sz w:val="32"/>
          <w:szCs w:val="32"/>
          <w:highlight w:val="none"/>
        </w:rPr>
        <w:t>机构设置</w:t>
      </w:r>
    </w:p>
    <w:p>
      <w:pPr>
        <w:keepNext w:val="0"/>
        <w:keepLines w:val="0"/>
        <w:pageBreakBefore w:val="0"/>
        <w:kinsoku/>
        <w:wordWrap/>
        <w:overflowPunct/>
        <w:topLinePunct w:val="0"/>
        <w:autoSpaceDE/>
        <w:autoSpaceDN/>
        <w:bidi w:val="0"/>
        <w:adjustRightInd/>
        <w:snapToGrid/>
        <w:spacing w:line="560" w:lineRule="exact"/>
        <w:jc w:val="left"/>
        <w:textAlignment w:val="auto"/>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决算表</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cs="黑体"/>
          <w:sz w:val="32"/>
          <w:szCs w:val="32"/>
          <w:highlight w:val="none"/>
        </w:rPr>
      </w:pPr>
      <w:r>
        <w:rPr>
          <w:rFonts w:hint="eastAsia" w:ascii="宋体" w:hAnsi="宋体" w:cs="黑体"/>
          <w:sz w:val="32"/>
          <w:szCs w:val="32"/>
          <w:highlight w:val="none"/>
        </w:rPr>
        <w:t>二、收入决算表</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cs="黑体"/>
          <w:sz w:val="32"/>
          <w:szCs w:val="32"/>
          <w:highlight w:val="none"/>
        </w:rPr>
      </w:pPr>
      <w:r>
        <w:rPr>
          <w:rFonts w:hint="eastAsia" w:ascii="宋体" w:hAnsi="宋体" w:cs="黑体"/>
          <w:sz w:val="32"/>
          <w:szCs w:val="32"/>
          <w:highlight w:val="none"/>
        </w:rPr>
        <w:t>三、支出决算表</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宋体" w:hAnsi="宋体" w:cs="黑体"/>
          <w:sz w:val="32"/>
          <w:szCs w:val="32"/>
          <w:highlight w:val="none"/>
        </w:rPr>
      </w:pPr>
      <w:r>
        <w:rPr>
          <w:rFonts w:hint="eastAsia" w:ascii="宋体" w:hAnsi="宋体" w:cs="黑体"/>
          <w:sz w:val="32"/>
          <w:szCs w:val="32"/>
          <w:highlight w:val="none"/>
        </w:rPr>
        <w:t>四、财政拨款收入支出决算总表</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决算情况说明</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宋体" w:hAnsi="宋体" w:cs="宋体"/>
          <w:sz w:val="32"/>
          <w:szCs w:val="32"/>
          <w:highlight w:val="none"/>
        </w:rPr>
      </w:pPr>
      <w:r>
        <w:rPr>
          <w:rFonts w:hint="eastAsia" w:ascii="宋体" w:hAnsi="宋体" w:cs="宋体"/>
          <w:sz w:val="32"/>
          <w:szCs w:val="32"/>
          <w:highlight w:val="none"/>
        </w:rPr>
        <w:t>十一、国有资产占用情况说明</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0"/>
        <w:rPr>
          <w:rFonts w:hint="eastAsia" w:ascii="黑体" w:hAnsi="黑体" w:eastAsia="黑体" w:cs="黑体"/>
          <w:sz w:val="48"/>
          <w:szCs w:val="48"/>
          <w:highlight w:val="none"/>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黑体" w:hAnsi="黑体" w:eastAsia="黑体" w:cs="黑体"/>
          <w:sz w:val="48"/>
          <w:szCs w:val="48"/>
          <w:highlight w:val="none"/>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黑体" w:hAnsi="黑体" w:eastAsia="黑体" w:cs="黑体"/>
          <w:sz w:val="48"/>
          <w:szCs w:val="48"/>
          <w:highlight w:val="none"/>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黑体" w:hAnsi="黑体" w:eastAsia="黑体" w:cs="黑体"/>
          <w:sz w:val="48"/>
          <w:szCs w:val="48"/>
          <w:highlight w:val="none"/>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黑体" w:hAnsi="黑体" w:eastAsia="黑体" w:cs="黑体"/>
          <w:sz w:val="48"/>
          <w:szCs w:val="48"/>
          <w:highlight w:val="none"/>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黑体" w:hAnsi="黑体" w:eastAsia="黑体" w:cs="黑体"/>
          <w:sz w:val="48"/>
          <w:szCs w:val="48"/>
          <w:highlight w:val="none"/>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黑体" w:hAnsi="黑体" w:eastAsia="黑体" w:cs="黑体"/>
          <w:sz w:val="48"/>
          <w:szCs w:val="48"/>
          <w:highlight w:val="none"/>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黑体" w:hAnsi="黑体" w:eastAsia="黑体" w:cs="黑体"/>
          <w:sz w:val="48"/>
          <w:szCs w:val="48"/>
          <w:highlight w:val="none"/>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黑体" w:hAnsi="黑体" w:eastAsia="黑体" w:cs="黑体"/>
          <w:sz w:val="48"/>
          <w:szCs w:val="48"/>
          <w:highlight w:val="none"/>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黑体" w:hAnsi="黑体" w:eastAsia="黑体" w:cs="黑体"/>
          <w:sz w:val="48"/>
          <w:szCs w:val="48"/>
          <w:highlight w:val="none"/>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黑体" w:hAnsi="黑体" w:eastAsia="黑体" w:cs="黑体"/>
          <w:sz w:val="48"/>
          <w:szCs w:val="48"/>
          <w:highlight w:val="none"/>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黑体" w:hAnsi="黑体" w:eastAsia="黑体" w:cs="黑体"/>
          <w:sz w:val="48"/>
          <w:szCs w:val="48"/>
          <w:highlight w:val="none"/>
        </w:rPr>
      </w:pPr>
    </w:p>
    <w:p>
      <w:pPr>
        <w:keepNext w:val="0"/>
        <w:keepLines w:val="0"/>
        <w:pageBreakBefore w:val="0"/>
        <w:widowControl/>
        <w:numPr>
          <w:ilvl w:val="0"/>
          <w:numId w:val="2"/>
        </w:numPr>
        <w:kinsoku/>
        <w:wordWrap/>
        <w:overflowPunct/>
        <w:topLinePunct w:val="0"/>
        <w:autoSpaceDE/>
        <w:autoSpaceDN/>
        <w:bidi w:val="0"/>
        <w:adjustRightInd/>
        <w:snapToGrid/>
        <w:spacing w:line="560" w:lineRule="exact"/>
        <w:jc w:val="center"/>
        <w:textAlignment w:val="auto"/>
        <w:outlineLvl w:val="0"/>
        <w:rPr>
          <w:rFonts w:hint="eastAsia" w:ascii="黑体" w:hAnsi="黑体" w:eastAsia="黑体" w:cs="黑体"/>
          <w:sz w:val="48"/>
          <w:szCs w:val="48"/>
          <w:highlight w:val="none"/>
          <w:lang w:eastAsia="zh-CN"/>
        </w:rPr>
      </w:pPr>
      <w:r>
        <w:rPr>
          <w:rFonts w:hint="eastAsia" w:ascii="黑体" w:hAnsi="黑体" w:eastAsia="黑体" w:cs="黑体"/>
          <w:sz w:val="48"/>
          <w:szCs w:val="48"/>
          <w:highlight w:val="none"/>
        </w:rPr>
        <w:t xml:space="preserve"> </w:t>
      </w:r>
      <w:r>
        <w:rPr>
          <w:rFonts w:hint="eastAsia" w:ascii="黑体" w:hAnsi="黑体" w:eastAsia="黑体" w:cs="黑体"/>
          <w:sz w:val="48"/>
          <w:szCs w:val="48"/>
          <w:highlight w:val="none"/>
          <w:lang w:eastAsia="zh-CN"/>
        </w:rPr>
        <w:t>中国国际贸易促进委员会</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center"/>
        <w:textAlignment w:val="auto"/>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lang w:val="en-US" w:eastAsia="zh-CN"/>
        </w:rPr>
        <w:t xml:space="preserve">          </w:t>
      </w:r>
      <w:r>
        <w:rPr>
          <w:rFonts w:hint="eastAsia" w:ascii="黑体" w:hAnsi="黑体" w:eastAsia="黑体" w:cs="黑体"/>
          <w:sz w:val="48"/>
          <w:szCs w:val="48"/>
          <w:highlight w:val="none"/>
          <w:lang w:eastAsia="zh-CN"/>
        </w:rPr>
        <w:t>河南省分会许昌支会</w:t>
      </w:r>
      <w:r>
        <w:rPr>
          <w:rFonts w:hint="eastAsia" w:ascii="黑体" w:hAnsi="黑体" w:eastAsia="黑体" w:cs="黑体"/>
          <w:sz w:val="48"/>
          <w:szCs w:val="48"/>
          <w:highlight w:val="none"/>
        </w:rPr>
        <w:t>概况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1"/>
        <w:rPr>
          <w:rFonts w:ascii="黑体" w:hAnsi="黑体" w:eastAsia="黑体" w:cs="黑体"/>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1"/>
        <w:rPr>
          <w:rFonts w:ascii="黑体" w:hAnsi="黑体" w:eastAsia="黑体" w:cs="黑体"/>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1"/>
        <w:rPr>
          <w:rFonts w:ascii="黑体" w:hAnsi="黑体" w:eastAsia="黑体" w:cs="黑体"/>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1"/>
        <w:rPr>
          <w:rFonts w:ascii="黑体" w:hAnsi="黑体" w:eastAsia="黑体" w:cs="黑体"/>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1"/>
        <w:rPr>
          <w:rFonts w:ascii="黑体" w:hAnsi="黑体" w:eastAsia="黑体" w:cs="黑体"/>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1"/>
        <w:rPr>
          <w:rFonts w:ascii="黑体" w:hAnsi="黑体" w:eastAsia="黑体" w:cs="黑体"/>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1"/>
        <w:rPr>
          <w:rFonts w:ascii="黑体" w:hAnsi="黑体" w:eastAsia="黑体" w:cs="黑体"/>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1"/>
        <w:rPr>
          <w:rFonts w:ascii="黑体" w:hAnsi="黑体" w:eastAsia="黑体" w:cs="黑体"/>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1"/>
        <w:rPr>
          <w:rFonts w:ascii="黑体" w:hAnsi="黑体" w:eastAsia="黑体" w:cs="黑体"/>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1"/>
        <w:rPr>
          <w:rFonts w:ascii="黑体" w:hAnsi="黑体" w:eastAsia="黑体" w:cs="黑体"/>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1"/>
        <w:rPr>
          <w:rFonts w:ascii="黑体" w:hAnsi="黑体" w:eastAsia="黑体" w:cs="黑体"/>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1"/>
        <w:rPr>
          <w:rFonts w:hint="eastAsia" w:ascii="黑体" w:hAnsi="黑体" w:eastAsia="黑体" w:cs="黑体"/>
          <w:kern w:val="0"/>
          <w:sz w:val="32"/>
          <w:szCs w:val="32"/>
          <w:highlight w:val="none"/>
        </w:rPr>
      </w:pPr>
      <w:bookmarkStart w:id="0" w:name="_GoBack"/>
      <w:bookmarkEnd w:id="0"/>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eastAsia="zh-CN"/>
        </w:rPr>
        <w:t>单位</w:t>
      </w:r>
      <w:r>
        <w:rPr>
          <w:rFonts w:hint="eastAsia" w:ascii="黑体" w:hAnsi="黑体" w:eastAsia="黑体" w:cs="黑体"/>
          <w:bCs/>
          <w:sz w:val="32"/>
          <w:szCs w:val="32"/>
          <w:highlight w:val="none"/>
        </w:rPr>
        <w:t>职责</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eastAsia="zh-CN"/>
        </w:rPr>
        <w:t>协助市政府和本市企业发展同世界不同国别、地区的经贸友好往来关系，促进本市出口创汇、利用外资、引进国外先进技术设备和各种形式的对外经济贸易交流和合作，为本市发展外向型经济提供必要的涉外法律保障；代表市政府行使受理、协调和查处外商投诉案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eastAsia="zh-CN"/>
        </w:rPr>
        <w:t>中国国际贸易促进委员会河南省分会许昌支会</w:t>
      </w:r>
      <w:r>
        <w:rPr>
          <w:rFonts w:hint="eastAsia" w:ascii="仿宋_GB2312" w:hAnsi="仿宋_GB2312" w:eastAsia="仿宋_GB2312" w:cs="仿宋_GB2312"/>
          <w:kern w:val="0"/>
          <w:sz w:val="32"/>
          <w:szCs w:val="32"/>
          <w:highlight w:val="none"/>
        </w:rPr>
        <w:t>内设机构</w:t>
      </w:r>
      <w:r>
        <w:rPr>
          <w:rFonts w:hint="eastAsia" w:ascii="仿宋_GB2312" w:hAnsi="仿宋_GB2312" w:eastAsia="仿宋_GB2312" w:cs="仿宋_GB2312"/>
          <w:kern w:val="0"/>
          <w:sz w:val="32"/>
          <w:szCs w:val="32"/>
          <w:highlight w:val="none"/>
          <w:lang w:val="en-US" w:eastAsia="zh-CN"/>
        </w:rPr>
        <w:t>1</w:t>
      </w:r>
      <w:r>
        <w:rPr>
          <w:rFonts w:hint="eastAsia" w:ascii="仿宋_GB2312" w:hAnsi="仿宋_GB2312" w:eastAsia="仿宋_GB2312" w:cs="仿宋_GB2312"/>
          <w:kern w:val="0"/>
          <w:sz w:val="32"/>
          <w:szCs w:val="32"/>
          <w:highlight w:val="none"/>
        </w:rPr>
        <w:t>个，包括：</w:t>
      </w:r>
      <w:r>
        <w:rPr>
          <w:rFonts w:hint="eastAsia" w:ascii="仿宋_GB2312" w:hAnsi="仿宋_GB2312" w:eastAsia="仿宋_GB2312" w:cs="仿宋_GB2312"/>
          <w:kern w:val="0"/>
          <w:sz w:val="32"/>
          <w:szCs w:val="32"/>
          <w:highlight w:val="none"/>
          <w:lang w:eastAsia="zh-CN"/>
        </w:rPr>
        <w:t>办公室</w:t>
      </w:r>
      <w:r>
        <w:rPr>
          <w:rFonts w:hint="eastAsia" w:ascii="仿宋_GB2312" w:hAnsi="仿宋_GB2312" w:eastAsia="仿宋_GB2312" w:cs="仿宋_GB2312"/>
          <w:kern w:val="0"/>
          <w:sz w:val="32"/>
          <w:szCs w:val="32"/>
          <w:highlight w:val="none"/>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rPr>
        <w:t>从决算单位构成看，</w:t>
      </w:r>
      <w:r>
        <w:rPr>
          <w:rFonts w:hint="eastAsia" w:ascii="仿宋_GB2312" w:hAnsi="仿宋_GB2312" w:eastAsia="仿宋_GB2312" w:cs="仿宋_GB2312"/>
          <w:kern w:val="0"/>
          <w:sz w:val="32"/>
          <w:szCs w:val="32"/>
          <w:highlight w:val="none"/>
          <w:lang w:eastAsia="zh-CN"/>
        </w:rPr>
        <w:t>中国国际贸易促进委员会河南省分会许昌支会单位</w:t>
      </w:r>
      <w:r>
        <w:rPr>
          <w:rFonts w:hint="eastAsia" w:ascii="仿宋_GB2312" w:hAnsi="仿宋_GB2312" w:eastAsia="仿宋_GB2312" w:cs="仿宋_GB2312"/>
          <w:kern w:val="0"/>
          <w:sz w:val="32"/>
          <w:szCs w:val="32"/>
          <w:highlight w:val="none"/>
        </w:rPr>
        <w:t>决算包括：本级决算</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1个</w:t>
      </w:r>
      <w:r>
        <w:rPr>
          <w:rFonts w:hint="eastAsia" w:ascii="仿宋_GB2312" w:hAnsi="仿宋_GB2312" w:eastAsia="仿宋_GB2312" w:cs="仿宋_GB2312"/>
          <w:kern w:val="0"/>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纳入本单位2021年度单位决算编制范围的单位共1个，具体是：</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lang w:val="en-US" w:eastAsia="zh-CN"/>
        </w:rPr>
        <w:t>1.</w:t>
      </w:r>
      <w:r>
        <w:rPr>
          <w:rFonts w:hint="eastAsia" w:ascii="仿宋_GB2312" w:hAnsi="仿宋_GB2312" w:eastAsia="仿宋_GB2312" w:cs="仿宋_GB2312"/>
          <w:kern w:val="0"/>
          <w:sz w:val="32"/>
          <w:szCs w:val="32"/>
          <w:highlight w:val="none"/>
          <w:lang w:eastAsia="zh-CN"/>
        </w:rPr>
        <w:t>中国国际</w:t>
      </w:r>
      <w:r>
        <w:rPr>
          <w:rFonts w:hint="eastAsia" w:ascii="仿宋_GB2312" w:hAnsi="仿宋_GB2312" w:eastAsia="仿宋_GB2312" w:cs="仿宋_GB2312"/>
          <w:color w:val="auto"/>
          <w:kern w:val="0"/>
          <w:sz w:val="32"/>
          <w:szCs w:val="32"/>
          <w:highlight w:val="none"/>
          <w:lang w:val="en-US" w:eastAsia="zh-CN"/>
        </w:rPr>
        <w:t>贸易促进委员会河南省分会许昌支会</w:t>
      </w:r>
    </w:p>
    <w:p>
      <w:pPr>
        <w:widowControl/>
        <w:spacing w:line="360" w:lineRule="auto"/>
        <w:ind w:firstLine="640" w:firstLineChars="200"/>
        <w:jc w:val="left"/>
        <w:rPr>
          <w:rFonts w:hint="eastAsia" w:ascii="仿宋_GB2312" w:hAnsi="仿宋_GB2312" w:eastAsia="仿宋_GB2312" w:cs="仿宋_GB2312"/>
          <w:kern w:val="0"/>
          <w:sz w:val="32"/>
          <w:szCs w:val="32"/>
          <w:highlight w:val="none"/>
        </w:rPr>
      </w:pPr>
    </w:p>
    <w:p>
      <w:pPr>
        <w:widowControl/>
        <w:spacing w:line="360" w:lineRule="auto"/>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6"/>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74"/>
        <w:gridCol w:w="915"/>
        <w:gridCol w:w="2190"/>
        <w:gridCol w:w="3945"/>
        <w:gridCol w:w="795"/>
        <w:gridCol w:w="17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81"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trPr>
        <w:tc>
          <w:tcPr>
            <w:tcW w:w="5389" w:type="dxa"/>
            <w:gridSpan w:val="2"/>
            <w:tcBorders>
              <w:top w:val="nil"/>
              <w:left w:val="nil"/>
              <w:bottom w:val="nil"/>
              <w:right w:val="nil"/>
            </w:tcBorders>
            <w:noWrap/>
            <w:vAlign w:val="bottom"/>
          </w:tcPr>
          <w:p>
            <w:pPr>
              <w:jc w:val="center"/>
              <w:rPr>
                <w:rFonts w:hint="eastAsia" w:ascii="Arial" w:hAnsi="Arial" w:cs="Arial"/>
                <w:i w:val="0"/>
                <w:iCs w:val="0"/>
                <w:color w:val="000000"/>
                <w:sz w:val="18"/>
                <w:szCs w:val="18"/>
                <w:u w:val="none"/>
              </w:rPr>
            </w:pPr>
          </w:p>
        </w:tc>
        <w:tc>
          <w:tcPr>
            <w:tcW w:w="2190"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3945"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557" w:type="dxa"/>
            <w:gridSpan w:val="2"/>
            <w:vMerge w:val="restart"/>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公开01表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389" w:type="dxa"/>
            <w:gridSpan w:val="2"/>
            <w:tcBorders>
              <w:top w:val="nil"/>
              <w:left w:val="nil"/>
              <w:bottom w:val="nil"/>
              <w:right w:val="nil"/>
            </w:tcBorders>
            <w:noWrap/>
            <w:vAlign w:val="bottom"/>
          </w:tcPr>
          <w:p>
            <w:pPr>
              <w:rPr>
                <w:rFonts w:hint="default" w:ascii="Arial" w:hAnsi="Arial" w:cs="Arial"/>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：中国国际贸易促进委员会河南省分会许昌支会</w:t>
            </w:r>
          </w:p>
        </w:tc>
        <w:tc>
          <w:tcPr>
            <w:tcW w:w="2190"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3945"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557" w:type="dxa"/>
            <w:gridSpan w:val="2"/>
            <w:vMerge w:val="continue"/>
            <w:tcBorders>
              <w:top w:val="nil"/>
              <w:left w:val="nil"/>
              <w:bottom w:val="nil"/>
              <w:right w:val="nil"/>
            </w:tcBorders>
            <w:noWrap w:val="0"/>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579"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6502" w:type="dxa"/>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7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9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219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94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76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7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915"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19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94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795"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76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7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9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1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102.63</w:t>
            </w:r>
          </w:p>
        </w:tc>
        <w:tc>
          <w:tcPr>
            <w:tcW w:w="39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76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7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9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1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9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76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7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9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1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9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76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7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9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1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9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76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7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9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1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9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76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7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9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1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9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76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7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9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1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9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76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7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9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1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9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76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7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1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9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76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7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1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9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76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7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1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9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76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7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1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9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76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7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1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9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76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7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1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9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76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7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1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9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76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7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1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9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76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7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1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9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76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7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1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9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76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7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1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9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76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7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1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9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76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7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21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9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76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7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21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9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76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7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21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9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76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74" w:type="dxa"/>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9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21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39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76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7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9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21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39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76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7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9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21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39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76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7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9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21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102.63</w:t>
            </w:r>
          </w:p>
        </w:tc>
        <w:tc>
          <w:tcPr>
            <w:tcW w:w="394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76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7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9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21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9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76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7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9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1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w:t>
            </w:r>
          </w:p>
        </w:tc>
        <w:tc>
          <w:tcPr>
            <w:tcW w:w="39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76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7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1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94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762"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7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915" w:type="dxa"/>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21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107.73</w:t>
            </w:r>
          </w:p>
        </w:tc>
        <w:tc>
          <w:tcPr>
            <w:tcW w:w="394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76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81" w:type="dxa"/>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pPr w:leftFromText="180" w:rightFromText="180" w:vertAnchor="text" w:horzAnchor="page" w:tblpX="1448" w:tblpY="171"/>
        <w:tblOverlap w:val="neve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25"/>
        <w:gridCol w:w="4095"/>
        <w:gridCol w:w="1483"/>
        <w:gridCol w:w="1361"/>
        <w:gridCol w:w="1242"/>
        <w:gridCol w:w="916"/>
        <w:gridCol w:w="916"/>
        <w:gridCol w:w="1072"/>
        <w:gridCol w:w="16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000" w:type="pct"/>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947" w:type="pct"/>
            <w:gridSpan w:val="2"/>
            <w:tcBorders>
              <w:top w:val="nil"/>
              <w:left w:val="nil"/>
              <w:bottom w:val="nil"/>
              <w:right w:val="nil"/>
            </w:tcBorders>
            <w:noWrap/>
            <w:vAlign w:val="bottom"/>
          </w:tcPr>
          <w:p>
            <w:pPr>
              <w:jc w:val="center"/>
              <w:rPr>
                <w:rFonts w:hint="eastAsia" w:ascii="Arial" w:hAnsi="Arial" w:cs="Arial"/>
                <w:i w:val="0"/>
                <w:iCs w:val="0"/>
                <w:color w:val="000000"/>
                <w:sz w:val="18"/>
                <w:szCs w:val="18"/>
                <w:u w:val="none"/>
              </w:rPr>
            </w:pPr>
          </w:p>
        </w:tc>
        <w:tc>
          <w:tcPr>
            <w:tcW w:w="523"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480"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438"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323"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323"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378"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586"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947" w:type="pct"/>
            <w:gridSpan w:val="2"/>
            <w:tcBorders>
              <w:top w:val="nil"/>
              <w:left w:val="nil"/>
              <w:bottom w:val="nil"/>
              <w:right w:val="nil"/>
            </w:tcBorders>
            <w:noWrap/>
            <w:vAlign w:val="bottom"/>
          </w:tcPr>
          <w:p>
            <w:pPr>
              <w:rPr>
                <w:rFonts w:hint="default" w:ascii="Arial" w:hAnsi="Arial" w:cs="Arial"/>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：中国国际贸易促进委员会河南省分会许昌支会</w:t>
            </w:r>
          </w:p>
        </w:tc>
        <w:tc>
          <w:tcPr>
            <w:tcW w:w="523"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480"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438"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323"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323"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378"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586"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1947"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23"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480"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438"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323"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323"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378"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附属单位上缴收入</w:t>
            </w:r>
          </w:p>
        </w:tc>
        <w:tc>
          <w:tcPr>
            <w:tcW w:w="586"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2" w:type="pct"/>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1444" w:type="pct"/>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52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8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38"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2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2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78"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86"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2" w:type="pct"/>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44"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52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8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38"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2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2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78"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86"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02" w:type="pct"/>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44"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52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8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38"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2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2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78"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86"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47" w:type="pct"/>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23"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0"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38"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23"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23"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78"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586"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47" w:type="pct"/>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52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102.63</w:t>
            </w:r>
          </w:p>
        </w:tc>
        <w:tc>
          <w:tcPr>
            <w:tcW w:w="48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102.63</w:t>
            </w:r>
          </w:p>
        </w:tc>
        <w:tc>
          <w:tcPr>
            <w:tcW w:w="43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32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32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37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58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2"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144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52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83.02</w:t>
            </w:r>
          </w:p>
        </w:tc>
        <w:tc>
          <w:tcPr>
            <w:tcW w:w="48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83.02</w:t>
            </w:r>
          </w:p>
        </w:tc>
        <w:tc>
          <w:tcPr>
            <w:tcW w:w="43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7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8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2"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20113</w:t>
            </w:r>
          </w:p>
        </w:tc>
        <w:tc>
          <w:tcPr>
            <w:tcW w:w="144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商贸事务</w:t>
            </w:r>
          </w:p>
        </w:tc>
        <w:tc>
          <w:tcPr>
            <w:tcW w:w="52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82.60</w:t>
            </w:r>
          </w:p>
        </w:tc>
        <w:tc>
          <w:tcPr>
            <w:tcW w:w="48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82.60</w:t>
            </w:r>
          </w:p>
        </w:tc>
        <w:tc>
          <w:tcPr>
            <w:tcW w:w="43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7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8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2"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2011301</w:t>
            </w:r>
          </w:p>
        </w:tc>
        <w:tc>
          <w:tcPr>
            <w:tcW w:w="144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52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45.14</w:t>
            </w:r>
          </w:p>
        </w:tc>
        <w:tc>
          <w:tcPr>
            <w:tcW w:w="48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45.14</w:t>
            </w:r>
          </w:p>
        </w:tc>
        <w:tc>
          <w:tcPr>
            <w:tcW w:w="43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7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8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2"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2011399</w:t>
            </w:r>
          </w:p>
        </w:tc>
        <w:tc>
          <w:tcPr>
            <w:tcW w:w="144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其他商贸事务支出</w:t>
            </w:r>
          </w:p>
        </w:tc>
        <w:tc>
          <w:tcPr>
            <w:tcW w:w="52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37.46</w:t>
            </w:r>
          </w:p>
        </w:tc>
        <w:tc>
          <w:tcPr>
            <w:tcW w:w="48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37.46</w:t>
            </w:r>
          </w:p>
        </w:tc>
        <w:tc>
          <w:tcPr>
            <w:tcW w:w="43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7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8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2"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144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52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0.42</w:t>
            </w:r>
          </w:p>
        </w:tc>
        <w:tc>
          <w:tcPr>
            <w:tcW w:w="48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0.42</w:t>
            </w:r>
          </w:p>
        </w:tc>
        <w:tc>
          <w:tcPr>
            <w:tcW w:w="43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7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8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2"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144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52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0.42</w:t>
            </w:r>
          </w:p>
        </w:tc>
        <w:tc>
          <w:tcPr>
            <w:tcW w:w="48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0.42</w:t>
            </w:r>
          </w:p>
        </w:tc>
        <w:tc>
          <w:tcPr>
            <w:tcW w:w="43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7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8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2"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144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52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14.70</w:t>
            </w:r>
          </w:p>
        </w:tc>
        <w:tc>
          <w:tcPr>
            <w:tcW w:w="48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14.70</w:t>
            </w:r>
          </w:p>
        </w:tc>
        <w:tc>
          <w:tcPr>
            <w:tcW w:w="43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7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8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2"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144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52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14.70</w:t>
            </w:r>
          </w:p>
        </w:tc>
        <w:tc>
          <w:tcPr>
            <w:tcW w:w="48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14.70</w:t>
            </w:r>
          </w:p>
        </w:tc>
        <w:tc>
          <w:tcPr>
            <w:tcW w:w="43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7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8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2"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144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52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9.95</w:t>
            </w:r>
          </w:p>
        </w:tc>
        <w:tc>
          <w:tcPr>
            <w:tcW w:w="48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9.95</w:t>
            </w:r>
          </w:p>
        </w:tc>
        <w:tc>
          <w:tcPr>
            <w:tcW w:w="43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7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8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2"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144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52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4.75</w:t>
            </w:r>
          </w:p>
        </w:tc>
        <w:tc>
          <w:tcPr>
            <w:tcW w:w="48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4.75</w:t>
            </w:r>
          </w:p>
        </w:tc>
        <w:tc>
          <w:tcPr>
            <w:tcW w:w="43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7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8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2"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144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52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4.91</w:t>
            </w:r>
          </w:p>
        </w:tc>
        <w:tc>
          <w:tcPr>
            <w:tcW w:w="48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4.91</w:t>
            </w:r>
          </w:p>
        </w:tc>
        <w:tc>
          <w:tcPr>
            <w:tcW w:w="43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7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8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2"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144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52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4.91</w:t>
            </w:r>
          </w:p>
        </w:tc>
        <w:tc>
          <w:tcPr>
            <w:tcW w:w="48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4.91</w:t>
            </w:r>
          </w:p>
        </w:tc>
        <w:tc>
          <w:tcPr>
            <w:tcW w:w="43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7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8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2"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144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52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w:t>
            </w:r>
          </w:p>
        </w:tc>
        <w:tc>
          <w:tcPr>
            <w:tcW w:w="48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w:t>
            </w:r>
          </w:p>
        </w:tc>
        <w:tc>
          <w:tcPr>
            <w:tcW w:w="43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7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8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2"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144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52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w:t>
            </w:r>
          </w:p>
        </w:tc>
        <w:tc>
          <w:tcPr>
            <w:tcW w:w="48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w:t>
            </w:r>
          </w:p>
        </w:tc>
        <w:tc>
          <w:tcPr>
            <w:tcW w:w="43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7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8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本年度取得的各项收入情况。本表金额转换为万元时，因四舍五入可能存在尾差。</w:t>
            </w:r>
          </w:p>
        </w:tc>
      </w:tr>
    </w:tbl>
    <w:tbl>
      <w:tblPr>
        <w:tblStyle w:val="6"/>
        <w:tblpPr w:leftFromText="180" w:rightFromText="180" w:vertAnchor="text" w:horzAnchor="page" w:tblpX="1208" w:tblpY="293"/>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13"/>
        <w:gridCol w:w="3956"/>
        <w:gridCol w:w="1494"/>
        <w:gridCol w:w="1083"/>
        <w:gridCol w:w="1055"/>
        <w:gridCol w:w="1467"/>
        <w:gridCol w:w="1055"/>
        <w:gridCol w:w="21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9" w:hRule="atLeast"/>
        </w:trPr>
        <w:tc>
          <w:tcPr>
            <w:tcW w:w="0" w:type="auto"/>
            <w:gridSpan w:val="8"/>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2"/>
            <w:tcBorders>
              <w:top w:val="nil"/>
              <w:left w:val="nil"/>
              <w:bottom w:val="nil"/>
              <w:right w:val="nil"/>
            </w:tcBorders>
            <w:noWrap/>
            <w:vAlign w:val="bottom"/>
          </w:tcPr>
          <w:p>
            <w:pPr>
              <w:jc w:val="center"/>
              <w:rPr>
                <w:rFonts w:hint="eastAsia"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2"/>
            <w:tcBorders>
              <w:top w:val="nil"/>
              <w:left w:val="nil"/>
              <w:bottom w:val="nil"/>
              <w:right w:val="nil"/>
            </w:tcBorders>
            <w:noWrap/>
            <w:vAlign w:val="bottom"/>
          </w:tcPr>
          <w:p>
            <w:pPr>
              <w:rPr>
                <w:rFonts w:hint="default" w:ascii="Arial" w:hAnsi="Arial" w:cs="Arial"/>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：中国国际贸易促进委员会河南省分会许昌支会</w:t>
            </w: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0" w:type="auto"/>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0" w:type="auto"/>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0" w:type="auto"/>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0" w:type="auto"/>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0" w:type="auto"/>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0" w:type="auto"/>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107.73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107.73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87.63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87.63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商贸事务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87.21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2011301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49.76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49.76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2011399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其他商贸事务支出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37.46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8"/>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本年度各项支出情况。本表金额转换为万元时，因四舍五入可能存在尾差。</w:t>
            </w:r>
          </w:p>
        </w:tc>
      </w:tr>
    </w:tbl>
    <w:tbl>
      <w:tblPr>
        <w:tblStyle w:val="6"/>
        <w:tblpPr w:leftFromText="180" w:rightFromText="180" w:vertAnchor="text" w:horzAnchor="page" w:tblpX="1433" w:tblpY="371"/>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97"/>
        <w:gridCol w:w="675"/>
        <w:gridCol w:w="1125"/>
        <w:gridCol w:w="3270"/>
        <w:gridCol w:w="900"/>
        <w:gridCol w:w="1140"/>
        <w:gridCol w:w="1140"/>
        <w:gridCol w:w="1145"/>
        <w:gridCol w:w="16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174"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097" w:type="dxa"/>
            <w:tcBorders>
              <w:top w:val="nil"/>
              <w:left w:val="nil"/>
              <w:bottom w:val="nil"/>
              <w:right w:val="nil"/>
            </w:tcBorders>
            <w:noWrap/>
            <w:vAlign w:val="bottom"/>
          </w:tcPr>
          <w:p>
            <w:pPr>
              <w:rPr>
                <w:rFonts w:hint="eastAsia" w:ascii="Arial" w:hAnsi="Arial" w:cs="Arial"/>
                <w:i w:val="0"/>
                <w:iCs w:val="0"/>
                <w:color w:val="000000"/>
                <w:sz w:val="18"/>
                <w:szCs w:val="18"/>
                <w:u w:val="none"/>
              </w:rPr>
            </w:pPr>
          </w:p>
        </w:tc>
        <w:tc>
          <w:tcPr>
            <w:tcW w:w="675"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125"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3270"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900"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140"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140"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145"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682"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hRule="atLeast"/>
        </w:trPr>
        <w:tc>
          <w:tcPr>
            <w:tcW w:w="4897" w:type="dxa"/>
            <w:gridSpan w:val="3"/>
            <w:tcBorders>
              <w:top w:val="nil"/>
              <w:left w:val="nil"/>
              <w:bottom w:val="nil"/>
              <w:right w:val="nil"/>
            </w:tcBorders>
            <w:noWrap/>
            <w:vAlign w:val="bottom"/>
          </w:tcPr>
          <w:p>
            <w:pPr>
              <w:rPr>
                <w:rFonts w:hint="default" w:ascii="Arial" w:hAnsi="Arial" w:cs="Arial"/>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：中国国际贸易促进委员会河南省分会许昌支会</w:t>
            </w:r>
          </w:p>
        </w:tc>
        <w:tc>
          <w:tcPr>
            <w:tcW w:w="3270"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900"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140"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140"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145"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682"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97"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9277"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097"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7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1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2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9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140"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4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14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68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097"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7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2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8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675"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2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900"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4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68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6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102.63</w:t>
            </w:r>
          </w:p>
        </w:tc>
        <w:tc>
          <w:tcPr>
            <w:tcW w:w="32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87.63</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87.63</w:t>
            </w:r>
          </w:p>
        </w:tc>
        <w:tc>
          <w:tcPr>
            <w:tcW w:w="11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6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6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15.19</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15.19</w:t>
            </w:r>
          </w:p>
        </w:tc>
        <w:tc>
          <w:tcPr>
            <w:tcW w:w="11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4.91</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4.91</w:t>
            </w:r>
          </w:p>
        </w:tc>
        <w:tc>
          <w:tcPr>
            <w:tcW w:w="11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7" w:type="dxa"/>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6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6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6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6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102.63</w:t>
            </w:r>
          </w:p>
        </w:tc>
        <w:tc>
          <w:tcPr>
            <w:tcW w:w="32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107.73</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107.73</w:t>
            </w:r>
          </w:p>
        </w:tc>
        <w:tc>
          <w:tcPr>
            <w:tcW w:w="11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6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w:t>
            </w:r>
          </w:p>
        </w:tc>
        <w:tc>
          <w:tcPr>
            <w:tcW w:w="32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6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w:t>
            </w:r>
          </w:p>
        </w:tc>
        <w:tc>
          <w:tcPr>
            <w:tcW w:w="327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6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7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6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27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675" w:type="dxa"/>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107.73</w:t>
            </w:r>
          </w:p>
        </w:tc>
        <w:tc>
          <w:tcPr>
            <w:tcW w:w="32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107.73</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107.73</w:t>
            </w:r>
          </w:p>
        </w:tc>
        <w:tc>
          <w:tcPr>
            <w:tcW w:w="11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4174"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79"/>
        <w:gridCol w:w="4215"/>
        <w:gridCol w:w="3390"/>
        <w:gridCol w:w="2506"/>
        <w:gridCol w:w="2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81" w:type="dxa"/>
            <w:gridSpan w:val="5"/>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494" w:type="dxa"/>
            <w:gridSpan w:val="2"/>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3390"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506"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691"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hRule="atLeast"/>
        </w:trPr>
        <w:tc>
          <w:tcPr>
            <w:tcW w:w="5494" w:type="dxa"/>
            <w:gridSpan w:val="2"/>
            <w:tcBorders>
              <w:top w:val="nil"/>
              <w:left w:val="nil"/>
              <w:bottom w:val="nil"/>
              <w:right w:val="nil"/>
            </w:tcBorders>
            <w:noWrap/>
            <w:vAlign w:val="bottom"/>
          </w:tcPr>
          <w:p>
            <w:pPr>
              <w:rPr>
                <w:rFonts w:hint="default" w:ascii="Arial" w:hAnsi="Arial" w:cs="Arial"/>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：中国国际贸易促进委员会河南省分会许昌支会</w:t>
            </w:r>
          </w:p>
        </w:tc>
        <w:tc>
          <w:tcPr>
            <w:tcW w:w="3390"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506"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691"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49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587"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9"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4215"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339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50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69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1279"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215"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339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50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69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9"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215"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339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50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69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494"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339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50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69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494"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33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107.73</w:t>
            </w:r>
          </w:p>
        </w:tc>
        <w:tc>
          <w:tcPr>
            <w:tcW w:w="250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107.73</w:t>
            </w:r>
          </w:p>
        </w:tc>
        <w:tc>
          <w:tcPr>
            <w:tcW w:w="26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33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87.63</w:t>
            </w:r>
          </w:p>
        </w:tc>
        <w:tc>
          <w:tcPr>
            <w:tcW w:w="250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87.63</w:t>
            </w:r>
          </w:p>
        </w:tc>
        <w:tc>
          <w:tcPr>
            <w:tcW w:w="26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20113</w:t>
            </w: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商贸事务</w:t>
            </w:r>
          </w:p>
        </w:tc>
        <w:tc>
          <w:tcPr>
            <w:tcW w:w="33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87.21</w:t>
            </w:r>
          </w:p>
        </w:tc>
        <w:tc>
          <w:tcPr>
            <w:tcW w:w="250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87.21</w:t>
            </w:r>
          </w:p>
        </w:tc>
        <w:tc>
          <w:tcPr>
            <w:tcW w:w="26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2011301</w:t>
            </w: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33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49.76</w:t>
            </w:r>
          </w:p>
        </w:tc>
        <w:tc>
          <w:tcPr>
            <w:tcW w:w="250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49.76</w:t>
            </w:r>
          </w:p>
        </w:tc>
        <w:tc>
          <w:tcPr>
            <w:tcW w:w="26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2011399</w:t>
            </w: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其他商贸事务支出</w:t>
            </w:r>
          </w:p>
        </w:tc>
        <w:tc>
          <w:tcPr>
            <w:tcW w:w="33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37.46</w:t>
            </w:r>
          </w:p>
        </w:tc>
        <w:tc>
          <w:tcPr>
            <w:tcW w:w="250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37.46</w:t>
            </w:r>
          </w:p>
        </w:tc>
        <w:tc>
          <w:tcPr>
            <w:tcW w:w="26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33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0.42</w:t>
            </w:r>
          </w:p>
        </w:tc>
        <w:tc>
          <w:tcPr>
            <w:tcW w:w="250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0.42</w:t>
            </w:r>
          </w:p>
        </w:tc>
        <w:tc>
          <w:tcPr>
            <w:tcW w:w="26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33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0.42</w:t>
            </w:r>
          </w:p>
        </w:tc>
        <w:tc>
          <w:tcPr>
            <w:tcW w:w="250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0.42</w:t>
            </w:r>
          </w:p>
        </w:tc>
        <w:tc>
          <w:tcPr>
            <w:tcW w:w="26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33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15.19</w:t>
            </w:r>
          </w:p>
        </w:tc>
        <w:tc>
          <w:tcPr>
            <w:tcW w:w="250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15.19</w:t>
            </w:r>
          </w:p>
        </w:tc>
        <w:tc>
          <w:tcPr>
            <w:tcW w:w="26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33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15.19</w:t>
            </w:r>
          </w:p>
        </w:tc>
        <w:tc>
          <w:tcPr>
            <w:tcW w:w="250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15.19</w:t>
            </w:r>
          </w:p>
        </w:tc>
        <w:tc>
          <w:tcPr>
            <w:tcW w:w="26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33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10.44</w:t>
            </w:r>
          </w:p>
        </w:tc>
        <w:tc>
          <w:tcPr>
            <w:tcW w:w="250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10.44</w:t>
            </w:r>
          </w:p>
        </w:tc>
        <w:tc>
          <w:tcPr>
            <w:tcW w:w="26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7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33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4.75</w:t>
            </w:r>
          </w:p>
        </w:tc>
        <w:tc>
          <w:tcPr>
            <w:tcW w:w="250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4.75</w:t>
            </w:r>
          </w:p>
        </w:tc>
        <w:tc>
          <w:tcPr>
            <w:tcW w:w="26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33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4.91</w:t>
            </w:r>
          </w:p>
        </w:tc>
        <w:tc>
          <w:tcPr>
            <w:tcW w:w="250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4.91</w:t>
            </w:r>
          </w:p>
        </w:tc>
        <w:tc>
          <w:tcPr>
            <w:tcW w:w="26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33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4.91</w:t>
            </w:r>
          </w:p>
        </w:tc>
        <w:tc>
          <w:tcPr>
            <w:tcW w:w="250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4.91</w:t>
            </w:r>
          </w:p>
        </w:tc>
        <w:tc>
          <w:tcPr>
            <w:tcW w:w="26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33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w:t>
            </w:r>
          </w:p>
        </w:tc>
        <w:tc>
          <w:tcPr>
            <w:tcW w:w="250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w:t>
            </w:r>
          </w:p>
        </w:tc>
        <w:tc>
          <w:tcPr>
            <w:tcW w:w="26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33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w:t>
            </w:r>
          </w:p>
        </w:tc>
        <w:tc>
          <w:tcPr>
            <w:tcW w:w="250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w:t>
            </w:r>
          </w:p>
        </w:tc>
        <w:tc>
          <w:tcPr>
            <w:tcW w:w="26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81" w:type="dxa"/>
            <w:gridSpan w:val="5"/>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9"/>
        <w:gridCol w:w="3216"/>
        <w:gridCol w:w="812"/>
        <w:gridCol w:w="806"/>
        <w:gridCol w:w="2216"/>
        <w:gridCol w:w="863"/>
        <w:gridCol w:w="870"/>
        <w:gridCol w:w="3660"/>
        <w:gridCol w:w="9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174"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807" w:type="dxa"/>
            <w:gridSpan w:val="3"/>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806"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216"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863"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870"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4612"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hRule="atLeast"/>
        </w:trPr>
        <w:tc>
          <w:tcPr>
            <w:tcW w:w="5613" w:type="dxa"/>
            <w:gridSpan w:val="4"/>
            <w:tcBorders>
              <w:top w:val="nil"/>
              <w:left w:val="nil"/>
              <w:bottom w:val="nil"/>
              <w:right w:val="nil"/>
            </w:tcBorders>
            <w:noWrap/>
            <w:vAlign w:val="bottom"/>
          </w:tcPr>
          <w:p>
            <w:pPr>
              <w:rPr>
                <w:rFonts w:hint="default" w:ascii="Arial" w:hAnsi="Arial" w:cs="Arial"/>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：中国国际贸易促进委员会河南省分会许昌支会</w:t>
            </w:r>
          </w:p>
        </w:tc>
        <w:tc>
          <w:tcPr>
            <w:tcW w:w="2216"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863"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870"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4612"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07"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人员经费</w:t>
            </w:r>
          </w:p>
        </w:tc>
        <w:tc>
          <w:tcPr>
            <w:tcW w:w="9367"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9"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科目编码</w:t>
            </w:r>
          </w:p>
        </w:tc>
        <w:tc>
          <w:tcPr>
            <w:tcW w:w="321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科目名称</w:t>
            </w:r>
          </w:p>
        </w:tc>
        <w:tc>
          <w:tcPr>
            <w:tcW w:w="81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决算数</w:t>
            </w:r>
          </w:p>
        </w:tc>
        <w:tc>
          <w:tcPr>
            <w:tcW w:w="80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科目编码</w:t>
            </w:r>
          </w:p>
        </w:tc>
        <w:tc>
          <w:tcPr>
            <w:tcW w:w="221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科目名称</w:t>
            </w:r>
          </w:p>
        </w:tc>
        <w:tc>
          <w:tcPr>
            <w:tcW w:w="86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决算数</w:t>
            </w:r>
          </w:p>
        </w:tc>
        <w:tc>
          <w:tcPr>
            <w:tcW w:w="8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科目编码</w:t>
            </w:r>
          </w:p>
        </w:tc>
        <w:tc>
          <w:tcPr>
            <w:tcW w:w="366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科目名称</w:t>
            </w:r>
          </w:p>
        </w:tc>
        <w:tc>
          <w:tcPr>
            <w:tcW w:w="95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779"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216" w:type="dxa"/>
            <w:vMerge w:val="continue"/>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812" w:type="dxa"/>
            <w:vMerge w:val="continue"/>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806" w:type="dxa"/>
            <w:vMerge w:val="continue"/>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2216" w:type="dxa"/>
            <w:vMerge w:val="continue"/>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863" w:type="dxa"/>
            <w:vMerge w:val="continue"/>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870" w:type="dxa"/>
            <w:vMerge w:val="continue"/>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660" w:type="dxa"/>
            <w:vMerge w:val="continue"/>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952" w:type="dxa"/>
            <w:vMerge w:val="continue"/>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77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301</w:t>
            </w:r>
          </w:p>
        </w:tc>
        <w:tc>
          <w:tcPr>
            <w:tcW w:w="3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工资福利支出</w:t>
            </w:r>
          </w:p>
        </w:tc>
        <w:tc>
          <w:tcPr>
            <w:tcW w:w="8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88.80</w:t>
            </w:r>
          </w:p>
        </w:tc>
        <w:tc>
          <w:tcPr>
            <w:tcW w:w="8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302</w:t>
            </w:r>
          </w:p>
        </w:tc>
        <w:tc>
          <w:tcPr>
            <w:tcW w:w="2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商品和服务支出</w:t>
            </w:r>
          </w:p>
        </w:tc>
        <w:tc>
          <w:tcPr>
            <w:tcW w:w="8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8.49</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307</w:t>
            </w:r>
          </w:p>
        </w:tc>
        <w:tc>
          <w:tcPr>
            <w:tcW w:w="36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9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77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30101</w:t>
            </w:r>
          </w:p>
        </w:tc>
        <w:tc>
          <w:tcPr>
            <w:tcW w:w="3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基本工资</w:t>
            </w:r>
          </w:p>
        </w:tc>
        <w:tc>
          <w:tcPr>
            <w:tcW w:w="8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24.71</w:t>
            </w:r>
          </w:p>
        </w:tc>
        <w:tc>
          <w:tcPr>
            <w:tcW w:w="8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30201</w:t>
            </w:r>
          </w:p>
        </w:tc>
        <w:tc>
          <w:tcPr>
            <w:tcW w:w="2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办公费</w:t>
            </w:r>
          </w:p>
        </w:tc>
        <w:tc>
          <w:tcPr>
            <w:tcW w:w="8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1.45</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30701</w:t>
            </w:r>
          </w:p>
        </w:tc>
        <w:tc>
          <w:tcPr>
            <w:tcW w:w="36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国内债务付息</w:t>
            </w:r>
          </w:p>
        </w:tc>
        <w:tc>
          <w:tcPr>
            <w:tcW w:w="9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77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30102</w:t>
            </w:r>
          </w:p>
        </w:tc>
        <w:tc>
          <w:tcPr>
            <w:tcW w:w="3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津贴补贴</w:t>
            </w:r>
          </w:p>
        </w:tc>
        <w:tc>
          <w:tcPr>
            <w:tcW w:w="8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35.61</w:t>
            </w:r>
          </w:p>
        </w:tc>
        <w:tc>
          <w:tcPr>
            <w:tcW w:w="8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30202</w:t>
            </w:r>
          </w:p>
        </w:tc>
        <w:tc>
          <w:tcPr>
            <w:tcW w:w="2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印刷费</w:t>
            </w:r>
          </w:p>
        </w:tc>
        <w:tc>
          <w:tcPr>
            <w:tcW w:w="8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30702</w:t>
            </w:r>
          </w:p>
        </w:tc>
        <w:tc>
          <w:tcPr>
            <w:tcW w:w="36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国外债务付息</w:t>
            </w:r>
          </w:p>
        </w:tc>
        <w:tc>
          <w:tcPr>
            <w:tcW w:w="9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77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30103</w:t>
            </w:r>
          </w:p>
        </w:tc>
        <w:tc>
          <w:tcPr>
            <w:tcW w:w="3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奖金</w:t>
            </w:r>
          </w:p>
        </w:tc>
        <w:tc>
          <w:tcPr>
            <w:tcW w:w="8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9.57</w:t>
            </w:r>
          </w:p>
        </w:tc>
        <w:tc>
          <w:tcPr>
            <w:tcW w:w="8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30203</w:t>
            </w:r>
          </w:p>
        </w:tc>
        <w:tc>
          <w:tcPr>
            <w:tcW w:w="2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咨询费</w:t>
            </w:r>
          </w:p>
        </w:tc>
        <w:tc>
          <w:tcPr>
            <w:tcW w:w="8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310</w:t>
            </w:r>
          </w:p>
        </w:tc>
        <w:tc>
          <w:tcPr>
            <w:tcW w:w="36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资本性支出</w:t>
            </w:r>
          </w:p>
        </w:tc>
        <w:tc>
          <w:tcPr>
            <w:tcW w:w="9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77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30106</w:t>
            </w:r>
          </w:p>
        </w:tc>
        <w:tc>
          <w:tcPr>
            <w:tcW w:w="3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伙食补助费</w:t>
            </w:r>
          </w:p>
        </w:tc>
        <w:tc>
          <w:tcPr>
            <w:tcW w:w="8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8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30204</w:t>
            </w:r>
          </w:p>
        </w:tc>
        <w:tc>
          <w:tcPr>
            <w:tcW w:w="2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手续费</w:t>
            </w:r>
          </w:p>
        </w:tc>
        <w:tc>
          <w:tcPr>
            <w:tcW w:w="8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31001</w:t>
            </w:r>
          </w:p>
        </w:tc>
        <w:tc>
          <w:tcPr>
            <w:tcW w:w="36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房屋建筑物购建</w:t>
            </w:r>
          </w:p>
        </w:tc>
        <w:tc>
          <w:tcPr>
            <w:tcW w:w="9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77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30107</w:t>
            </w:r>
          </w:p>
        </w:tc>
        <w:tc>
          <w:tcPr>
            <w:tcW w:w="3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绩效工资</w:t>
            </w:r>
          </w:p>
        </w:tc>
        <w:tc>
          <w:tcPr>
            <w:tcW w:w="8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8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30205</w:t>
            </w:r>
          </w:p>
        </w:tc>
        <w:tc>
          <w:tcPr>
            <w:tcW w:w="2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水费</w:t>
            </w:r>
          </w:p>
        </w:tc>
        <w:tc>
          <w:tcPr>
            <w:tcW w:w="8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31002</w:t>
            </w:r>
          </w:p>
        </w:tc>
        <w:tc>
          <w:tcPr>
            <w:tcW w:w="36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办公设备购置</w:t>
            </w:r>
          </w:p>
        </w:tc>
        <w:tc>
          <w:tcPr>
            <w:tcW w:w="9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77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30108</w:t>
            </w:r>
          </w:p>
        </w:tc>
        <w:tc>
          <w:tcPr>
            <w:tcW w:w="3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机关事业单位基本养老保险缴费</w:t>
            </w:r>
          </w:p>
        </w:tc>
        <w:tc>
          <w:tcPr>
            <w:tcW w:w="8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5.57</w:t>
            </w:r>
          </w:p>
        </w:tc>
        <w:tc>
          <w:tcPr>
            <w:tcW w:w="8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30206</w:t>
            </w:r>
          </w:p>
        </w:tc>
        <w:tc>
          <w:tcPr>
            <w:tcW w:w="2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电费</w:t>
            </w:r>
          </w:p>
        </w:tc>
        <w:tc>
          <w:tcPr>
            <w:tcW w:w="8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31003</w:t>
            </w:r>
          </w:p>
        </w:tc>
        <w:tc>
          <w:tcPr>
            <w:tcW w:w="36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专用设备购置</w:t>
            </w:r>
          </w:p>
        </w:tc>
        <w:tc>
          <w:tcPr>
            <w:tcW w:w="9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77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30109</w:t>
            </w:r>
          </w:p>
        </w:tc>
        <w:tc>
          <w:tcPr>
            <w:tcW w:w="3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职业年金缴费</w:t>
            </w:r>
          </w:p>
        </w:tc>
        <w:tc>
          <w:tcPr>
            <w:tcW w:w="8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8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30207</w:t>
            </w:r>
          </w:p>
        </w:tc>
        <w:tc>
          <w:tcPr>
            <w:tcW w:w="2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邮电费</w:t>
            </w:r>
          </w:p>
        </w:tc>
        <w:tc>
          <w:tcPr>
            <w:tcW w:w="8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0.70</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31005</w:t>
            </w:r>
          </w:p>
        </w:tc>
        <w:tc>
          <w:tcPr>
            <w:tcW w:w="36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基础设施建设</w:t>
            </w:r>
          </w:p>
        </w:tc>
        <w:tc>
          <w:tcPr>
            <w:tcW w:w="9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trPr>
        <w:tc>
          <w:tcPr>
            <w:tcW w:w="77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30110</w:t>
            </w:r>
          </w:p>
        </w:tc>
        <w:tc>
          <w:tcPr>
            <w:tcW w:w="3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职工基本医疗保险缴费</w:t>
            </w:r>
          </w:p>
        </w:tc>
        <w:tc>
          <w:tcPr>
            <w:tcW w:w="8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2.62</w:t>
            </w:r>
          </w:p>
        </w:tc>
        <w:tc>
          <w:tcPr>
            <w:tcW w:w="8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30208</w:t>
            </w:r>
          </w:p>
        </w:tc>
        <w:tc>
          <w:tcPr>
            <w:tcW w:w="2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取暖费</w:t>
            </w:r>
          </w:p>
        </w:tc>
        <w:tc>
          <w:tcPr>
            <w:tcW w:w="8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31006</w:t>
            </w:r>
          </w:p>
        </w:tc>
        <w:tc>
          <w:tcPr>
            <w:tcW w:w="36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大型修缮</w:t>
            </w:r>
          </w:p>
        </w:tc>
        <w:tc>
          <w:tcPr>
            <w:tcW w:w="9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77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30111</w:t>
            </w:r>
          </w:p>
        </w:tc>
        <w:tc>
          <w:tcPr>
            <w:tcW w:w="3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公务员医疗补助缴费</w:t>
            </w:r>
          </w:p>
        </w:tc>
        <w:tc>
          <w:tcPr>
            <w:tcW w:w="8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2.52</w:t>
            </w:r>
          </w:p>
        </w:tc>
        <w:tc>
          <w:tcPr>
            <w:tcW w:w="8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30209</w:t>
            </w:r>
          </w:p>
        </w:tc>
        <w:tc>
          <w:tcPr>
            <w:tcW w:w="2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物业管理费</w:t>
            </w:r>
          </w:p>
        </w:tc>
        <w:tc>
          <w:tcPr>
            <w:tcW w:w="8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31007</w:t>
            </w:r>
          </w:p>
        </w:tc>
        <w:tc>
          <w:tcPr>
            <w:tcW w:w="36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信息网络及软件购置更新</w:t>
            </w:r>
          </w:p>
        </w:tc>
        <w:tc>
          <w:tcPr>
            <w:tcW w:w="9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77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30112</w:t>
            </w:r>
          </w:p>
        </w:tc>
        <w:tc>
          <w:tcPr>
            <w:tcW w:w="3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其他社会保障缴费</w:t>
            </w:r>
          </w:p>
        </w:tc>
        <w:tc>
          <w:tcPr>
            <w:tcW w:w="8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0.11</w:t>
            </w:r>
          </w:p>
        </w:tc>
        <w:tc>
          <w:tcPr>
            <w:tcW w:w="8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30211</w:t>
            </w:r>
          </w:p>
        </w:tc>
        <w:tc>
          <w:tcPr>
            <w:tcW w:w="2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差旅费</w:t>
            </w:r>
          </w:p>
        </w:tc>
        <w:tc>
          <w:tcPr>
            <w:tcW w:w="8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0.43</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31008</w:t>
            </w:r>
          </w:p>
        </w:tc>
        <w:tc>
          <w:tcPr>
            <w:tcW w:w="36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物资储备</w:t>
            </w:r>
          </w:p>
        </w:tc>
        <w:tc>
          <w:tcPr>
            <w:tcW w:w="9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77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30113</w:t>
            </w:r>
          </w:p>
        </w:tc>
        <w:tc>
          <w:tcPr>
            <w:tcW w:w="3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住房公积金</w:t>
            </w:r>
          </w:p>
        </w:tc>
        <w:tc>
          <w:tcPr>
            <w:tcW w:w="8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5.26</w:t>
            </w:r>
          </w:p>
        </w:tc>
        <w:tc>
          <w:tcPr>
            <w:tcW w:w="8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30212</w:t>
            </w:r>
          </w:p>
        </w:tc>
        <w:tc>
          <w:tcPr>
            <w:tcW w:w="2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因公出国（境）费用</w:t>
            </w:r>
          </w:p>
        </w:tc>
        <w:tc>
          <w:tcPr>
            <w:tcW w:w="8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31009</w:t>
            </w:r>
          </w:p>
        </w:tc>
        <w:tc>
          <w:tcPr>
            <w:tcW w:w="36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土地补偿</w:t>
            </w:r>
          </w:p>
        </w:tc>
        <w:tc>
          <w:tcPr>
            <w:tcW w:w="9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77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30114</w:t>
            </w:r>
          </w:p>
        </w:tc>
        <w:tc>
          <w:tcPr>
            <w:tcW w:w="3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医疗费</w:t>
            </w:r>
          </w:p>
        </w:tc>
        <w:tc>
          <w:tcPr>
            <w:tcW w:w="8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8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30213</w:t>
            </w:r>
          </w:p>
        </w:tc>
        <w:tc>
          <w:tcPr>
            <w:tcW w:w="2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维修（护）费</w:t>
            </w:r>
          </w:p>
        </w:tc>
        <w:tc>
          <w:tcPr>
            <w:tcW w:w="8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31010</w:t>
            </w:r>
          </w:p>
        </w:tc>
        <w:tc>
          <w:tcPr>
            <w:tcW w:w="36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安置补助</w:t>
            </w:r>
          </w:p>
        </w:tc>
        <w:tc>
          <w:tcPr>
            <w:tcW w:w="9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77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30199</w:t>
            </w:r>
          </w:p>
        </w:tc>
        <w:tc>
          <w:tcPr>
            <w:tcW w:w="3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其他工资福利支出</w:t>
            </w:r>
          </w:p>
        </w:tc>
        <w:tc>
          <w:tcPr>
            <w:tcW w:w="8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2.83</w:t>
            </w:r>
          </w:p>
        </w:tc>
        <w:tc>
          <w:tcPr>
            <w:tcW w:w="8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30214</w:t>
            </w:r>
          </w:p>
        </w:tc>
        <w:tc>
          <w:tcPr>
            <w:tcW w:w="2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租赁费</w:t>
            </w:r>
          </w:p>
        </w:tc>
        <w:tc>
          <w:tcPr>
            <w:tcW w:w="8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31011</w:t>
            </w:r>
          </w:p>
        </w:tc>
        <w:tc>
          <w:tcPr>
            <w:tcW w:w="36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地上附着物和青苗补偿</w:t>
            </w:r>
          </w:p>
        </w:tc>
        <w:tc>
          <w:tcPr>
            <w:tcW w:w="9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77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303</w:t>
            </w:r>
          </w:p>
        </w:tc>
        <w:tc>
          <w:tcPr>
            <w:tcW w:w="3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8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10.44</w:t>
            </w:r>
          </w:p>
        </w:tc>
        <w:tc>
          <w:tcPr>
            <w:tcW w:w="8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30215</w:t>
            </w:r>
          </w:p>
        </w:tc>
        <w:tc>
          <w:tcPr>
            <w:tcW w:w="2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会议费</w:t>
            </w:r>
          </w:p>
        </w:tc>
        <w:tc>
          <w:tcPr>
            <w:tcW w:w="8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31012</w:t>
            </w:r>
          </w:p>
        </w:tc>
        <w:tc>
          <w:tcPr>
            <w:tcW w:w="36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拆迁补偿</w:t>
            </w:r>
          </w:p>
        </w:tc>
        <w:tc>
          <w:tcPr>
            <w:tcW w:w="9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77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30301</w:t>
            </w:r>
          </w:p>
        </w:tc>
        <w:tc>
          <w:tcPr>
            <w:tcW w:w="3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离休费</w:t>
            </w:r>
          </w:p>
        </w:tc>
        <w:tc>
          <w:tcPr>
            <w:tcW w:w="8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8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30216</w:t>
            </w:r>
          </w:p>
        </w:tc>
        <w:tc>
          <w:tcPr>
            <w:tcW w:w="2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培训费</w:t>
            </w:r>
          </w:p>
        </w:tc>
        <w:tc>
          <w:tcPr>
            <w:tcW w:w="8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31013</w:t>
            </w:r>
          </w:p>
        </w:tc>
        <w:tc>
          <w:tcPr>
            <w:tcW w:w="36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公务用车购置</w:t>
            </w:r>
          </w:p>
        </w:tc>
        <w:tc>
          <w:tcPr>
            <w:tcW w:w="9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77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30302</w:t>
            </w:r>
          </w:p>
        </w:tc>
        <w:tc>
          <w:tcPr>
            <w:tcW w:w="3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退休费</w:t>
            </w:r>
          </w:p>
        </w:tc>
        <w:tc>
          <w:tcPr>
            <w:tcW w:w="8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10.44</w:t>
            </w:r>
          </w:p>
        </w:tc>
        <w:tc>
          <w:tcPr>
            <w:tcW w:w="8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30217</w:t>
            </w:r>
          </w:p>
        </w:tc>
        <w:tc>
          <w:tcPr>
            <w:tcW w:w="2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公务接待费</w:t>
            </w:r>
          </w:p>
        </w:tc>
        <w:tc>
          <w:tcPr>
            <w:tcW w:w="8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31019</w:t>
            </w:r>
          </w:p>
        </w:tc>
        <w:tc>
          <w:tcPr>
            <w:tcW w:w="36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其他交通工具购置</w:t>
            </w:r>
          </w:p>
        </w:tc>
        <w:tc>
          <w:tcPr>
            <w:tcW w:w="9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77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30303</w:t>
            </w:r>
          </w:p>
        </w:tc>
        <w:tc>
          <w:tcPr>
            <w:tcW w:w="3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退职（役）费</w:t>
            </w:r>
          </w:p>
        </w:tc>
        <w:tc>
          <w:tcPr>
            <w:tcW w:w="8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8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30218</w:t>
            </w:r>
          </w:p>
        </w:tc>
        <w:tc>
          <w:tcPr>
            <w:tcW w:w="2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专用材料费</w:t>
            </w:r>
          </w:p>
        </w:tc>
        <w:tc>
          <w:tcPr>
            <w:tcW w:w="8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0.10</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31021</w:t>
            </w:r>
          </w:p>
        </w:tc>
        <w:tc>
          <w:tcPr>
            <w:tcW w:w="36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文物和陈列品购置</w:t>
            </w:r>
          </w:p>
        </w:tc>
        <w:tc>
          <w:tcPr>
            <w:tcW w:w="9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77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30304</w:t>
            </w:r>
          </w:p>
        </w:tc>
        <w:tc>
          <w:tcPr>
            <w:tcW w:w="3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抚恤金</w:t>
            </w:r>
          </w:p>
        </w:tc>
        <w:tc>
          <w:tcPr>
            <w:tcW w:w="8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8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30224</w:t>
            </w:r>
          </w:p>
        </w:tc>
        <w:tc>
          <w:tcPr>
            <w:tcW w:w="2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被装购置费</w:t>
            </w:r>
          </w:p>
        </w:tc>
        <w:tc>
          <w:tcPr>
            <w:tcW w:w="8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31022</w:t>
            </w:r>
          </w:p>
        </w:tc>
        <w:tc>
          <w:tcPr>
            <w:tcW w:w="36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无形资产购置</w:t>
            </w:r>
          </w:p>
        </w:tc>
        <w:tc>
          <w:tcPr>
            <w:tcW w:w="9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77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30305</w:t>
            </w:r>
          </w:p>
        </w:tc>
        <w:tc>
          <w:tcPr>
            <w:tcW w:w="3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生活补助</w:t>
            </w:r>
          </w:p>
        </w:tc>
        <w:tc>
          <w:tcPr>
            <w:tcW w:w="8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8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30225</w:t>
            </w:r>
          </w:p>
        </w:tc>
        <w:tc>
          <w:tcPr>
            <w:tcW w:w="2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专用燃料费</w:t>
            </w:r>
          </w:p>
        </w:tc>
        <w:tc>
          <w:tcPr>
            <w:tcW w:w="8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31099</w:t>
            </w:r>
          </w:p>
        </w:tc>
        <w:tc>
          <w:tcPr>
            <w:tcW w:w="36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其他资本性支出</w:t>
            </w:r>
          </w:p>
        </w:tc>
        <w:tc>
          <w:tcPr>
            <w:tcW w:w="9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77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30306</w:t>
            </w:r>
          </w:p>
        </w:tc>
        <w:tc>
          <w:tcPr>
            <w:tcW w:w="3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救济费</w:t>
            </w:r>
          </w:p>
        </w:tc>
        <w:tc>
          <w:tcPr>
            <w:tcW w:w="8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8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30226</w:t>
            </w:r>
          </w:p>
        </w:tc>
        <w:tc>
          <w:tcPr>
            <w:tcW w:w="2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劳务费</w:t>
            </w:r>
          </w:p>
        </w:tc>
        <w:tc>
          <w:tcPr>
            <w:tcW w:w="8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399</w:t>
            </w:r>
          </w:p>
        </w:tc>
        <w:tc>
          <w:tcPr>
            <w:tcW w:w="36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其他支出</w:t>
            </w:r>
          </w:p>
        </w:tc>
        <w:tc>
          <w:tcPr>
            <w:tcW w:w="9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77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30307</w:t>
            </w:r>
          </w:p>
        </w:tc>
        <w:tc>
          <w:tcPr>
            <w:tcW w:w="3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医疗费补助</w:t>
            </w:r>
          </w:p>
        </w:tc>
        <w:tc>
          <w:tcPr>
            <w:tcW w:w="8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8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30227</w:t>
            </w:r>
          </w:p>
        </w:tc>
        <w:tc>
          <w:tcPr>
            <w:tcW w:w="2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委托业务费</w:t>
            </w:r>
          </w:p>
        </w:tc>
        <w:tc>
          <w:tcPr>
            <w:tcW w:w="8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0.40</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39906</w:t>
            </w:r>
          </w:p>
        </w:tc>
        <w:tc>
          <w:tcPr>
            <w:tcW w:w="36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赠与</w:t>
            </w:r>
          </w:p>
        </w:tc>
        <w:tc>
          <w:tcPr>
            <w:tcW w:w="9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77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30308</w:t>
            </w:r>
          </w:p>
        </w:tc>
        <w:tc>
          <w:tcPr>
            <w:tcW w:w="3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助学金</w:t>
            </w:r>
          </w:p>
        </w:tc>
        <w:tc>
          <w:tcPr>
            <w:tcW w:w="8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8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30228</w:t>
            </w:r>
          </w:p>
        </w:tc>
        <w:tc>
          <w:tcPr>
            <w:tcW w:w="2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工会经费</w:t>
            </w:r>
          </w:p>
        </w:tc>
        <w:tc>
          <w:tcPr>
            <w:tcW w:w="8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0.42</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39907</w:t>
            </w:r>
          </w:p>
        </w:tc>
        <w:tc>
          <w:tcPr>
            <w:tcW w:w="36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国家赔偿费用支出</w:t>
            </w:r>
          </w:p>
        </w:tc>
        <w:tc>
          <w:tcPr>
            <w:tcW w:w="9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77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30309</w:t>
            </w:r>
          </w:p>
        </w:tc>
        <w:tc>
          <w:tcPr>
            <w:tcW w:w="3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奖励金</w:t>
            </w:r>
          </w:p>
        </w:tc>
        <w:tc>
          <w:tcPr>
            <w:tcW w:w="8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8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30229</w:t>
            </w:r>
          </w:p>
        </w:tc>
        <w:tc>
          <w:tcPr>
            <w:tcW w:w="2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福利费</w:t>
            </w:r>
          </w:p>
        </w:tc>
        <w:tc>
          <w:tcPr>
            <w:tcW w:w="8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0.46</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39908</w:t>
            </w:r>
          </w:p>
        </w:tc>
        <w:tc>
          <w:tcPr>
            <w:tcW w:w="36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对民间非营利组织和群众性自治组织补贴</w:t>
            </w:r>
          </w:p>
        </w:tc>
        <w:tc>
          <w:tcPr>
            <w:tcW w:w="9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77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30310</w:t>
            </w:r>
          </w:p>
        </w:tc>
        <w:tc>
          <w:tcPr>
            <w:tcW w:w="3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个人农业生产补贴</w:t>
            </w:r>
          </w:p>
        </w:tc>
        <w:tc>
          <w:tcPr>
            <w:tcW w:w="8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8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30231</w:t>
            </w:r>
          </w:p>
        </w:tc>
        <w:tc>
          <w:tcPr>
            <w:tcW w:w="2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8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39999</w:t>
            </w:r>
          </w:p>
        </w:tc>
        <w:tc>
          <w:tcPr>
            <w:tcW w:w="36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其他支出</w:t>
            </w:r>
          </w:p>
        </w:tc>
        <w:tc>
          <w:tcPr>
            <w:tcW w:w="9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77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30311</w:t>
            </w:r>
          </w:p>
        </w:tc>
        <w:tc>
          <w:tcPr>
            <w:tcW w:w="3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代缴社会保险费</w:t>
            </w:r>
          </w:p>
        </w:tc>
        <w:tc>
          <w:tcPr>
            <w:tcW w:w="8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8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30239</w:t>
            </w:r>
          </w:p>
        </w:tc>
        <w:tc>
          <w:tcPr>
            <w:tcW w:w="2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其他交通费用</w:t>
            </w:r>
          </w:p>
        </w:tc>
        <w:tc>
          <w:tcPr>
            <w:tcW w:w="8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4.54</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6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9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77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30399</w:t>
            </w:r>
          </w:p>
        </w:tc>
        <w:tc>
          <w:tcPr>
            <w:tcW w:w="3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其他对个人和家庭的补助</w:t>
            </w:r>
          </w:p>
        </w:tc>
        <w:tc>
          <w:tcPr>
            <w:tcW w:w="8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8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30240</w:t>
            </w:r>
          </w:p>
        </w:tc>
        <w:tc>
          <w:tcPr>
            <w:tcW w:w="2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税金及附加费用</w:t>
            </w:r>
          </w:p>
        </w:tc>
        <w:tc>
          <w:tcPr>
            <w:tcW w:w="8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6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9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77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8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8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30299</w:t>
            </w:r>
          </w:p>
        </w:tc>
        <w:tc>
          <w:tcPr>
            <w:tcW w:w="22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其他商品和服务支出</w:t>
            </w:r>
          </w:p>
        </w:tc>
        <w:tc>
          <w:tcPr>
            <w:tcW w:w="8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6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9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3995"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人员经费合计</w:t>
            </w:r>
          </w:p>
        </w:tc>
        <w:tc>
          <w:tcPr>
            <w:tcW w:w="8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99.24</w:t>
            </w:r>
          </w:p>
        </w:tc>
        <w:tc>
          <w:tcPr>
            <w:tcW w:w="8415" w:type="dxa"/>
            <w:gridSpan w:val="5"/>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公用经费合计</w:t>
            </w:r>
          </w:p>
        </w:tc>
        <w:tc>
          <w:tcPr>
            <w:tcW w:w="9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4174"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6"/>
        <w:gridCol w:w="1446"/>
        <w:gridCol w:w="1290"/>
        <w:gridCol w:w="1635"/>
        <w:gridCol w:w="1065"/>
        <w:gridCol w:w="1125"/>
        <w:gridCol w:w="1050"/>
        <w:gridCol w:w="1215"/>
        <w:gridCol w:w="1125"/>
        <w:gridCol w:w="1350"/>
        <w:gridCol w:w="1110"/>
        <w:gridCol w:w="13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4174" w:type="dxa"/>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807" w:type="dxa"/>
            <w:gridSpan w:val="4"/>
            <w:vMerge w:val="restart"/>
            <w:tcBorders>
              <w:top w:val="nil"/>
              <w:left w:val="nil"/>
              <w:right w:val="nil"/>
            </w:tcBorders>
            <w:noWrap/>
            <w:vAlign w:val="bottom"/>
          </w:tcPr>
          <w:p>
            <w:pPr>
              <w:rPr>
                <w:rFonts w:hint="default" w:ascii="Arial" w:hAnsi="Arial" w:cs="Arial"/>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：中国国际贸易促进委员会河南省分会许昌支会</w:t>
            </w:r>
          </w:p>
        </w:tc>
        <w:tc>
          <w:tcPr>
            <w:tcW w:w="3240" w:type="dxa"/>
            <w:gridSpan w:val="3"/>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215"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125"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350"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110"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327"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hRule="atLeast"/>
        </w:trPr>
        <w:tc>
          <w:tcPr>
            <w:tcW w:w="4807" w:type="dxa"/>
            <w:gridSpan w:val="4"/>
            <w:vMerge w:val="continue"/>
            <w:tcBorders>
              <w:left w:val="nil"/>
              <w:bottom w:val="nil"/>
              <w:right w:val="nil"/>
            </w:tcBorders>
            <w:noWrap/>
            <w:vAlign w:val="bottom"/>
          </w:tcPr>
          <w:p>
            <w:pPr>
              <w:rPr>
                <w:rFonts w:hint="default" w:ascii="Arial" w:hAnsi="Arial" w:cs="Arial"/>
                <w:i w:val="0"/>
                <w:iCs w:val="0"/>
                <w:color w:val="000000"/>
                <w:sz w:val="18"/>
                <w:szCs w:val="18"/>
                <w:u w:val="none"/>
              </w:rPr>
            </w:pPr>
          </w:p>
        </w:tc>
        <w:tc>
          <w:tcPr>
            <w:tcW w:w="3240" w:type="dxa"/>
            <w:gridSpan w:val="3"/>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215"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125"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350"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437"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997"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7177"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6"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44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99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1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105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1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585"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32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43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4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6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06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1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1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3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1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32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4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9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6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6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21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3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32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6" w:type="dxa"/>
            <w:tcBorders>
              <w:top w:val="nil"/>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default" w:ascii="宋体" w:hAnsi="宋体" w:eastAsia="宋体" w:cs="宋体"/>
                <w:i w:val="0"/>
                <w:iCs w:val="0"/>
                <w:color w:val="FF0000"/>
                <w:sz w:val="22"/>
                <w:szCs w:val="22"/>
                <w:u w:val="none"/>
                <w:lang w:val="en-US" w:eastAsia="zh-CN"/>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FF0000"/>
                <w:sz w:val="22"/>
                <w:szCs w:val="22"/>
                <w:u w:val="none"/>
              </w:rPr>
            </w:pPr>
          </w:p>
        </w:tc>
        <w:tc>
          <w:tcPr>
            <w:tcW w:w="12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FF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FF0000"/>
                <w:sz w:val="22"/>
                <w:szCs w:val="22"/>
                <w:u w:val="none"/>
              </w:rPr>
            </w:pPr>
          </w:p>
        </w:tc>
        <w:tc>
          <w:tcPr>
            <w:tcW w:w="13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FF0000"/>
                <w:sz w:val="22"/>
                <w:szCs w:val="22"/>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FF0000"/>
                <w:sz w:val="22"/>
                <w:szCs w:val="22"/>
                <w:u w:val="none"/>
              </w:rPr>
            </w:pPr>
          </w:p>
        </w:tc>
        <w:tc>
          <w:tcPr>
            <w:tcW w:w="1327" w:type="dxa"/>
            <w:tcBorders>
              <w:top w:val="nil"/>
              <w:left w:val="nil"/>
              <w:bottom w:val="single" w:color="000000" w:sz="4" w:space="0"/>
              <w:right w:val="single" w:color="000000" w:sz="4" w:space="0"/>
            </w:tcBorders>
            <w:noWrap/>
            <w:vAlign w:val="center"/>
          </w:tcPr>
          <w:p>
            <w:pPr>
              <w:jc w:val="right"/>
              <w:rPr>
                <w:rFonts w:hint="default" w:ascii="宋体" w:hAnsi="宋体" w:eastAsia="宋体" w:cs="宋体"/>
                <w:i w:val="0"/>
                <w:iCs w:val="0"/>
                <w:color w:val="FF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4174"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说明：我</w:t>
      </w:r>
      <w:r>
        <w:rPr>
          <w:rFonts w:hint="eastAsia" w:ascii="宋体" w:hAnsi="宋体" w:cs="宋体"/>
          <w:i w:val="0"/>
          <w:iCs w:val="0"/>
          <w:color w:val="auto"/>
          <w:kern w:val="0"/>
          <w:sz w:val="22"/>
          <w:szCs w:val="22"/>
          <w:u w:val="none"/>
          <w:lang w:val="en-US" w:eastAsia="zh-CN" w:bidi="ar"/>
        </w:rPr>
        <w:t>单位</w:t>
      </w:r>
      <w:r>
        <w:rPr>
          <w:rFonts w:hint="eastAsia" w:ascii="宋体" w:hAnsi="宋体" w:eastAsia="宋体" w:cs="宋体"/>
          <w:i w:val="0"/>
          <w:iCs w:val="0"/>
          <w:color w:val="auto"/>
          <w:kern w:val="0"/>
          <w:sz w:val="22"/>
          <w:szCs w:val="22"/>
          <w:u w:val="none"/>
          <w:lang w:val="en-US" w:eastAsia="zh-CN" w:bidi="ar"/>
        </w:rPr>
        <w:t>没有预算安排的三公经费，也没有预算安排的三公支出，故本表无数据。</w:t>
      </w: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83"/>
        <w:gridCol w:w="783"/>
        <w:gridCol w:w="783"/>
        <w:gridCol w:w="3512"/>
        <w:gridCol w:w="1756"/>
        <w:gridCol w:w="1096"/>
        <w:gridCol w:w="721"/>
        <w:gridCol w:w="1096"/>
        <w:gridCol w:w="1096"/>
        <w:gridCol w:w="2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hRule="atLeast"/>
        </w:trPr>
        <w:tc>
          <w:tcPr>
            <w:tcW w:w="0" w:type="auto"/>
            <w:gridSpan w:val="4"/>
            <w:tcBorders>
              <w:top w:val="nil"/>
              <w:left w:val="nil"/>
              <w:bottom w:val="nil"/>
              <w:right w:val="nil"/>
            </w:tcBorders>
            <w:noWrap/>
            <w:vAlign w:val="bottom"/>
          </w:tcPr>
          <w:p>
            <w:pPr>
              <w:rPr>
                <w:rFonts w:hint="default" w:ascii="Arial" w:hAnsi="Arial" w:cs="Arial"/>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：中国国际贸易促进委员会河南省分会许昌支会</w:t>
            </w: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0" w:type="auto"/>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0" w:type="auto"/>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0" w:type="auto"/>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0" w:type="auto"/>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0" w:type="auto"/>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0" w:type="auto"/>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0" w:type="auto"/>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本年度政府性基金预算财政拨款收入、支出及结转和结余情况。本表金额转换为万元时，因四舍五入可能存在尾差。</w:t>
            </w:r>
          </w:p>
        </w:tc>
      </w:tr>
    </w:tbl>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说明：我</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没有政府性基金收入，也没有使用政府性基金安排的支出，故本表无数据</w:t>
      </w:r>
      <w:r>
        <w:rPr>
          <w:rFonts w:hint="eastAsia" w:ascii="宋体" w:hAnsi="宋体" w:cs="宋体"/>
          <w:i w:val="0"/>
          <w:iCs w:val="0"/>
          <w:color w:val="000000"/>
          <w:kern w:val="0"/>
          <w:sz w:val="22"/>
          <w:szCs w:val="22"/>
          <w:u w:val="none"/>
          <w:lang w:val="en-US" w:eastAsia="zh-CN" w:bidi="ar"/>
        </w:rPr>
        <w:t>。</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2021年度收、支总计均为</w:t>
      </w:r>
      <w:r>
        <w:rPr>
          <w:rFonts w:hint="eastAsia" w:ascii="仿宋_GB2312" w:hAnsi="仿宋_GB2312" w:eastAsia="仿宋_GB2312" w:cs="仿宋_GB2312"/>
          <w:sz w:val="32"/>
          <w:szCs w:val="32"/>
          <w:highlight w:val="none"/>
          <w:lang w:val="en-US" w:eastAsia="zh-CN"/>
        </w:rPr>
        <w:t>107.73</w:t>
      </w:r>
      <w:r>
        <w:rPr>
          <w:rFonts w:hint="eastAsia" w:ascii="仿宋_GB2312" w:hAnsi="仿宋_GB2312" w:eastAsia="仿宋_GB2312" w:cs="仿宋_GB2312"/>
          <w:sz w:val="32"/>
          <w:szCs w:val="32"/>
          <w:highlight w:val="none"/>
        </w:rPr>
        <w:t>万元。与上年度相比，收、支总计各增加</w:t>
      </w:r>
      <w:r>
        <w:rPr>
          <w:rFonts w:hint="eastAsia" w:ascii="仿宋_GB2312" w:hAnsi="仿宋_GB2312" w:eastAsia="仿宋_GB2312" w:cs="仿宋_GB2312"/>
          <w:sz w:val="32"/>
          <w:szCs w:val="32"/>
          <w:highlight w:val="none"/>
          <w:lang w:val="en-US" w:eastAsia="zh-CN"/>
        </w:rPr>
        <w:t>10.33</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10.60</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人员支出增加</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2021年度收入合计</w:t>
      </w:r>
      <w:r>
        <w:rPr>
          <w:rFonts w:hint="eastAsia" w:ascii="仿宋_GB2312" w:hAnsi="仿宋_GB2312" w:eastAsia="仿宋_GB2312" w:cs="仿宋_GB2312"/>
          <w:sz w:val="32"/>
          <w:szCs w:val="32"/>
          <w:highlight w:val="none"/>
          <w:lang w:val="en-US" w:eastAsia="zh-CN"/>
        </w:rPr>
        <w:t>102.63</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102.63</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%；附属单位上缴收</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2021年度支出合计</w:t>
      </w:r>
      <w:r>
        <w:rPr>
          <w:rFonts w:hint="eastAsia" w:ascii="仿宋_GB2312" w:hAnsi="仿宋_GB2312" w:eastAsia="仿宋_GB2312" w:cs="仿宋_GB2312"/>
          <w:sz w:val="32"/>
          <w:szCs w:val="32"/>
          <w:highlight w:val="none"/>
          <w:lang w:val="en-US" w:eastAsia="zh-CN"/>
        </w:rPr>
        <w:t>107.73</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107.73</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2021年度财政拨款收、支总计均为</w:t>
      </w:r>
      <w:r>
        <w:rPr>
          <w:rFonts w:hint="eastAsia" w:ascii="仿宋_GB2312" w:hAnsi="仿宋_GB2312" w:eastAsia="仿宋_GB2312" w:cs="仿宋_GB2312"/>
          <w:sz w:val="32"/>
          <w:szCs w:val="32"/>
          <w:highlight w:val="none"/>
          <w:lang w:val="en-US" w:eastAsia="zh-CN"/>
        </w:rPr>
        <w:t>107.73</w:t>
      </w:r>
      <w:r>
        <w:rPr>
          <w:rFonts w:hint="eastAsia" w:ascii="仿宋_GB2312" w:hAnsi="仿宋_GB2312" w:eastAsia="仿宋_GB2312" w:cs="仿宋_GB2312"/>
          <w:sz w:val="32"/>
          <w:szCs w:val="32"/>
          <w:highlight w:val="none"/>
        </w:rPr>
        <w:t>万元。与上年度相比，财政拨款收、支总计各增加</w:t>
      </w:r>
      <w:r>
        <w:rPr>
          <w:rFonts w:hint="eastAsia" w:ascii="仿宋_GB2312" w:hAnsi="仿宋_GB2312" w:eastAsia="仿宋_GB2312" w:cs="仿宋_GB2312"/>
          <w:sz w:val="32"/>
          <w:szCs w:val="32"/>
          <w:highlight w:val="none"/>
          <w:lang w:val="en-US" w:eastAsia="zh-CN"/>
        </w:rPr>
        <w:t>10.33</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10.60</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人员支出增加</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2021年度一般公共预算财政拨款支出</w:t>
      </w:r>
      <w:r>
        <w:rPr>
          <w:rFonts w:hint="eastAsia" w:ascii="仿宋_GB2312" w:hAnsi="仿宋_GB2312" w:eastAsia="仿宋_GB2312" w:cs="仿宋_GB2312"/>
          <w:sz w:val="32"/>
          <w:szCs w:val="32"/>
          <w:highlight w:val="none"/>
          <w:lang w:val="en-US" w:eastAsia="zh-CN"/>
        </w:rPr>
        <w:t>107.73</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%。与上年度相比，一般公共预算财政拨款支出增加</w:t>
      </w:r>
      <w:r>
        <w:rPr>
          <w:rFonts w:hint="eastAsia" w:ascii="仿宋_GB2312" w:hAnsi="仿宋_GB2312" w:eastAsia="仿宋_GB2312" w:cs="仿宋_GB2312"/>
          <w:sz w:val="32"/>
          <w:szCs w:val="32"/>
          <w:highlight w:val="none"/>
          <w:lang w:val="en-US" w:eastAsia="zh-CN"/>
        </w:rPr>
        <w:t>16.87</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18.57</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人员支出增加</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2021年度一般公共预算财政拨款支出</w:t>
      </w:r>
      <w:r>
        <w:rPr>
          <w:rFonts w:hint="eastAsia" w:ascii="仿宋_GB2312" w:hAnsi="仿宋_GB2312" w:eastAsia="仿宋_GB2312" w:cs="仿宋_GB2312"/>
          <w:sz w:val="32"/>
          <w:szCs w:val="32"/>
          <w:highlight w:val="none"/>
          <w:lang w:val="en-US" w:eastAsia="zh-CN"/>
        </w:rPr>
        <w:t>107.73</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87.63</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81.34</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val="en-US" w:eastAsia="zh-CN"/>
        </w:rPr>
        <w:t>社会保障和就业支出（类）15.19万元，占14.10%；卫生健康支出（类）4.91万元，占4.56%</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r>
        <w:rPr>
          <w:rFonts w:hint="eastAsia" w:ascii="仿宋_GB2312" w:hAnsi="仿宋_GB2312" w:eastAsia="仿宋_GB2312" w:cs="仿宋_GB2312"/>
          <w:sz w:val="32"/>
          <w:szCs w:val="32"/>
          <w:highlight w:val="none"/>
        </w:rPr>
        <w:t>2021年度一般公共预算财政拨款支出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96.52</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107.73</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111.61</w:t>
      </w:r>
      <w:r>
        <w:rPr>
          <w:rFonts w:hint="eastAsia" w:ascii="仿宋_GB2312" w:hAnsi="仿宋_GB2312" w:eastAsia="仿宋_GB2312" w:cs="仿宋_GB2312"/>
          <w:sz w:val="32"/>
          <w:szCs w:val="32"/>
          <w:highlight w:val="none"/>
        </w:rPr>
        <w:t>%。其中：</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1．一般公共服务支出（类）商贸事务（款）行政运行（项）。</w:t>
      </w:r>
      <w:r>
        <w:rPr>
          <w:rFonts w:hint="eastAsia" w:ascii="仿宋_GB2312" w:hAnsi="仿宋_GB2312" w:eastAsia="仿宋_GB2312" w:cs="仿宋_GB2312"/>
          <w:color w:val="auto"/>
          <w:sz w:val="32"/>
          <w:szCs w:val="32"/>
          <w:highlight w:val="none"/>
          <w:lang w:val="en-US" w:eastAsia="zh-CN"/>
        </w:rPr>
        <w:t>年初预算为38.41万元，支出决算为49.76万元，完成年初预算的129.55%。决算数与年初预算数存在差异的主要原因是人员增加。</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2．一般公共服务支出（类）商贸事务（款）其它商贸事务支出（项）。</w:t>
      </w:r>
      <w:r>
        <w:rPr>
          <w:rFonts w:hint="eastAsia" w:ascii="仿宋_GB2312" w:hAnsi="仿宋_GB2312" w:eastAsia="仿宋_GB2312" w:cs="仿宋_GB2312"/>
          <w:color w:val="auto"/>
          <w:sz w:val="32"/>
          <w:szCs w:val="32"/>
          <w:highlight w:val="none"/>
          <w:lang w:val="en-US" w:eastAsia="zh-CN"/>
        </w:rPr>
        <w:t>年初预算为37.46万元，支出决算为37.46万元，完成年初预算的100%。决算数与年初预算数不存在差异。</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sz w:val="32"/>
          <w:szCs w:val="32"/>
        </w:rPr>
        <w:t>一般公共服务支出（类）群众团体事务（款）工会事务（项）。</w:t>
      </w:r>
      <w:r>
        <w:rPr>
          <w:rFonts w:hint="eastAsia" w:ascii="仿宋_GB2312" w:hAnsi="仿宋_GB2312" w:eastAsia="仿宋_GB2312" w:cs="仿宋_GB2312"/>
          <w:color w:val="auto"/>
          <w:sz w:val="32"/>
          <w:szCs w:val="32"/>
          <w:highlight w:val="none"/>
          <w:lang w:val="en-US" w:eastAsia="zh-CN"/>
        </w:rPr>
        <w:t>年初预算为0.42万元，支出决算为0.42万元，完成年初预算的100%。决算数与年初预算数不存在差异。</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eastAsia="仿宋_GB2312" w:cs="仿宋_GB2312"/>
          <w:b/>
          <w:bCs/>
          <w:sz w:val="32"/>
          <w:szCs w:val="32"/>
        </w:rPr>
        <w:t>社会保障和就业支出（类）行政事业单位</w:t>
      </w:r>
      <w:r>
        <w:rPr>
          <w:rFonts w:hint="eastAsia" w:ascii="仿宋_GB2312" w:hAnsi="仿宋_GB2312" w:eastAsia="仿宋_GB2312" w:cs="仿宋_GB2312"/>
          <w:b/>
          <w:bCs/>
          <w:sz w:val="32"/>
          <w:szCs w:val="32"/>
          <w:lang w:eastAsia="zh-CN"/>
        </w:rPr>
        <w:t>养老支出</w:t>
      </w:r>
      <w:r>
        <w:rPr>
          <w:rFonts w:hint="eastAsia" w:ascii="仿宋_GB2312" w:hAnsi="仿宋_GB2312" w:eastAsia="仿宋_GB2312" w:cs="仿宋_GB2312"/>
          <w:b/>
          <w:bCs/>
          <w:sz w:val="32"/>
          <w:szCs w:val="32"/>
        </w:rPr>
        <w:t>（款）行政单位离退休（项）。</w:t>
      </w:r>
      <w:r>
        <w:rPr>
          <w:rFonts w:hint="eastAsia" w:ascii="仿宋_GB2312" w:hAnsi="仿宋_GB2312" w:eastAsia="仿宋_GB2312" w:cs="仿宋_GB2312"/>
          <w:color w:val="auto"/>
          <w:sz w:val="32"/>
          <w:szCs w:val="32"/>
          <w:highlight w:val="none"/>
          <w:lang w:val="en-US" w:eastAsia="zh-CN"/>
        </w:rPr>
        <w:t>年初预算为10.52万元，支出决算为10.44万元，完成年初预算的99.24%。决算数与年初预算数存在差异的主要原因上年结余。</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社会保障和就业支出（类）行政事业单位</w:t>
      </w:r>
      <w:r>
        <w:rPr>
          <w:rFonts w:hint="eastAsia" w:ascii="仿宋_GB2312" w:hAnsi="仿宋_GB2312" w:eastAsia="仿宋_GB2312" w:cs="仿宋_GB2312"/>
          <w:b/>
          <w:bCs/>
          <w:sz w:val="32"/>
          <w:szCs w:val="32"/>
          <w:lang w:eastAsia="zh-CN"/>
        </w:rPr>
        <w:t>养老支出</w:t>
      </w:r>
      <w:r>
        <w:rPr>
          <w:rFonts w:hint="eastAsia" w:ascii="仿宋_GB2312" w:hAnsi="仿宋_GB2312" w:eastAsia="仿宋_GB2312" w:cs="仿宋_GB2312"/>
          <w:b/>
          <w:bCs/>
          <w:sz w:val="32"/>
          <w:szCs w:val="32"/>
        </w:rPr>
        <w:t>（款）机关事业单位基本养老保险缴费支出（项）。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4.75</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4.75</w:t>
      </w:r>
      <w:r>
        <w:rPr>
          <w:rFonts w:hint="eastAsia" w:ascii="仿宋_GB2312" w:hAnsi="仿宋_GB2312" w:eastAsia="仿宋_GB2312" w:cs="仿宋_GB2312"/>
          <w:sz w:val="32"/>
          <w:szCs w:val="32"/>
        </w:rPr>
        <w:t>万元，完成年初预算的100%。决算数与年初预算数不存在差异。</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卫生健康支出（类）行政事业单位医疗（款）行政单位医疗（项）。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2.54</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2.51</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98.82</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highlight w:val="none"/>
          <w:lang w:val="en-US" w:eastAsia="zh-CN"/>
        </w:rPr>
        <w:t>决</w:t>
      </w:r>
      <w:r>
        <w:rPr>
          <w:rFonts w:hint="eastAsia" w:ascii="仿宋_GB2312" w:hAnsi="仿宋_GB2312" w:eastAsia="仿宋_GB2312" w:cs="仿宋_GB2312"/>
          <w:sz w:val="32"/>
          <w:szCs w:val="32"/>
        </w:rPr>
        <w:t>算数与年初预算数</w:t>
      </w:r>
      <w:r>
        <w:rPr>
          <w:rFonts w:hint="eastAsia" w:ascii="仿宋_GB2312" w:hAnsi="仿宋_GB2312" w:eastAsia="仿宋_GB2312" w:cs="仿宋_GB2312"/>
          <w:sz w:val="32"/>
          <w:szCs w:val="32"/>
          <w:lang w:eastAsia="zh-CN"/>
        </w:rPr>
        <w:t>存在差异的主要原因是</w:t>
      </w:r>
      <w:r>
        <w:rPr>
          <w:rFonts w:hint="eastAsia" w:ascii="仿宋_GB2312" w:hAnsi="仿宋_GB2312" w:eastAsia="仿宋_GB2312" w:cs="仿宋_GB2312"/>
          <w:sz w:val="32"/>
          <w:szCs w:val="32"/>
          <w:lang w:val="en-US" w:eastAsia="zh-CN"/>
        </w:rPr>
        <w:t>上年结</w:t>
      </w:r>
      <w:r>
        <w:rPr>
          <w:rFonts w:hint="eastAsia" w:ascii="仿宋_GB2312" w:hAnsi="仿宋_GB2312" w:eastAsia="仿宋_GB2312" w:cs="仿宋_GB2312"/>
          <w:color w:val="auto"/>
          <w:sz w:val="32"/>
          <w:szCs w:val="32"/>
          <w:highlight w:val="none"/>
          <w:lang w:val="en-US" w:eastAsia="zh-CN"/>
        </w:rPr>
        <w:t>余</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sz w:val="32"/>
          <w:szCs w:val="32"/>
          <w:lang w:val="en-US" w:eastAsia="zh-CN" w:bidi="ar"/>
        </w:rPr>
        <w:t>7</w:t>
      </w:r>
      <w:r>
        <w:rPr>
          <w:rFonts w:hint="eastAsia" w:ascii="仿宋_GB2312" w:hAnsi="仿宋_GB2312" w:eastAsia="仿宋_GB2312" w:cs="仿宋_GB2312"/>
          <w:b/>
          <w:bCs/>
          <w:sz w:val="32"/>
          <w:szCs w:val="32"/>
          <w:lang w:bidi="ar"/>
        </w:rPr>
        <w:t>.卫生健康支出（类）行政事业单位医疗（款）</w:t>
      </w:r>
      <w:r>
        <w:rPr>
          <w:rFonts w:hint="eastAsia" w:ascii="仿宋_GB2312" w:hAnsi="仿宋_GB2312" w:eastAsia="仿宋_GB2312" w:cs="仿宋_GB2312"/>
          <w:b/>
          <w:bCs/>
          <w:sz w:val="32"/>
          <w:szCs w:val="32"/>
          <w:lang w:eastAsia="zh-CN" w:bidi="ar"/>
        </w:rPr>
        <w:t>公务员医疗补助（项）。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2.42</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2.40</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99.17</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highlight w:val="none"/>
          <w:lang w:val="en-US" w:eastAsia="zh-CN"/>
        </w:rPr>
        <w:t>决算数与年初预算数存在差异的主要原因是上年结余。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2021年度一般公共预算财政拨款基本支出</w:t>
      </w:r>
      <w:r>
        <w:rPr>
          <w:rFonts w:hint="eastAsia" w:ascii="仿宋_GB2312" w:hAnsi="仿宋_GB2312" w:eastAsia="仿宋_GB2312" w:cs="仿宋_GB2312"/>
          <w:sz w:val="32"/>
          <w:szCs w:val="32"/>
          <w:highlight w:val="none"/>
          <w:lang w:val="en-US" w:eastAsia="zh-CN"/>
        </w:rPr>
        <w:t>107.73</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99.24</w:t>
      </w:r>
      <w:r>
        <w:rPr>
          <w:rFonts w:hint="eastAsia" w:ascii="仿宋_GB2312" w:hAnsi="仿宋_GB2312" w:eastAsia="仿宋_GB2312" w:cs="仿宋_GB2312"/>
          <w:sz w:val="32"/>
          <w:szCs w:val="32"/>
          <w:highlight w:val="none"/>
        </w:rPr>
        <w:t>万元，主要包括：</w:t>
      </w:r>
      <w:r>
        <w:rPr>
          <w:rFonts w:hint="eastAsia" w:ascii="仿宋_GB2312" w:hAnsi="仿宋_GB2312" w:eastAsia="仿宋_GB2312" w:cs="仿宋_GB2312"/>
          <w:color w:val="auto"/>
          <w:sz w:val="32"/>
          <w:szCs w:val="32"/>
          <w:highlight w:val="none"/>
          <w:lang w:val="en-US" w:eastAsia="zh-CN"/>
        </w:rPr>
        <w:t>基本工资、津贴补贴、奖金、机关事业单位基本养老保险缴费、职工基本医疗保险缴费、公务员医疗补助缴费、其他社会保障缴费、住房公积金、退休费、其他工资福利支出；公用经费8.49万元，主要包括：办公费、邮电费、差旅费、专用材料费、委托业务费、工会经费、福利费、其他交通费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2021年度“三公”经费财政拨款支出预算为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万元。2021年度“三公”经费支出决算数与预算数</w:t>
      </w:r>
      <w:r>
        <w:rPr>
          <w:rFonts w:hint="eastAsia" w:ascii="仿宋_GB2312" w:hAnsi="仿宋_GB2312" w:eastAsia="仿宋_GB2312" w:cs="仿宋_GB2312"/>
          <w:sz w:val="32"/>
          <w:szCs w:val="32"/>
          <w:highlight w:val="none"/>
          <w:lang w:eastAsia="zh-CN"/>
        </w:rPr>
        <w:t>不存在差异。</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2021年度“三公”经费财政拨款支出决算中，因公出国（境）费支出决算</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万元；公务用车购置及运行费支出决算</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万元；公务接待费支出决算</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万元。具体情况如下：</w:t>
      </w: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sz w:val="32"/>
          <w:szCs w:val="32"/>
          <w:highlight w:val="none"/>
        </w:rPr>
        <w:t>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color w:val="auto"/>
          <w:sz w:val="32"/>
          <w:szCs w:val="32"/>
          <w:highlight w:val="none"/>
        </w:rPr>
        <w:t>决算数与预算数不存在差异。因公出国（境）团组数0个，因公出国（境）人次数0人。</w:t>
      </w: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公务用车购置及运行费</w:t>
      </w:r>
      <w:r>
        <w:rPr>
          <w:rFonts w:hint="eastAsia" w:ascii="仿宋_GB2312" w:hAnsi="仿宋_GB2312" w:eastAsia="仿宋_GB2312" w:cs="仿宋_GB2312"/>
          <w:color w:val="auto"/>
          <w:sz w:val="32"/>
          <w:szCs w:val="32"/>
          <w:highlight w:val="none"/>
          <w:lang w:val="en-US" w:eastAsia="zh-CN"/>
        </w:rPr>
        <w:t>预算为0万元，支出决算为0万元。</w:t>
      </w:r>
      <w:r>
        <w:rPr>
          <w:rFonts w:hint="eastAsia" w:ascii="仿宋_GB2312" w:hAnsi="仿宋_GB2312" w:eastAsia="仿宋_GB2312" w:cs="仿宋_GB2312"/>
          <w:color w:val="auto"/>
          <w:sz w:val="32"/>
          <w:szCs w:val="32"/>
          <w:highlight w:val="none"/>
        </w:rPr>
        <w:t>2021年度“三公”经费支出决算数与预算数不存在差异。</w:t>
      </w:r>
      <w:r>
        <w:rPr>
          <w:rFonts w:hint="eastAsia" w:ascii="仿宋_GB2312" w:hAnsi="仿宋_GB2312" w:eastAsia="仿宋_GB2312" w:cs="仿宋_GB2312"/>
          <w:color w:val="auto"/>
          <w:sz w:val="32"/>
          <w:szCs w:val="32"/>
          <w:highlight w:val="none"/>
          <w:lang w:val="en-US" w:eastAsia="zh-CN"/>
        </w:rPr>
        <w:t>其中：</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公务用车购置支出</w:t>
      </w:r>
      <w:r>
        <w:rPr>
          <w:rFonts w:hint="eastAsia" w:ascii="仿宋_GB2312" w:hAnsi="仿宋_GB2312" w:eastAsia="仿宋_GB2312" w:cs="仿宋_GB2312"/>
          <w:color w:val="auto"/>
          <w:sz w:val="32"/>
          <w:szCs w:val="32"/>
          <w:highlight w:val="none"/>
          <w:lang w:val="en-US" w:eastAsia="zh-CN"/>
        </w:rPr>
        <w:t>0万元，购置车辆0辆。</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公务用车运行支出</w:t>
      </w:r>
      <w:r>
        <w:rPr>
          <w:rFonts w:hint="eastAsia" w:ascii="仿宋_GB2312" w:hAnsi="仿宋_GB2312" w:eastAsia="仿宋_GB2312" w:cs="仿宋_GB2312"/>
          <w:color w:val="auto"/>
          <w:sz w:val="32"/>
          <w:szCs w:val="32"/>
          <w:highlight w:val="none"/>
          <w:lang w:val="en-US" w:eastAsia="zh-CN"/>
        </w:rPr>
        <w:t>0万元。2021年期末，单位开支财政拨款的公务用车保有量为0辆。</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万元。决算数与预算数</w:t>
      </w:r>
      <w:r>
        <w:rPr>
          <w:rFonts w:hint="eastAsia" w:ascii="仿宋_GB2312" w:hAnsi="仿宋_GB2312" w:eastAsia="仿宋_GB2312" w:cs="仿宋_GB2312"/>
          <w:sz w:val="32"/>
          <w:szCs w:val="32"/>
          <w:highlight w:val="none"/>
          <w:lang w:eastAsia="zh-CN"/>
        </w:rPr>
        <w:t>不存在差异</w:t>
      </w:r>
      <w:r>
        <w:rPr>
          <w:rFonts w:hint="eastAsia" w:ascii="仿宋_GB2312" w:hAnsi="仿宋_GB2312" w:eastAsia="仿宋_GB2312" w:cs="仿宋_GB2312"/>
          <w:sz w:val="32"/>
          <w:szCs w:val="32"/>
          <w:highlight w:val="none"/>
        </w:rPr>
        <w:t>。其中：</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万元。2021年共接待国（境）外来访团组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万元。2021年共接待国内来访团组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2021年度政府性基金预算财政拨款支出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不存在项目年末结转和结余资金数额较大。情况说明：我</w:t>
      </w:r>
      <w:r>
        <w:rPr>
          <w:rFonts w:hint="eastAsia" w:ascii="仿宋_GB2312" w:hAnsi="仿宋_GB2312" w:eastAsia="仿宋_GB2312" w:cs="仿宋_GB2312"/>
          <w:sz w:val="32"/>
          <w:szCs w:val="32"/>
          <w:highlight w:val="none"/>
          <w:lang w:val="en-US" w:eastAsia="zh-CN"/>
        </w:rPr>
        <w:t>单位2021年度没有政府性基金收入，也没有使用政府性基金安排的支出。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2021年度机关运行经费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10.27</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8.49</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82.67</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节俭开支</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2021年度政府采购支出总额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其中：授予小微企业合同金额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r>
        <w:rPr>
          <w:rFonts w:hint="eastAsia" w:ascii="仿宋_GB2312" w:hAnsi="仿宋_GB2312" w:eastAsia="仿宋_GB2312" w:cs="仿宋_GB2312"/>
          <w:sz w:val="32"/>
          <w:szCs w:val="32"/>
          <w:highlight w:val="none"/>
        </w:rPr>
        <w:t>2021年期末，我单位共有车辆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560" w:lineRule="exact"/>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许昌市人民政府关于全面实施预算绩效管理的实施意见》（许发〔2021〕13号）文件要求，对本单位整体支出和项目支出开展全过程预算绩效管理。2021年我单位严格履行预算绩效管理主体责任，以绩效目标为导向，做好绩效运行监控，提升绩效自评质量，不断提高绩效管理工作水平，充分发挥财政资金使用效益。加强组织领导，完善管理制度建设，规范工作程序，明确分阶段工作任务，强化绩效在预算编制、执行中的全过程管理。积极参加市财政局举办的绩效监控培训，学习绩效监控重点及监控操作流程，宣传事前绩效评估及绩效目标管理课件，组织相关人员学习课件内容。</w:t>
      </w:r>
    </w:p>
    <w:p>
      <w:pPr>
        <w:keepNext w:val="0"/>
        <w:keepLines w:val="0"/>
        <w:pageBreakBefore w:val="0"/>
        <w:widowControl/>
        <w:kinsoku/>
        <w:wordWrap/>
        <w:overflowPunct/>
        <w:topLinePunct w:val="0"/>
        <w:autoSpaceDE/>
        <w:autoSpaceDN/>
        <w:bidi w:val="0"/>
        <w:adjustRightInd/>
        <w:snapToGrid/>
        <w:spacing w:line="560" w:lineRule="exact"/>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w:t>
      </w:r>
      <w:r>
        <w:rPr>
          <w:rFonts w:hint="eastAsia" w:ascii="仿宋_GB2312" w:hAnsi="仿宋_GB2312" w:eastAsia="仿宋_GB2312" w:cs="仿宋_GB2312"/>
          <w:sz w:val="32"/>
          <w:szCs w:val="32"/>
          <w:lang w:val="en-US" w:eastAsia="zh-CN"/>
        </w:rPr>
        <w:t>我单位积极履职，强化管理，较好的完成了年度工作目标。资金使用严格执行财务制度，预算编制、预算执行、预算管理、资产管理、绩效评价目标实现较为理想，达到预期目标。</w:t>
      </w:r>
      <w:r>
        <w:rPr>
          <w:rFonts w:hint="eastAsia" w:ascii="仿宋_GB2312" w:hAnsi="仿宋_GB2312" w:eastAsia="仿宋_GB2312" w:cs="仿宋_GB2312"/>
          <w:color w:val="auto"/>
          <w:sz w:val="32"/>
          <w:szCs w:val="32"/>
          <w:highlight w:val="none"/>
          <w:lang w:val="en-US" w:eastAsia="zh-CN"/>
        </w:rPr>
        <w:t>二是项目绩效自评情况。我单位共有0个项目批复了绩效目标。</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基于项目预期目标的实现程度，对2021年度项目支出绩效进行自评，绩效自评平均得分为/分。其中：0个项目评价等级为“优”、0个项目评价等级为“良”、0个项目评价等级为“中”、0个项目评价等级为“差”。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560" w:lineRule="exact"/>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宋体" w:eastAsia="黑体" w:cs="宋体"/>
          <w:kern w:val="0"/>
          <w:sz w:val="28"/>
          <w:szCs w:val="28"/>
          <w:highlight w:val="none"/>
          <w:lang w:eastAsia="zh-CN"/>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宋体" w:eastAsia="黑体" w:cs="宋体"/>
          <w:kern w:val="0"/>
          <w:sz w:val="28"/>
          <w:szCs w:val="28"/>
          <w:highlight w:val="none"/>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8"/>
          <w:szCs w:val="48"/>
          <w:highlight w:val="none"/>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 w:hAnsi="仿宋" w:eastAsia="仿宋" w:cs="仿宋"/>
          <w:sz w:val="32"/>
          <w:szCs w:val="32"/>
          <w:highlight w:val="none"/>
          <w:lang w:eastAsia="zh-CN"/>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CE9794"/>
    <w:multiLevelType w:val="singleLevel"/>
    <w:tmpl w:val="89CE9794"/>
    <w:lvl w:ilvl="0" w:tentative="0">
      <w:start w:val="1"/>
      <w:numFmt w:val="decimal"/>
      <w:suff w:val="nothing"/>
      <w:lvlText w:val="%1．"/>
      <w:lvlJc w:val="left"/>
      <w:rPr>
        <w:rFonts w:hint="default"/>
        <w:b/>
        <w:bCs/>
      </w:rPr>
    </w:lvl>
  </w:abstractNum>
  <w:abstractNum w:abstractNumId="1">
    <w:nsid w:val="CCA6FC1A"/>
    <w:multiLevelType w:val="singleLevel"/>
    <w:tmpl w:val="CCA6FC1A"/>
    <w:lvl w:ilvl="0" w:tentative="0">
      <w:start w:val="1"/>
      <w:numFmt w:val="chineseCounting"/>
      <w:suff w:val="space"/>
      <w:lvlText w:val="第%1部分"/>
      <w:lvlJc w:val="left"/>
      <w:rPr>
        <w:rFonts w:hint="eastAsia"/>
      </w:rPr>
    </w:lvl>
  </w:abstractNum>
  <w:abstractNum w:abstractNumId="2">
    <w:nsid w:val="5971BE17"/>
    <w:multiLevelType w:val="singleLevel"/>
    <w:tmpl w:val="5971BE17"/>
    <w:lvl w:ilvl="0" w:tentative="0">
      <w:start w:val="1"/>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0NWZjZDA1NjEzNTZhZDQ2NjM0MTIxMjYyMGQzOWU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C3D0E"/>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A3489A"/>
    <w:rsid w:val="02CA138D"/>
    <w:rsid w:val="033646FC"/>
    <w:rsid w:val="03AE02AD"/>
    <w:rsid w:val="03C75F80"/>
    <w:rsid w:val="0478364D"/>
    <w:rsid w:val="04CA442F"/>
    <w:rsid w:val="053D4C0D"/>
    <w:rsid w:val="0557532E"/>
    <w:rsid w:val="06867B11"/>
    <w:rsid w:val="06F46766"/>
    <w:rsid w:val="0799329C"/>
    <w:rsid w:val="08397436"/>
    <w:rsid w:val="086F16A7"/>
    <w:rsid w:val="0A0F7225"/>
    <w:rsid w:val="0A2B7D82"/>
    <w:rsid w:val="0A450EDC"/>
    <w:rsid w:val="0ADC40E9"/>
    <w:rsid w:val="0AE607F4"/>
    <w:rsid w:val="0B386127"/>
    <w:rsid w:val="0B451598"/>
    <w:rsid w:val="0BEC73F4"/>
    <w:rsid w:val="0C392698"/>
    <w:rsid w:val="0E5A3E47"/>
    <w:rsid w:val="104F5DD0"/>
    <w:rsid w:val="10BD36F6"/>
    <w:rsid w:val="11BF0649"/>
    <w:rsid w:val="120459C1"/>
    <w:rsid w:val="123E3E08"/>
    <w:rsid w:val="133212F4"/>
    <w:rsid w:val="136726E9"/>
    <w:rsid w:val="13D22E22"/>
    <w:rsid w:val="158B68BB"/>
    <w:rsid w:val="161C2DFF"/>
    <w:rsid w:val="16373578"/>
    <w:rsid w:val="169D77ED"/>
    <w:rsid w:val="16C52B7E"/>
    <w:rsid w:val="16D3336B"/>
    <w:rsid w:val="17200028"/>
    <w:rsid w:val="17806C36"/>
    <w:rsid w:val="17A74F62"/>
    <w:rsid w:val="18A47774"/>
    <w:rsid w:val="1A8D28EB"/>
    <w:rsid w:val="1A9F2D78"/>
    <w:rsid w:val="1B2E6FD8"/>
    <w:rsid w:val="1B777CF1"/>
    <w:rsid w:val="1B877D21"/>
    <w:rsid w:val="1C4319A9"/>
    <w:rsid w:val="1D407E46"/>
    <w:rsid w:val="1E443B4B"/>
    <w:rsid w:val="1E994F4A"/>
    <w:rsid w:val="1EAF0224"/>
    <w:rsid w:val="1F2230A4"/>
    <w:rsid w:val="20210932"/>
    <w:rsid w:val="202448E0"/>
    <w:rsid w:val="20F614FE"/>
    <w:rsid w:val="21302EEA"/>
    <w:rsid w:val="22376FB5"/>
    <w:rsid w:val="23804629"/>
    <w:rsid w:val="23E152D7"/>
    <w:rsid w:val="23EB7030"/>
    <w:rsid w:val="23EE2489"/>
    <w:rsid w:val="240C1F13"/>
    <w:rsid w:val="24F74F10"/>
    <w:rsid w:val="255D43C8"/>
    <w:rsid w:val="26714EF8"/>
    <w:rsid w:val="26876BDD"/>
    <w:rsid w:val="2714632A"/>
    <w:rsid w:val="27503D7F"/>
    <w:rsid w:val="27541E73"/>
    <w:rsid w:val="27B0539E"/>
    <w:rsid w:val="29365CF8"/>
    <w:rsid w:val="299469B3"/>
    <w:rsid w:val="2A805789"/>
    <w:rsid w:val="2ADC0D75"/>
    <w:rsid w:val="2B4A0E52"/>
    <w:rsid w:val="2C975890"/>
    <w:rsid w:val="2CCC3355"/>
    <w:rsid w:val="2D5B41DB"/>
    <w:rsid w:val="2DD52FF2"/>
    <w:rsid w:val="2DE966DA"/>
    <w:rsid w:val="2DEF21BB"/>
    <w:rsid w:val="2E4A2F05"/>
    <w:rsid w:val="2EBB7CD0"/>
    <w:rsid w:val="2ECC1061"/>
    <w:rsid w:val="2EFD3826"/>
    <w:rsid w:val="2F8456B9"/>
    <w:rsid w:val="2FA476AD"/>
    <w:rsid w:val="303F7540"/>
    <w:rsid w:val="31DD00BF"/>
    <w:rsid w:val="3293174C"/>
    <w:rsid w:val="32BB38D4"/>
    <w:rsid w:val="32C9376D"/>
    <w:rsid w:val="33780472"/>
    <w:rsid w:val="33AF0905"/>
    <w:rsid w:val="34613ED5"/>
    <w:rsid w:val="355932F4"/>
    <w:rsid w:val="35611882"/>
    <w:rsid w:val="36746FC3"/>
    <w:rsid w:val="368763AE"/>
    <w:rsid w:val="37F96774"/>
    <w:rsid w:val="395D59E7"/>
    <w:rsid w:val="39A93932"/>
    <w:rsid w:val="3A915562"/>
    <w:rsid w:val="3B6620EF"/>
    <w:rsid w:val="3B8D4765"/>
    <w:rsid w:val="3C000DBA"/>
    <w:rsid w:val="3C095452"/>
    <w:rsid w:val="3CB12230"/>
    <w:rsid w:val="3DC045D3"/>
    <w:rsid w:val="3E504FFB"/>
    <w:rsid w:val="3E615CD0"/>
    <w:rsid w:val="3E896B0F"/>
    <w:rsid w:val="3E9C47F6"/>
    <w:rsid w:val="3EBD5A23"/>
    <w:rsid w:val="3F8B0112"/>
    <w:rsid w:val="3FAB3095"/>
    <w:rsid w:val="3FE45947"/>
    <w:rsid w:val="41242965"/>
    <w:rsid w:val="42DF747D"/>
    <w:rsid w:val="435671EA"/>
    <w:rsid w:val="440809E9"/>
    <w:rsid w:val="442407A6"/>
    <w:rsid w:val="44805EA1"/>
    <w:rsid w:val="45110506"/>
    <w:rsid w:val="45710696"/>
    <w:rsid w:val="46142B1B"/>
    <w:rsid w:val="47E60DD0"/>
    <w:rsid w:val="480906D3"/>
    <w:rsid w:val="48735039"/>
    <w:rsid w:val="4902607D"/>
    <w:rsid w:val="492C684B"/>
    <w:rsid w:val="49500594"/>
    <w:rsid w:val="49DC3B81"/>
    <w:rsid w:val="49E7604E"/>
    <w:rsid w:val="4BF67CDD"/>
    <w:rsid w:val="4D173441"/>
    <w:rsid w:val="4D603DD6"/>
    <w:rsid w:val="4D624C80"/>
    <w:rsid w:val="4E807DFC"/>
    <w:rsid w:val="4EBF010F"/>
    <w:rsid w:val="4F471EB0"/>
    <w:rsid w:val="51331326"/>
    <w:rsid w:val="51740A7F"/>
    <w:rsid w:val="517558EC"/>
    <w:rsid w:val="51A5541E"/>
    <w:rsid w:val="51C96242"/>
    <w:rsid w:val="51D5124B"/>
    <w:rsid w:val="533E01FD"/>
    <w:rsid w:val="53906AE1"/>
    <w:rsid w:val="54F46F60"/>
    <w:rsid w:val="55A37BEA"/>
    <w:rsid w:val="55B41744"/>
    <w:rsid w:val="56251918"/>
    <w:rsid w:val="562C7AA3"/>
    <w:rsid w:val="56362CD2"/>
    <w:rsid w:val="5784687B"/>
    <w:rsid w:val="57846959"/>
    <w:rsid w:val="578E6A87"/>
    <w:rsid w:val="58707A31"/>
    <w:rsid w:val="5A054012"/>
    <w:rsid w:val="5AC2203A"/>
    <w:rsid w:val="5BE07775"/>
    <w:rsid w:val="5CBB3334"/>
    <w:rsid w:val="5D115FAF"/>
    <w:rsid w:val="5FF23C52"/>
    <w:rsid w:val="62811722"/>
    <w:rsid w:val="62E75A72"/>
    <w:rsid w:val="62F32512"/>
    <w:rsid w:val="635E6171"/>
    <w:rsid w:val="64571880"/>
    <w:rsid w:val="649125B6"/>
    <w:rsid w:val="652F4C1A"/>
    <w:rsid w:val="666D37F1"/>
    <w:rsid w:val="67087D8F"/>
    <w:rsid w:val="671F687E"/>
    <w:rsid w:val="673A5207"/>
    <w:rsid w:val="67C824AA"/>
    <w:rsid w:val="67F415F8"/>
    <w:rsid w:val="682640D1"/>
    <w:rsid w:val="684B73E5"/>
    <w:rsid w:val="69280027"/>
    <w:rsid w:val="6A047A2A"/>
    <w:rsid w:val="6BB76408"/>
    <w:rsid w:val="6BBC04D0"/>
    <w:rsid w:val="6EFB7548"/>
    <w:rsid w:val="6F3831C3"/>
    <w:rsid w:val="6F3B1E81"/>
    <w:rsid w:val="6F837C51"/>
    <w:rsid w:val="6F8B71C1"/>
    <w:rsid w:val="70753482"/>
    <w:rsid w:val="707B522A"/>
    <w:rsid w:val="73194D05"/>
    <w:rsid w:val="73A83B0E"/>
    <w:rsid w:val="744D3EF9"/>
    <w:rsid w:val="74794411"/>
    <w:rsid w:val="75867C40"/>
    <w:rsid w:val="75B10B26"/>
    <w:rsid w:val="76432199"/>
    <w:rsid w:val="76F44829"/>
    <w:rsid w:val="77A267C0"/>
    <w:rsid w:val="78882278"/>
    <w:rsid w:val="78B118A6"/>
    <w:rsid w:val="79135044"/>
    <w:rsid w:val="79F14CCA"/>
    <w:rsid w:val="7A7D0F99"/>
    <w:rsid w:val="7D691792"/>
    <w:rsid w:val="7E4A0E7C"/>
    <w:rsid w:val="7EFD449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Balloon Text"/>
    <w:basedOn w:val="1"/>
    <w:link w:val="11"/>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unhideWhenUsed/>
    <w:qFormat/>
    <w:uiPriority w:val="99"/>
    <w:rPr>
      <w:color w:val="800080"/>
      <w:u w:val="single"/>
    </w:rPr>
  </w:style>
  <w:style w:type="character" w:styleId="10">
    <w:name w:val="Hyperlink"/>
    <w:unhideWhenUsed/>
    <w:uiPriority w:val="99"/>
    <w:rPr>
      <w:color w:val="0000FF"/>
      <w:u w:val="single"/>
    </w:rPr>
  </w:style>
  <w:style w:type="character" w:customStyle="1" w:styleId="11">
    <w:name w:val="批注框文本 Char"/>
    <w:link w:val="3"/>
    <w:semiHidden/>
    <w:qFormat/>
    <w:uiPriority w:val="99"/>
    <w:rPr>
      <w:kern w:val="2"/>
      <w:sz w:val="18"/>
      <w:szCs w:val="18"/>
    </w:rPr>
  </w:style>
  <w:style w:type="character" w:customStyle="1" w:styleId="12">
    <w:name w:val="页脚 Char"/>
    <w:link w:val="4"/>
    <w:qFormat/>
    <w:uiPriority w:val="99"/>
    <w:rPr>
      <w:kern w:val="2"/>
      <w:sz w:val="18"/>
      <w:szCs w:val="18"/>
    </w:rPr>
  </w:style>
  <w:style w:type="character" w:customStyle="1" w:styleId="13">
    <w:name w:val="页眉 Char"/>
    <w:link w:val="5"/>
    <w:qFormat/>
    <w:uiPriority w:val="99"/>
    <w:rPr>
      <w:kern w:val="2"/>
      <w:sz w:val="18"/>
      <w:szCs w:val="18"/>
    </w:rPr>
  </w:style>
  <w:style w:type="character" w:customStyle="1" w:styleId="14">
    <w:name w:val="font01"/>
    <w:qFormat/>
    <w:uiPriority w:val="0"/>
    <w:rPr>
      <w:rFonts w:hint="eastAsia" w:ascii="宋体" w:hAnsi="宋体" w:eastAsia="宋体" w:cs="宋体"/>
      <w:color w:val="000000"/>
      <w:sz w:val="22"/>
      <w:szCs w:val="22"/>
      <w:u w:val="none"/>
    </w:rPr>
  </w:style>
  <w:style w:type="character" w:customStyle="1" w:styleId="15">
    <w:name w:val="font21"/>
    <w:qFormat/>
    <w:uiPriority w:val="0"/>
    <w:rPr>
      <w:rFonts w:hint="eastAsia" w:ascii="宋体" w:hAnsi="宋体" w:eastAsia="宋体" w:cs="宋体"/>
      <w:color w:val="000000"/>
      <w:sz w:val="22"/>
      <w:szCs w:val="22"/>
      <w:u w:val="none"/>
    </w:rPr>
  </w:style>
  <w:style w:type="character" w:customStyle="1" w:styleId="16">
    <w:name w:val="font51"/>
    <w:qFormat/>
    <w:uiPriority w:val="0"/>
    <w:rPr>
      <w:rFonts w:hint="eastAsia" w:ascii="宋体" w:hAnsi="宋体" w:eastAsia="宋体" w:cs="宋体"/>
      <w:color w:val="000000"/>
      <w:sz w:val="24"/>
      <w:szCs w:val="24"/>
      <w:u w:val="none"/>
    </w:rPr>
  </w:style>
  <w:style w:type="character" w:customStyle="1" w:styleId="17">
    <w:name w:val="font11"/>
    <w:qFormat/>
    <w:uiPriority w:val="0"/>
    <w:rPr>
      <w:rFonts w:hint="eastAsia" w:ascii="宋体" w:hAnsi="宋体" w:eastAsia="宋体" w:cs="宋体"/>
      <w:color w:val="000000"/>
      <w:sz w:val="20"/>
      <w:szCs w:val="20"/>
      <w:u w:val="none"/>
    </w:rPr>
  </w:style>
  <w:style w:type="character" w:customStyle="1" w:styleId="18">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27</Pages>
  <Words>7835</Words>
  <Characters>9285</Characters>
  <Lines>60</Lines>
  <Paragraphs>16</Paragraphs>
  <TotalTime>3</TotalTime>
  <ScaleCrop>false</ScaleCrop>
  <LinksUpToDate>false</LinksUpToDate>
  <CharactersWithSpaces>9367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2007-11-29T03:41:00Z</dcterms:created>
  <dc:creator>管理者</dc:creator>
  <cp:lastModifiedBy>安伯伯</cp:lastModifiedBy>
  <cp:lastPrinted>2023-02-20T02:22:00Z</cp:lastPrinted>
  <dcterms:modified xsi:type="dcterms:W3CDTF">2023-05-09T08:24:27Z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A2B661170800479F8E547D18031561D2</vt:lpwstr>
  </property>
</Properties>
</file>