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许昌市科学技术协会部门决算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许昌市科学技术协会概况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  许昌市科学技术协会概况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bookmarkStart w:id="0" w:name="_GoBack"/>
      <w:bookmarkEnd w:id="0"/>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许昌市科学技术协会是中共许昌市委领导下的人民团体，是党和政府联系科学技术工作者的桥梁和纽带，推动科技事业发展的重要力量。主要工作任务是开展学术交流，活跃学术思想，促进学科发展；普及科学知识，倡导科学方法，传播科学思想，弘扬科学精神，捍卫科学尊严，推广先进技术，开展青少年科学技术教育活动，提高全民的科学文化素质；反映科学技术工作者的意见和要求，维护科学技术工作者的合法权益，表彰奖励优秀科学技术工作者及优秀成果；兴办科普和科技活动场所；对所属全市性学会履行业务主管单位的管理和监督职责。</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许昌市科学技术协会</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color w:val="auto"/>
          <w:kern w:val="0"/>
          <w:sz w:val="32"/>
          <w:szCs w:val="32"/>
          <w:highlight w:val="none"/>
          <w:lang w:val="en-US" w:eastAsia="zh-CN"/>
        </w:rPr>
        <w:t>办公室、学会</w:t>
      </w:r>
      <w:r>
        <w:rPr>
          <w:rFonts w:hint="eastAsia" w:ascii="仿宋_GB2312" w:hAnsi="宋体" w:eastAsia="仿宋_GB2312" w:cs="宋体"/>
          <w:kern w:val="0"/>
          <w:sz w:val="32"/>
          <w:szCs w:val="32"/>
          <w:highlight w:val="none"/>
          <w:lang w:val="en-US" w:eastAsia="zh-CN"/>
        </w:rPr>
        <w:t>部</w:t>
      </w:r>
      <w:r>
        <w:rPr>
          <w:rFonts w:hint="eastAsia" w:ascii="仿宋_GB2312" w:hAnsi="仿宋_GB2312" w:eastAsia="仿宋_GB2312" w:cs="仿宋_GB2312"/>
          <w:color w:val="auto"/>
          <w:kern w:val="0"/>
          <w:sz w:val="32"/>
          <w:szCs w:val="32"/>
          <w:highlight w:val="none"/>
          <w:lang w:val="en-US" w:eastAsia="zh-CN"/>
        </w:rPr>
        <w:t>、普及部</w:t>
      </w:r>
      <w:r>
        <w:rPr>
          <w:rFonts w:hint="eastAsia" w:ascii="仿宋_GB2312" w:hAnsi="仿宋_GB2312" w:eastAsia="仿宋_GB2312" w:cs="仿宋_GB2312"/>
          <w:kern w:val="0"/>
          <w:sz w:val="32"/>
          <w:szCs w:val="32"/>
          <w:highlight w:val="none"/>
        </w:rPr>
        <w:t>。另设有</w:t>
      </w:r>
      <w:r>
        <w:rPr>
          <w:rFonts w:hint="eastAsia" w:ascii="仿宋_GB2312" w:hAnsi="宋体" w:eastAsia="仿宋_GB2312" w:cs="宋体"/>
          <w:kern w:val="0"/>
          <w:sz w:val="32"/>
          <w:szCs w:val="32"/>
          <w:highlight w:val="none"/>
          <w:lang w:val="en-US" w:eastAsia="zh-CN"/>
        </w:rPr>
        <w:t>许昌</w:t>
      </w:r>
      <w:r>
        <w:rPr>
          <w:rFonts w:hint="eastAsia" w:ascii="仿宋_GB2312" w:hAnsi="仿宋_GB2312" w:eastAsia="仿宋_GB2312" w:cs="仿宋_GB2312"/>
          <w:color w:val="auto"/>
          <w:kern w:val="0"/>
          <w:sz w:val="32"/>
          <w:szCs w:val="32"/>
          <w:highlight w:val="none"/>
          <w:lang w:val="en-US" w:eastAsia="zh-CN"/>
        </w:rPr>
        <w:t>市反邪教协会工作中心和许昌市科学技术馆。</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许昌市科学技术协会</w:t>
      </w:r>
      <w:r>
        <w:rPr>
          <w:rFonts w:hint="eastAsia" w:ascii="仿宋_GB2312" w:hAnsi="仿宋_GB2312" w:eastAsia="仿宋_GB2312" w:cs="仿宋_GB2312"/>
          <w:kern w:val="0"/>
          <w:sz w:val="32"/>
          <w:szCs w:val="32"/>
          <w:highlight w:val="none"/>
        </w:rPr>
        <w:t>部门决算包括：本级决算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、所属单位决算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本决算为汇总决算，纳入本部门2021年度部门决算编制范围的单位共2个，</w:t>
      </w:r>
      <w:r>
        <w:rPr>
          <w:rFonts w:hint="eastAsia" w:ascii="仿宋_GB2312" w:hAnsi="仿宋_GB2312" w:eastAsia="仿宋_GB2312" w:cs="仿宋_GB2312"/>
          <w:b w:val="0"/>
          <w:bCs w:val="0"/>
          <w:color w:val="auto"/>
          <w:kern w:val="0"/>
          <w:sz w:val="32"/>
          <w:szCs w:val="32"/>
          <w:highlight w:val="none"/>
          <w:lang w:val="en-US" w:eastAsia="zh-CN"/>
        </w:rPr>
        <w:t>其中二级预算单位</w:t>
      </w:r>
      <w:r>
        <w:rPr>
          <w:rFonts w:hint="eastAsia" w:ascii="仿宋_GB2312" w:hAnsi="仿宋_GB2312" w:eastAsia="仿宋_GB2312" w:cs="仿宋_GB2312"/>
          <w:color w:val="auto"/>
          <w:kern w:val="0"/>
          <w:sz w:val="32"/>
          <w:szCs w:val="32"/>
          <w:highlight w:val="none"/>
          <w:lang w:val="en-US" w:eastAsia="zh-CN"/>
        </w:rPr>
        <w:t>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许昌市科学技术协会（</w:t>
      </w:r>
      <w:r>
        <w:rPr>
          <w:rFonts w:hint="eastAsia" w:ascii="仿宋_GB2312" w:hAnsi="仿宋_GB2312" w:eastAsia="仿宋_GB2312" w:cs="仿宋_GB2312"/>
          <w:kern w:val="0"/>
          <w:sz w:val="32"/>
          <w:szCs w:val="32"/>
          <w:highlight w:val="none"/>
        </w:rPr>
        <w:t>本级</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rPr>
        <w:t>2.</w:t>
      </w:r>
      <w:r>
        <w:rPr>
          <w:rFonts w:hint="eastAsia" w:ascii="仿宋_GB2312" w:hAnsi="仿宋_GB2312" w:eastAsia="仿宋_GB2312" w:cs="仿宋_GB2312"/>
          <w:color w:val="auto"/>
          <w:kern w:val="0"/>
          <w:sz w:val="32"/>
          <w:szCs w:val="32"/>
          <w:highlight w:val="none"/>
          <w:lang w:val="en-US" w:eastAsia="zh-CN"/>
        </w:rPr>
        <w:t>许昌市科学技术馆</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9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12"/>
        <w:gridCol w:w="792"/>
        <w:gridCol w:w="1324"/>
        <w:gridCol w:w="4247"/>
        <w:gridCol w:w="792"/>
        <w:gridCol w:w="2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19"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512"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79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2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247"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9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86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512"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部门：许昌市科学技术协会</w:t>
            </w:r>
          </w:p>
        </w:tc>
        <w:tc>
          <w:tcPr>
            <w:tcW w:w="79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2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247"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92"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86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2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收入</w:t>
            </w:r>
          </w:p>
        </w:tc>
        <w:tc>
          <w:tcPr>
            <w:tcW w:w="7070"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3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86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79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2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79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86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一、一般公共预算财政拨款收入</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2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750.76</w:t>
            </w: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18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二、政府性基金预算财政拨款收入</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三、国有资本经营预算财政拨款收入</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四、上级补助收入</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五、事业收入</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六、经营收入</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18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七、附属单位上缴收入</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八、其他收入</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18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8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18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132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750.76</w:t>
            </w: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18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使用非财政拨款结余</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结余分配</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18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132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269.46</w:t>
            </w: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8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32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2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186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792"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132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1,020.22</w:t>
            </w:r>
          </w:p>
        </w:tc>
        <w:tc>
          <w:tcPr>
            <w:tcW w:w="42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79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186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9"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7"/>
        <w:gridCol w:w="278"/>
        <w:gridCol w:w="514"/>
        <w:gridCol w:w="5147"/>
        <w:gridCol w:w="1954"/>
        <w:gridCol w:w="1839"/>
        <w:gridCol w:w="768"/>
        <w:gridCol w:w="768"/>
        <w:gridCol w:w="768"/>
        <w:gridCol w:w="818"/>
        <w:gridCol w:w="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36"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1"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599"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4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643"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14"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部门：许昌市科学技术协会</w:t>
            </w:r>
          </w:p>
        </w:tc>
        <w:tc>
          <w:tcPr>
            <w:tcW w:w="1643"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74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本年收入合计</w:t>
            </w:r>
          </w:p>
        </w:tc>
        <w:tc>
          <w:tcPr>
            <w:tcW w:w="16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财政拨款收入</w:t>
            </w:r>
          </w:p>
        </w:tc>
        <w:tc>
          <w:tcPr>
            <w:tcW w:w="93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上级补助收入</w:t>
            </w:r>
          </w:p>
        </w:tc>
        <w:tc>
          <w:tcPr>
            <w:tcW w:w="93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事业收入</w:t>
            </w:r>
          </w:p>
        </w:tc>
        <w:tc>
          <w:tcPr>
            <w:tcW w:w="93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经营收入</w:t>
            </w:r>
          </w:p>
        </w:tc>
        <w:tc>
          <w:tcPr>
            <w:tcW w:w="93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附属单位上缴收入</w:t>
            </w:r>
          </w:p>
        </w:tc>
        <w:tc>
          <w:tcPr>
            <w:tcW w:w="9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4599"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7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59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7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59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7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74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6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9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93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9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750.76</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750.76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科学技术支出</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638.85</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638.85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科学技术普及</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638.85</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638.85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2060701</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机构运行</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229.62</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2060702</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科普活动</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2060705</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科技馆站</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368.41</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368.41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2060799</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其他科学技术普及支出</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21.61</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96.71</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74.35</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2080501</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行政单位离退休</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56.17</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16.03</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抚恤</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2080801</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死亡抚恤</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4.77</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3.95</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45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17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16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955"/>
        <w:gridCol w:w="1646"/>
        <w:gridCol w:w="1646"/>
        <w:gridCol w:w="1646"/>
        <w:gridCol w:w="959"/>
        <w:gridCol w:w="959"/>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0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部门：许昌市科学技术协会</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0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上缴上级支出</w:t>
            </w:r>
          </w:p>
        </w:tc>
        <w:tc>
          <w:tcPr>
            <w:tcW w:w="10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经营支出</w:t>
            </w:r>
          </w:p>
        </w:tc>
        <w:tc>
          <w:tcPr>
            <w:tcW w:w="10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986.86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616.84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370.02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873.14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504.93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368.21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科学技术普及</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873.14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504.93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368.21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机构运行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239.89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科普活动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科技馆站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592.43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265.04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327.39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其他科学技术普及支出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10"/>
        <w:gridCol w:w="574"/>
        <w:gridCol w:w="1264"/>
        <w:gridCol w:w="4012"/>
        <w:gridCol w:w="574"/>
        <w:gridCol w:w="937"/>
        <w:gridCol w:w="1196"/>
        <w:gridCol w:w="874"/>
        <w:gridCol w:w="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7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部门：许昌市科学技术协会</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7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3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33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2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一般公共预算财政拨款</w:t>
            </w:r>
          </w:p>
        </w:tc>
        <w:tc>
          <w:tcPr>
            <w:tcW w:w="10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政府性基金预算财政拨款</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7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3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2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873.14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873.14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750.76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985.05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234.29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234.29</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985.05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87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33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
        <w:gridCol w:w="224"/>
        <w:gridCol w:w="1256"/>
        <w:gridCol w:w="5187"/>
        <w:gridCol w:w="2363"/>
        <w:gridCol w:w="2016"/>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19"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3"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22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25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5187"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363"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01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0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890"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部门：许昌市科学技术协会</w:t>
            </w:r>
          </w:p>
        </w:tc>
        <w:tc>
          <w:tcPr>
            <w:tcW w:w="2363"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06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9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6429"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518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23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20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2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70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18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23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0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18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23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0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90"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0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90"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985.05</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616.84</w:t>
            </w:r>
          </w:p>
        </w:tc>
        <w:tc>
          <w:tcPr>
            <w:tcW w:w="2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368.21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科学技术支出</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873.14</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504.93</w:t>
            </w:r>
          </w:p>
        </w:tc>
        <w:tc>
          <w:tcPr>
            <w:tcW w:w="2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科学技术普及</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873.14</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504.93</w:t>
            </w:r>
          </w:p>
        </w:tc>
        <w:tc>
          <w:tcPr>
            <w:tcW w:w="2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2060701</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机构运行</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239.89</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239.89</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2060702</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科普活动</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c>
          <w:tcPr>
            <w:tcW w:w="2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2060705</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科技馆站</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592.43</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265.04</w:t>
            </w:r>
          </w:p>
        </w:tc>
        <w:tc>
          <w:tcPr>
            <w:tcW w:w="2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2060799</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其他科学技术普及支出</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21.61</w:t>
            </w:r>
          </w:p>
        </w:tc>
        <w:tc>
          <w:tcPr>
            <w:tcW w:w="20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96.71</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96.71</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74.35</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74.35</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2080501</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行政单位离退休</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56.17</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56.17</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16.03</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16.03</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抚恤</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2080801</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死亡抚恤</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22.36</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13.53</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2101101</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行政单位医疗</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4.77</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4.77</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3.95</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3.95</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2101103</w:t>
            </w:r>
          </w:p>
        </w:tc>
        <w:tc>
          <w:tcPr>
            <w:tcW w:w="518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w:t>
            </w:r>
          </w:p>
        </w:tc>
        <w:tc>
          <w:tcPr>
            <w:tcW w:w="23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20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4.80</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19"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876"/>
        <w:gridCol w:w="766"/>
        <w:gridCol w:w="2416"/>
        <w:gridCol w:w="876"/>
        <w:gridCol w:w="766"/>
        <w:gridCol w:w="3004"/>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6"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351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7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41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7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00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58"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部门：许昌市科学技术协会</w:t>
            </w: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41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7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00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w:t>
            </w:r>
          </w:p>
        </w:tc>
        <w:tc>
          <w:tcPr>
            <w:tcW w:w="8828"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8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24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8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30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0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0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350.19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商品和服务支出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183.17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债务利息及费用支出</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基本工资</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71.51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15.60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30701</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国内债务付息</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津贴补贴</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69.59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印刷费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30702</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国外债务付息</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119.21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咨询费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资本性支出</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伙食补助费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手续费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31001</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房屋建筑物购建</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绩效工资</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21.40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水费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31002</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办公设备购置</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21.84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电费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31003</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专用设备购置</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职业年金缴费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邮电费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31005</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基础设施建设</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职工基本医疗保险缴费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10.48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取暖费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31006</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大型修缮</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物业管理费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31007</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信息网络及软件购置更新</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31008</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物资储备</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22.21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因公出国（境）费用</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31009</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土地补偿</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维修（护）费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31010</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安置补助</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6.90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租赁费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31011</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地上附着物和青苗补偿</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对个人和家庭的补助</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83.48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会议费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31012</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拆迁补偿</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离休费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培训费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31013</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公务用车购置</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退休费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56.35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公务接待费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31019</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其他交通工具购置</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退职（役）费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专用材料费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31021</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文物和陈列品购置</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抚恤金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22.55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被装购置费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31022</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无形资产购置</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30305</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生活补助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专用燃料费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31099</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其他资本性支出</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救济费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劳务费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134.55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委托业务费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39906</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赠与</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助学金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39907</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国家赔偿费用支出</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奖励金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福利费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39908</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对民间非营利组织和群众性自治组织补贴</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个人农业生产补贴</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公务用车运行维护费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4.76</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39999</w:t>
            </w:r>
          </w:p>
        </w:tc>
        <w:tc>
          <w:tcPr>
            <w:tcW w:w="30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代缴社会保险费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其他交通费用</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11.30</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00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其他对个人和家庭的补助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30240</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税金及附加费用</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00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其他商品和服务支出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00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8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人员经费合计</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433.67</w:t>
            </w:r>
          </w:p>
        </w:tc>
        <w:tc>
          <w:tcPr>
            <w:tcW w:w="7828"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公用经费合计</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86"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5"/>
        <w:gridCol w:w="1155"/>
        <w:gridCol w:w="1155"/>
        <w:gridCol w:w="1155"/>
        <w:gridCol w:w="1155"/>
        <w:gridCol w:w="1155"/>
        <w:gridCol w:w="1155"/>
        <w:gridCol w:w="1155"/>
        <w:gridCol w:w="1155"/>
        <w:gridCol w:w="1155"/>
        <w:gridCol w:w="1155"/>
        <w:gridCol w:w="1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06"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highlight w:val="none"/>
                <w:u w:val="none"/>
              </w:rPr>
            </w:pPr>
            <w:r>
              <w:rPr>
                <w:rFonts w:hint="eastAsia" w:ascii="宋体" w:hAnsi="宋体" w:eastAsia="宋体" w:cs="宋体"/>
                <w:i w:val="0"/>
                <w:iCs w:val="0"/>
                <w:color w:val="000000"/>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55"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25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20"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部门：许昌市科学技术协会</w:t>
            </w: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25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3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预算数</w:t>
            </w:r>
          </w:p>
        </w:tc>
        <w:tc>
          <w:tcPr>
            <w:tcW w:w="6876"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4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4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10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5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10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1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7.26</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4.76</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4.76</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7.14</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4.76</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4.76</w:t>
            </w:r>
          </w:p>
        </w:tc>
        <w:tc>
          <w:tcPr>
            <w:tcW w:w="11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806"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7"/>
        <w:gridCol w:w="397"/>
        <w:gridCol w:w="397"/>
        <w:gridCol w:w="1961"/>
        <w:gridCol w:w="1893"/>
        <w:gridCol w:w="1652"/>
        <w:gridCol w:w="1625"/>
        <w:gridCol w:w="1666"/>
        <w:gridCol w:w="1666"/>
        <w:gridCol w:w="1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9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部门：许昌市科学技术协会</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14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w:t>
            </w:r>
          </w:p>
        </w:tc>
        <w:tc>
          <w:tcPr>
            <w:tcW w:w="423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c>
          <w:tcPr>
            <w:tcW w:w="17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4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4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7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sz w:val="32"/>
          <w:szCs w:val="24"/>
          <w:highlight w:val="none"/>
        </w:rPr>
        <w:t>1,020.22</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sz w:val="32"/>
          <w:szCs w:val="24"/>
          <w:highlight w:val="none"/>
        </w:rPr>
        <w:t>1,168.55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sz w:val="32"/>
          <w:szCs w:val="24"/>
          <w:highlight w:val="none"/>
        </w:rPr>
        <w:t>53.39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科技馆布展经费减少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spacing w:beforeLines="0" w:afterLines="0" w:line="590" w:lineRule="exact"/>
        <w:ind w:firstLine="640"/>
        <w:rPr>
          <w:rFonts w:hint="default" w:ascii="Times New Roman" w:hAnsi="Times New Roman" w:eastAsia="Times New Roman"/>
          <w:kern w:val="0"/>
          <w:sz w:val="18"/>
          <w:szCs w:val="24"/>
          <w:highlight w:val="none"/>
          <w:lang w:val="zh-CN"/>
        </w:rPr>
      </w:pPr>
      <w:r>
        <w:rPr>
          <w:rFonts w:hint="eastAsia" w:ascii="仿宋_GB2312" w:hAnsi="仿宋_GB2312" w:eastAsia="仿宋_GB2312"/>
          <w:sz w:val="32"/>
          <w:szCs w:val="24"/>
          <w:highlight w:val="none"/>
          <w:lang w:val="en-US"/>
        </w:rPr>
        <w:t>2021年度收入合计750.76万元，其中：财政拨款收入750.76万元，占100%；上级补助收入0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%；事业收入0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%；经营收入0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%；附属单位上缴收入0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%；其他收入0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spacing w:beforeLines="0" w:afterLines="0" w:line="590" w:lineRule="exact"/>
        <w:ind w:firstLine="640"/>
        <w:rPr>
          <w:rFonts w:hint="default" w:ascii="Times New Roman" w:hAnsi="Times New Roman" w:eastAsia="Times New Roman"/>
          <w:kern w:val="0"/>
          <w:sz w:val="18"/>
          <w:szCs w:val="24"/>
          <w:highlight w:val="none"/>
          <w:lang w:val="zh-CN"/>
        </w:rPr>
      </w:pPr>
      <w:r>
        <w:rPr>
          <w:rFonts w:hint="eastAsia" w:ascii="仿宋_GB2312" w:hAnsi="仿宋_GB2312" w:eastAsia="仿宋_GB2312"/>
          <w:sz w:val="32"/>
          <w:szCs w:val="24"/>
          <w:highlight w:val="none"/>
          <w:lang w:val="en-US"/>
        </w:rPr>
        <w:t>2021年度支出合计986.86万元，其中：基本支出616.84万元，占62.51%；项目支出370.02万元，占37.49%；上缴上级支出</w:t>
      </w:r>
      <w:r>
        <w:rPr>
          <w:rFonts w:hint="eastAsia" w:ascii="仿宋_GB2312" w:hAnsi="仿宋_GB2312" w:eastAsia="仿宋_GB2312"/>
          <w:sz w:val="32"/>
          <w:szCs w:val="24"/>
          <w:highlight w:val="none"/>
          <w:lang w:val="en-US" w:eastAsia="zh-CN"/>
        </w:rPr>
        <w:t>0.00</w:t>
      </w:r>
      <w:r>
        <w:rPr>
          <w:rFonts w:hint="eastAsia" w:ascii="仿宋_GB2312" w:hAnsi="仿宋_GB2312" w:eastAsia="仿宋_GB2312"/>
          <w:sz w:val="32"/>
          <w:szCs w:val="24"/>
          <w:highlight w:val="none"/>
          <w:lang w:val="en-US"/>
        </w:rPr>
        <w:t>万元，占</w:t>
      </w:r>
      <w:r>
        <w:rPr>
          <w:rFonts w:hint="eastAsia" w:ascii="仿宋_GB2312" w:hAnsi="仿宋_GB2312" w:eastAsia="仿宋_GB2312"/>
          <w:sz w:val="32"/>
          <w:szCs w:val="24"/>
          <w:highlight w:val="none"/>
          <w:lang w:val="en-US" w:eastAsia="zh-CN"/>
        </w:rPr>
        <w:t>0.00</w:t>
      </w:r>
      <w:r>
        <w:rPr>
          <w:rFonts w:hint="eastAsia" w:ascii="仿宋_GB2312" w:hAnsi="仿宋_GB2312" w:eastAsia="仿宋_GB2312"/>
          <w:sz w:val="32"/>
          <w:szCs w:val="24"/>
          <w:highlight w:val="none"/>
          <w:lang w:val="en-US"/>
        </w:rPr>
        <w:t>%；经营支出</w:t>
      </w:r>
      <w:r>
        <w:rPr>
          <w:rFonts w:hint="eastAsia" w:ascii="仿宋_GB2312" w:hAnsi="仿宋_GB2312" w:eastAsia="仿宋_GB2312"/>
          <w:sz w:val="32"/>
          <w:szCs w:val="24"/>
          <w:highlight w:val="none"/>
          <w:lang w:val="en-US" w:eastAsia="zh-CN"/>
        </w:rPr>
        <w:t>0.00</w:t>
      </w:r>
      <w:r>
        <w:rPr>
          <w:rFonts w:hint="eastAsia" w:ascii="仿宋_GB2312" w:hAnsi="仿宋_GB2312" w:eastAsia="仿宋_GB2312"/>
          <w:sz w:val="32"/>
          <w:szCs w:val="24"/>
          <w:highlight w:val="none"/>
          <w:lang w:val="en-US"/>
        </w:rPr>
        <w:t>万元，占</w:t>
      </w:r>
      <w:r>
        <w:rPr>
          <w:rFonts w:hint="eastAsia" w:ascii="仿宋_GB2312" w:hAnsi="仿宋_GB2312" w:eastAsia="仿宋_GB2312"/>
          <w:sz w:val="32"/>
          <w:szCs w:val="24"/>
          <w:highlight w:val="none"/>
          <w:lang w:val="en-US" w:eastAsia="zh-CN"/>
        </w:rPr>
        <w:t>0.00</w:t>
      </w:r>
      <w:r>
        <w:rPr>
          <w:rFonts w:hint="eastAsia" w:ascii="仿宋_GB2312" w:hAnsi="仿宋_GB2312" w:eastAsia="仿宋_GB2312"/>
          <w:sz w:val="32"/>
          <w:szCs w:val="24"/>
          <w:highlight w:val="none"/>
          <w:lang w:val="en-US"/>
        </w:rPr>
        <w:t>%；对附属单位补助支出</w:t>
      </w:r>
      <w:r>
        <w:rPr>
          <w:rFonts w:hint="eastAsia" w:ascii="仿宋_GB2312" w:hAnsi="仿宋_GB2312" w:eastAsia="仿宋_GB2312"/>
          <w:sz w:val="32"/>
          <w:szCs w:val="24"/>
          <w:highlight w:val="none"/>
          <w:lang w:val="en-US" w:eastAsia="zh-CN"/>
        </w:rPr>
        <w:t>0.00</w:t>
      </w:r>
      <w:r>
        <w:rPr>
          <w:rFonts w:hint="eastAsia" w:ascii="仿宋_GB2312" w:hAnsi="仿宋_GB2312" w:eastAsia="仿宋_GB2312"/>
          <w:sz w:val="32"/>
          <w:szCs w:val="24"/>
          <w:highlight w:val="none"/>
          <w:lang w:val="en-US"/>
        </w:rPr>
        <w:t>万元，占</w:t>
      </w:r>
      <w:r>
        <w:rPr>
          <w:rFonts w:hint="eastAsia" w:ascii="仿宋_GB2312" w:hAnsi="仿宋_GB2312" w:eastAsia="仿宋_GB2312"/>
          <w:sz w:val="32"/>
          <w:szCs w:val="24"/>
          <w:highlight w:val="none"/>
          <w:lang w:val="en-US" w:eastAsia="zh-CN"/>
        </w:rPr>
        <w:t>0.00</w:t>
      </w:r>
      <w:r>
        <w:rPr>
          <w:rFonts w:hint="eastAsia" w:ascii="仿宋_GB2312" w:hAnsi="仿宋_GB2312" w:eastAsia="仿宋_GB2312"/>
          <w:sz w:val="32"/>
          <w:szCs w:val="24"/>
          <w:highlight w:val="none"/>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spacing w:beforeLines="0" w:afterLines="0" w:line="590" w:lineRule="exact"/>
        <w:ind w:firstLine="640"/>
        <w:rPr>
          <w:rFonts w:hint="default" w:ascii="Times New Roman" w:hAnsi="Times New Roman" w:eastAsia="Times New Roman"/>
          <w:kern w:val="0"/>
          <w:sz w:val="18"/>
          <w:szCs w:val="24"/>
          <w:highlight w:val="none"/>
          <w:lang w:val="zh-CN"/>
        </w:rPr>
      </w:pPr>
      <w:r>
        <w:rPr>
          <w:rFonts w:hint="eastAsia" w:ascii="仿宋_GB2312" w:hAnsi="仿宋_GB2312" w:eastAsia="仿宋_GB2312"/>
          <w:sz w:val="32"/>
          <w:szCs w:val="24"/>
          <w:highlight w:val="none"/>
          <w:lang w:val="en-US"/>
        </w:rPr>
        <w:t>2021年度财政拨款收、支总计均为985.05万元。与上年度相比，财政拨款收、支总计各减少321.21万元，下降24.59%。主要原因是年末财政拨款</w:t>
      </w:r>
      <w:r>
        <w:rPr>
          <w:rFonts w:hint="eastAsia" w:ascii="仿宋_GB2312" w:hAnsi="仿宋_GB2312" w:eastAsia="仿宋_GB2312"/>
          <w:sz w:val="32"/>
          <w:szCs w:val="24"/>
          <w:highlight w:val="none"/>
          <w:lang w:val="en-US" w:eastAsia="zh-CN"/>
        </w:rPr>
        <w:t>结转经费收回</w:t>
      </w:r>
      <w:r>
        <w:rPr>
          <w:rFonts w:hint="eastAsia" w:ascii="仿宋_GB2312" w:hAnsi="仿宋_GB2312" w:eastAsia="仿宋_GB2312"/>
          <w:sz w:val="32"/>
          <w:szCs w:val="24"/>
          <w:highlight w:val="none"/>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2021年度一般公共预算财政拨款支出985.05万元，占支出合计的99.82%。与上年度相比，一般公共预算财政拨款支出减少70.65万元，下降6.69%。主要原因</w:t>
      </w:r>
      <w:r>
        <w:rPr>
          <w:rFonts w:hint="eastAsia" w:ascii="仿宋_GB2312" w:hAnsi="仿宋_GB2312" w:eastAsia="仿宋_GB2312" w:cs="仿宋_GB2312"/>
          <w:color w:val="auto"/>
          <w:sz w:val="32"/>
          <w:szCs w:val="32"/>
          <w:highlight w:val="none"/>
        </w:rPr>
        <w:t>是</w:t>
      </w:r>
      <w:r>
        <w:rPr>
          <w:rFonts w:hint="eastAsia" w:ascii="仿宋_GB2312" w:hAnsi="仿宋_GB2312" w:eastAsia="仿宋_GB2312"/>
          <w:color w:val="auto"/>
          <w:sz w:val="32"/>
          <w:szCs w:val="24"/>
          <w:highlight w:val="none"/>
          <w:lang w:val="en-US" w:eastAsia="zh-CN"/>
        </w:rPr>
        <w:t>科技馆运行经费减少</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spacing w:beforeLines="0" w:afterLines="0" w:line="590" w:lineRule="exact"/>
        <w:ind w:firstLine="640"/>
        <w:rPr>
          <w:rFonts w:hint="eastAsia" w:ascii="仿宋_GB2312" w:hAnsi="仿宋_GB2312" w:eastAsia="仿宋_GB2312"/>
          <w:sz w:val="32"/>
          <w:szCs w:val="24"/>
          <w:highlight w:val="none"/>
          <w:lang w:val="en-US"/>
        </w:rPr>
      </w:pPr>
      <w:r>
        <w:rPr>
          <w:rFonts w:hint="eastAsia" w:ascii="仿宋_GB2312" w:hAnsi="仿宋_GB2312" w:eastAsia="仿宋_GB2312"/>
          <w:sz w:val="32"/>
          <w:szCs w:val="24"/>
          <w:highlight w:val="none"/>
          <w:lang w:val="en-US"/>
        </w:rPr>
        <w:t>2021年度一般公共预算财政拨款支出985.05万元，主要用于以下方面：一般公共服务（类）支出</w:t>
      </w:r>
      <w:r>
        <w:rPr>
          <w:rFonts w:hint="eastAsia" w:ascii="仿宋_GB2312" w:hAnsi="仿宋_GB2312" w:eastAsia="仿宋_GB2312"/>
          <w:sz w:val="32"/>
          <w:szCs w:val="24"/>
          <w:highlight w:val="none"/>
          <w:lang w:val="en-US" w:eastAsia="zh-CN"/>
        </w:rPr>
        <w:t>1.67</w:t>
      </w:r>
      <w:r>
        <w:rPr>
          <w:rFonts w:hint="eastAsia" w:ascii="仿宋_GB2312" w:hAnsi="仿宋_GB2312" w:eastAsia="仿宋_GB2312"/>
          <w:sz w:val="32"/>
          <w:szCs w:val="24"/>
          <w:highlight w:val="none"/>
          <w:lang w:val="en-US"/>
        </w:rPr>
        <w:t>万元，占</w:t>
      </w:r>
      <w:r>
        <w:rPr>
          <w:rFonts w:hint="eastAsia" w:ascii="仿宋_GB2312" w:hAnsi="仿宋_GB2312" w:eastAsia="仿宋_GB2312"/>
          <w:sz w:val="32"/>
          <w:szCs w:val="24"/>
          <w:highlight w:val="none"/>
          <w:lang w:val="en-US" w:eastAsia="zh-CN"/>
        </w:rPr>
        <w:t>0.17</w:t>
      </w:r>
      <w:r>
        <w:rPr>
          <w:rFonts w:hint="eastAsia" w:ascii="仿宋_GB2312" w:hAnsi="仿宋_GB2312" w:eastAsia="仿宋_GB2312"/>
          <w:sz w:val="32"/>
          <w:szCs w:val="24"/>
          <w:highlight w:val="none"/>
          <w:lang w:val="en-US"/>
        </w:rPr>
        <w:t>%；</w:t>
      </w:r>
      <w:r>
        <w:rPr>
          <w:rFonts w:hint="eastAsia" w:ascii="仿宋_GB2312" w:hAnsi="仿宋_GB2312" w:eastAsia="仿宋_GB2312" w:cs="仿宋_GB2312"/>
          <w:color w:val="auto"/>
          <w:sz w:val="32"/>
          <w:szCs w:val="32"/>
          <w:highlight w:val="none"/>
          <w:lang w:val="en-US" w:eastAsia="zh-CN"/>
        </w:rPr>
        <w:t>科学技术（类）支出873.14万元，占88.64%；社会保障和就业（类）支出96.71万元，占9.82%；卫生健康（类）支出13.53万元，占1.37%。</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spacing w:beforeLines="0" w:afterLines="0" w:line="590" w:lineRule="exact"/>
        <w:ind w:firstLine="640"/>
        <w:rPr>
          <w:rFonts w:hint="default" w:ascii="Times New Roman" w:hAnsi="Times New Roman" w:eastAsia="Times New Roman"/>
          <w:sz w:val="32"/>
          <w:szCs w:val="24"/>
          <w:highlight w:val="none"/>
          <w:lang w:val="en-US"/>
        </w:rPr>
      </w:pPr>
      <w:r>
        <w:rPr>
          <w:rFonts w:hint="eastAsia" w:ascii="仿宋_GB2312" w:hAnsi="仿宋_GB2312" w:eastAsia="仿宋_GB2312"/>
          <w:sz w:val="32"/>
          <w:szCs w:val="24"/>
          <w:highlight w:val="none"/>
          <w:lang w:val="en-US"/>
        </w:rPr>
        <w:t>2021年度一般公共预算财政拨款支出年初预算为536.04万元，支出决算为985.05万元，完成年初预算的183.76%。其中：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1．一般公共服务（类）群众团体事务（款）工会事务（项）。</w:t>
      </w:r>
      <w:r>
        <w:rPr>
          <w:rFonts w:hint="eastAsia" w:ascii="仿宋_GB2312" w:hAnsi="仿宋_GB2312" w:eastAsia="仿宋_GB2312" w:cs="仿宋_GB2312"/>
          <w:color w:val="auto"/>
          <w:sz w:val="32"/>
          <w:szCs w:val="32"/>
          <w:highlight w:val="none"/>
          <w:lang w:val="en-US" w:eastAsia="zh-CN"/>
        </w:rPr>
        <w:t>年初预算为1.67万元，支出决算为1.67万元，完成年初预算的100.00%。决算数与年初预算数不存在差异。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2．科学技术（类）科学技术普及（款）机构运行（项）。</w:t>
      </w:r>
      <w:r>
        <w:rPr>
          <w:rFonts w:hint="eastAsia" w:ascii="仿宋_GB2312" w:hAnsi="仿宋_GB2312" w:eastAsia="仿宋_GB2312" w:cs="仿宋_GB2312"/>
          <w:color w:val="auto"/>
          <w:sz w:val="32"/>
          <w:szCs w:val="32"/>
          <w:highlight w:val="none"/>
          <w:lang w:val="en-US" w:eastAsia="zh-CN"/>
        </w:rPr>
        <w:t>年初预算为209.93万元，支出决算为239.89万元，完成年初预算的114.27%。决算数与年初预算数存在差异的主要原因是人员晋级及新增人员增加工资支出。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3．科学技术（类）科学技术普及（款）科普活动（项）。</w:t>
      </w:r>
      <w:r>
        <w:rPr>
          <w:rFonts w:hint="eastAsia" w:ascii="仿宋_GB2312" w:hAnsi="仿宋_GB2312" w:eastAsia="仿宋_GB2312" w:cs="仿宋_GB2312"/>
          <w:color w:val="auto"/>
          <w:sz w:val="32"/>
          <w:szCs w:val="32"/>
          <w:highlight w:val="none"/>
          <w:lang w:val="en-US" w:eastAsia="zh-CN"/>
        </w:rPr>
        <w:t>年初预算为0.00万元，支出决算为19.21万元。决算数与年初预算数存在差异的主要原因是组织科普活动及竞赛支出。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4．科学技术（类）科学技术普及（款）科技馆站（项）。</w:t>
      </w:r>
      <w:r>
        <w:rPr>
          <w:rFonts w:hint="eastAsia" w:ascii="仿宋_GB2312" w:hAnsi="仿宋_GB2312" w:eastAsia="仿宋_GB2312" w:cs="仿宋_GB2312"/>
          <w:color w:val="auto"/>
          <w:sz w:val="32"/>
          <w:szCs w:val="32"/>
          <w:highlight w:val="none"/>
          <w:lang w:val="en-US" w:eastAsia="zh-CN"/>
        </w:rPr>
        <w:t>年初预算为230.78万元，支出决算为592.43万元，完成年初预算的256.71%。决算数与年初预算数存在差异的主要原因是省级下达的科技馆免费开放补助资金，不属于年初预算范围。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5．科学技术（类）科学技术普及（款）其他科学技术普及（项）。</w:t>
      </w:r>
      <w:r>
        <w:rPr>
          <w:rFonts w:hint="eastAsia" w:ascii="仿宋_GB2312" w:hAnsi="仿宋_GB2312" w:eastAsia="仿宋_GB2312" w:cs="仿宋_GB2312"/>
          <w:color w:val="auto"/>
          <w:sz w:val="32"/>
          <w:szCs w:val="32"/>
          <w:highlight w:val="none"/>
          <w:lang w:val="en-US" w:eastAsia="zh-CN"/>
        </w:rPr>
        <w:t>年初预算为0.00万元，支出决算为21.61万元。决算数与年初预算数存在差异的主要原因是学会学术交流及召开换届会等支出。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年初预算为57.29万元，支出决算为56.17万元，完成年初预算的98.05%。决算数与年初预算数存在差异的主要原因是</w:t>
      </w:r>
      <w:r>
        <w:rPr>
          <w:rFonts w:hint="eastAsia" w:ascii="仿宋_GB2312" w:hAnsi="仿宋_GB2312" w:eastAsia="仿宋_GB2312" w:cs="仿宋_GB2312"/>
          <w:color w:val="auto"/>
          <w:sz w:val="32"/>
          <w:szCs w:val="32"/>
          <w:highlight w:val="none"/>
        </w:rPr>
        <w:t>上年度结转资金</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年初预算为0.00万元，支出决算为2.15万元。决算数与年初预算数存在差异的主要原因是退休人员数量增加。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8．社会保障和就业（类）行政事业单位离退休（款）机关事业单位基本养老保险缴费（项）。</w:t>
      </w:r>
      <w:r>
        <w:rPr>
          <w:rFonts w:hint="eastAsia" w:ascii="仿宋_GB2312" w:hAnsi="仿宋_GB2312" w:eastAsia="仿宋_GB2312" w:cs="仿宋_GB2312"/>
          <w:color w:val="auto"/>
          <w:sz w:val="32"/>
          <w:szCs w:val="32"/>
          <w:highlight w:val="none"/>
          <w:lang w:val="en-US" w:eastAsia="zh-CN"/>
        </w:rPr>
        <w:t>年初预算为20.83万元，支出决算为16.03万元，完成年初预算的76.96%。决算数与年初预算数存在差异的主要原因是在职人员数量减少。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sz w:val="32"/>
          <w:szCs w:val="32"/>
          <w:highlight w:val="none"/>
        </w:rPr>
        <w:t>社会保障和就业支出（类）抚恤（款）死亡抚恤（项）。</w:t>
      </w:r>
      <w:r>
        <w:rPr>
          <w:rFonts w:hint="eastAsia" w:ascii="仿宋_GB2312" w:hAnsi="仿宋_GB2312" w:eastAsia="仿宋_GB2312" w:cs="仿宋_GB2312"/>
          <w:sz w:val="32"/>
          <w:szCs w:val="32"/>
          <w:highlight w:val="none"/>
        </w:rPr>
        <w:t>年初预算为0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22.36</w:t>
      </w:r>
      <w:r>
        <w:rPr>
          <w:rFonts w:hint="eastAsia" w:ascii="仿宋_GB2312" w:hAnsi="仿宋_GB2312" w:eastAsia="仿宋_GB2312" w:cs="仿宋_GB2312"/>
          <w:sz w:val="32"/>
          <w:szCs w:val="32"/>
          <w:highlight w:val="none"/>
        </w:rPr>
        <w:t>万元。决算数与年初预算数存在差异的主要原因是离退休去世人员增加。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年初预算为5.51万元，支出决算为4.77万元，完成年初预算的86.57%。决算数与年初预算数存在差异的主要原因是在职人员数量减少。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年初预算为4.79万元，支出决算为3.95万元，完成年初预算的82.46%。决算数与年初预算数存在差异的主要原因是在职人员数量减少。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12．卫生健康支出（类）行政事业单位医疗（款）公务员医疗补助（项）。</w:t>
      </w:r>
      <w:r>
        <w:rPr>
          <w:rFonts w:hint="eastAsia" w:ascii="仿宋_GB2312" w:hAnsi="仿宋_GB2312" w:eastAsia="仿宋_GB2312" w:cs="仿宋_GB2312"/>
          <w:sz w:val="32"/>
          <w:szCs w:val="32"/>
          <w:highlight w:val="none"/>
          <w:lang w:val="en-US" w:eastAsia="zh-CN"/>
        </w:rPr>
        <w:t>年初预算为5.24万元，支出决算为4.80万元，完成年初预算的91.60%。决算数与年初预算数存在差异的主要原因是</w:t>
      </w:r>
      <w:r>
        <w:rPr>
          <w:rFonts w:hint="eastAsia" w:ascii="仿宋_GB2312" w:hAnsi="仿宋_GB2312" w:eastAsia="仿宋_GB2312" w:cs="仿宋_GB2312"/>
          <w:color w:val="auto"/>
          <w:sz w:val="32"/>
          <w:szCs w:val="32"/>
          <w:highlight w:val="none"/>
          <w:lang w:val="en-US" w:eastAsia="zh-CN"/>
        </w:rPr>
        <w:t>在职人员数量减少</w:t>
      </w:r>
      <w:r>
        <w:rPr>
          <w:rFonts w:hint="eastAsia" w:ascii="仿宋_GB2312" w:hAnsi="仿宋_GB2312" w:eastAsia="仿宋_GB2312" w:cs="仿宋_GB2312"/>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rPr>
        <w:t>2021年度一般公共预算财政拨款基本支出616.84万元。其中：人员经费433.67万元，主要包括：基本工资</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津贴补贴</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奖金</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绩效工资</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机关事业单位基本养老保险缴费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职工基本医疗保险缴费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公务员医疗补助缴费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其他社会保障缴费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住房公积金</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其他工资福利支出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离休费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退休费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抚恤金；公用经费183.17万元，主要包括：办公费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邮电费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差旅费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维修（护）费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租赁费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培训费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公务接待费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劳务费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工会经费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福利费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公务用车运行维护费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其他交通费用</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其他商品和服务支出</w:t>
      </w:r>
      <w:r>
        <w:rPr>
          <w:rFonts w:hint="eastAsia" w:ascii="仿宋_GB2312" w:hAnsi="仿宋_GB2312" w:eastAsia="仿宋_GB2312" w:cs="仿宋_GB2312"/>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rPr>
        <w:t>2021年度</w:t>
      </w:r>
      <w:r>
        <w:rPr>
          <w:rFonts w:hint="default" w:ascii="仿宋_GB2312" w:hAnsi="仿宋_GB2312" w:eastAsia="仿宋_GB2312" w:cs="仿宋_GB2312"/>
          <w:sz w:val="32"/>
          <w:szCs w:val="32"/>
          <w:highlight w:val="none"/>
          <w:lang w:val="en-US"/>
        </w:rPr>
        <w:t>“</w:t>
      </w:r>
      <w:r>
        <w:rPr>
          <w:rFonts w:hint="eastAsia" w:ascii="仿宋_GB2312" w:hAnsi="仿宋_GB2312" w:eastAsia="仿宋_GB2312" w:cs="仿宋_GB2312"/>
          <w:sz w:val="32"/>
          <w:szCs w:val="32"/>
          <w:highlight w:val="none"/>
          <w:lang w:val="en-US"/>
        </w:rPr>
        <w:t>三公</w:t>
      </w:r>
      <w:r>
        <w:rPr>
          <w:rFonts w:hint="default" w:ascii="仿宋_GB2312" w:hAnsi="仿宋_GB2312" w:eastAsia="仿宋_GB2312" w:cs="仿宋_GB2312"/>
          <w:sz w:val="32"/>
          <w:szCs w:val="32"/>
          <w:highlight w:val="none"/>
          <w:lang w:val="en-US"/>
        </w:rPr>
        <w:t>”</w:t>
      </w:r>
      <w:r>
        <w:rPr>
          <w:rFonts w:hint="eastAsia" w:ascii="仿宋_GB2312" w:hAnsi="仿宋_GB2312" w:eastAsia="仿宋_GB2312" w:cs="仿宋_GB2312"/>
          <w:sz w:val="32"/>
          <w:szCs w:val="32"/>
          <w:highlight w:val="none"/>
          <w:lang w:val="en-US"/>
        </w:rPr>
        <w:t>经费财政拨款支出预算为7.26万元，支出决算为7.14万元，完成预算的98.3</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val="en-US"/>
        </w:rPr>
        <w:t>%。2021年度</w:t>
      </w:r>
      <w:r>
        <w:rPr>
          <w:rFonts w:hint="default" w:ascii="仿宋_GB2312" w:hAnsi="仿宋_GB2312" w:eastAsia="仿宋_GB2312" w:cs="仿宋_GB2312"/>
          <w:sz w:val="32"/>
          <w:szCs w:val="32"/>
          <w:highlight w:val="none"/>
          <w:lang w:val="en-US"/>
        </w:rPr>
        <w:t>“</w:t>
      </w:r>
      <w:r>
        <w:rPr>
          <w:rFonts w:hint="eastAsia" w:ascii="仿宋_GB2312" w:hAnsi="仿宋_GB2312" w:eastAsia="仿宋_GB2312" w:cs="仿宋_GB2312"/>
          <w:sz w:val="32"/>
          <w:szCs w:val="32"/>
          <w:highlight w:val="none"/>
          <w:lang w:val="en-US"/>
        </w:rPr>
        <w:t>三公</w:t>
      </w:r>
      <w:r>
        <w:rPr>
          <w:rFonts w:hint="default" w:ascii="仿宋_GB2312" w:hAnsi="仿宋_GB2312" w:eastAsia="仿宋_GB2312" w:cs="仿宋_GB2312"/>
          <w:sz w:val="32"/>
          <w:szCs w:val="32"/>
          <w:highlight w:val="none"/>
          <w:lang w:val="en-US"/>
        </w:rPr>
        <w:t>”</w:t>
      </w:r>
      <w:r>
        <w:rPr>
          <w:rFonts w:hint="eastAsia" w:ascii="仿宋_GB2312" w:hAnsi="仿宋_GB2312" w:eastAsia="仿宋_GB2312" w:cs="仿宋_GB2312"/>
          <w:sz w:val="32"/>
          <w:szCs w:val="32"/>
          <w:highlight w:val="none"/>
          <w:lang w:val="en-US"/>
        </w:rPr>
        <w:t>经费支出决算数与预算数存在差异的主要原因是</w:t>
      </w:r>
      <w:r>
        <w:rPr>
          <w:rFonts w:hint="eastAsia" w:ascii="仿宋_GB2312" w:hAnsi="仿宋_GB2312" w:eastAsia="仿宋_GB2312" w:cs="仿宋_GB2312"/>
          <w:sz w:val="32"/>
          <w:szCs w:val="32"/>
          <w:highlight w:val="none"/>
        </w:rPr>
        <w:t>严格执行中央八项规定精神，厉行节约压缩三公经费支出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rPr>
        <w:t>2021年度</w:t>
      </w:r>
      <w:r>
        <w:rPr>
          <w:rFonts w:hint="default" w:ascii="仿宋_GB2312" w:hAnsi="仿宋_GB2312" w:eastAsia="仿宋_GB2312" w:cs="仿宋_GB2312"/>
          <w:sz w:val="32"/>
          <w:szCs w:val="32"/>
          <w:highlight w:val="none"/>
          <w:lang w:val="en-US"/>
        </w:rPr>
        <w:t>“</w:t>
      </w:r>
      <w:r>
        <w:rPr>
          <w:rFonts w:hint="eastAsia" w:ascii="仿宋_GB2312" w:hAnsi="仿宋_GB2312" w:eastAsia="仿宋_GB2312" w:cs="仿宋_GB2312"/>
          <w:sz w:val="32"/>
          <w:szCs w:val="32"/>
          <w:highlight w:val="none"/>
          <w:lang w:val="en-US"/>
        </w:rPr>
        <w:t>三公</w:t>
      </w:r>
      <w:r>
        <w:rPr>
          <w:rFonts w:hint="default" w:ascii="仿宋_GB2312" w:hAnsi="仿宋_GB2312" w:eastAsia="仿宋_GB2312" w:cs="仿宋_GB2312"/>
          <w:sz w:val="32"/>
          <w:szCs w:val="32"/>
          <w:highlight w:val="none"/>
          <w:lang w:val="en-US"/>
        </w:rPr>
        <w:t>”</w:t>
      </w:r>
      <w:r>
        <w:rPr>
          <w:rFonts w:hint="eastAsia" w:ascii="仿宋_GB2312" w:hAnsi="仿宋_GB2312" w:eastAsia="仿宋_GB2312" w:cs="仿宋_GB2312"/>
          <w:sz w:val="32"/>
          <w:szCs w:val="32"/>
          <w:highlight w:val="none"/>
          <w:lang w:val="en-US"/>
        </w:rPr>
        <w:t>经费财政拨款支出决算中，因公出国（境）费支出决算0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lang w:val="en-US"/>
        </w:rPr>
        <w:t>万元；公务用车购置及运行费支出决算4.76万元，完成预算的100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lang w:val="en-US"/>
        </w:rPr>
        <w:t>%，占66.6</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val="en-US"/>
        </w:rPr>
        <w:t>%；公务接待费支出决算2.38万元，完成预算的95.</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val="en-US"/>
        </w:rPr>
        <w:t>%，占33.3</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rPr>
        <w:t>%；具体情况如下：</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b/>
          <w:sz w:val="32"/>
          <w:szCs w:val="24"/>
          <w:lang w:val="en-US"/>
        </w:rPr>
        <w:t>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sz w:val="32"/>
          <w:szCs w:val="24"/>
          <w:lang w:val="en-US"/>
        </w:rPr>
        <w:t>因公出国（境）团组数0个，因公出国（境）人次数0人。</w:t>
      </w:r>
    </w:p>
    <w:p>
      <w:pPr>
        <w:spacing w:beforeLines="0" w:afterLines="0" w:line="590" w:lineRule="exact"/>
        <w:ind w:firstLine="640"/>
        <w:rPr>
          <w:rFonts w:hint="default" w:ascii="Times New Roman" w:hAnsi="Times New Roman" w:eastAsia="Times New Roman"/>
          <w:sz w:val="32"/>
          <w:szCs w:val="24"/>
          <w:highlight w:val="none"/>
          <w:lang w:val="en-US"/>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sz w:val="32"/>
          <w:szCs w:val="24"/>
          <w:highlight w:val="none"/>
          <w:lang w:val="en-US"/>
        </w:rPr>
        <w:t>预算为4.76万元，支出决算为4.76万元，完成年初预算的100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sz w:val="32"/>
          <w:szCs w:val="24"/>
          <w:highlight w:val="none"/>
          <w:lang w:val="en-US"/>
        </w:rPr>
        <w:t>其中：</w:t>
      </w:r>
    </w:p>
    <w:p>
      <w:pPr>
        <w:spacing w:beforeLines="0" w:afterLines="0" w:line="590" w:lineRule="exact"/>
        <w:ind w:firstLine="640"/>
        <w:rPr>
          <w:rFonts w:hint="default" w:ascii="Times New Roman" w:hAnsi="Times New Roman" w:eastAsia="Times New Roman"/>
          <w:sz w:val="32"/>
          <w:szCs w:val="24"/>
          <w:highlight w:val="none"/>
          <w:lang w:val="en-US"/>
        </w:rPr>
      </w:pPr>
      <w:r>
        <w:rPr>
          <w:rFonts w:hint="eastAsia" w:ascii="仿宋_GB2312" w:hAnsi="仿宋_GB2312" w:eastAsia="仿宋_GB2312"/>
          <w:b/>
          <w:sz w:val="32"/>
          <w:szCs w:val="24"/>
          <w:highlight w:val="none"/>
          <w:lang w:val="en-US"/>
        </w:rPr>
        <w:t>公务用车购置支出</w:t>
      </w:r>
      <w:r>
        <w:rPr>
          <w:rFonts w:hint="eastAsia" w:ascii="仿宋_GB2312" w:hAnsi="仿宋_GB2312" w:eastAsia="仿宋_GB2312"/>
          <w:sz w:val="32"/>
          <w:szCs w:val="24"/>
          <w:highlight w:val="none"/>
          <w:lang w:val="en-US"/>
        </w:rPr>
        <w:t>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万元，购置车辆</w:t>
      </w:r>
      <w:r>
        <w:rPr>
          <w:rFonts w:hint="eastAsia" w:ascii="仿宋_GB2312" w:hAnsi="仿宋_GB2312" w:eastAsia="仿宋_GB2312"/>
          <w:sz w:val="32"/>
          <w:szCs w:val="24"/>
          <w:highlight w:val="none"/>
          <w:lang w:val="en-US" w:eastAsia="zh-CN"/>
        </w:rPr>
        <w:t>0</w:t>
      </w:r>
      <w:r>
        <w:rPr>
          <w:rFonts w:hint="eastAsia" w:ascii="仿宋_GB2312" w:hAnsi="仿宋_GB2312" w:eastAsia="仿宋_GB2312"/>
          <w:sz w:val="32"/>
          <w:szCs w:val="24"/>
          <w:highlight w:val="none"/>
          <w:lang w:val="en-US"/>
        </w:rPr>
        <w:t>台。</w:t>
      </w:r>
    </w:p>
    <w:p>
      <w:pPr>
        <w:spacing w:beforeLines="0" w:afterLines="0" w:line="590" w:lineRule="exact"/>
        <w:ind w:firstLine="640"/>
        <w:rPr>
          <w:rFonts w:hint="default" w:ascii="Times New Roman" w:hAnsi="Times New Roman" w:eastAsia="Times New Roman"/>
          <w:kern w:val="0"/>
          <w:sz w:val="18"/>
          <w:szCs w:val="24"/>
          <w:highlight w:val="none"/>
          <w:lang w:val="zh-CN"/>
        </w:rPr>
      </w:pPr>
      <w:r>
        <w:rPr>
          <w:rFonts w:hint="eastAsia" w:ascii="仿宋_GB2312" w:hAnsi="仿宋_GB2312" w:eastAsia="仿宋_GB2312"/>
          <w:b/>
          <w:sz w:val="32"/>
          <w:szCs w:val="24"/>
          <w:highlight w:val="none"/>
          <w:lang w:val="en-US"/>
        </w:rPr>
        <w:t>公务用车运行支出</w:t>
      </w:r>
      <w:r>
        <w:rPr>
          <w:rFonts w:hint="eastAsia" w:ascii="仿宋_GB2312" w:hAnsi="仿宋_GB2312" w:eastAsia="仿宋_GB2312"/>
          <w:sz w:val="32"/>
          <w:szCs w:val="24"/>
          <w:highlight w:val="none"/>
          <w:lang w:val="en-US"/>
        </w:rPr>
        <w:t>4.76万元。</w:t>
      </w:r>
      <w:r>
        <w:rPr>
          <w:rFonts w:hint="eastAsia" w:ascii="仿宋_GB2312" w:hAnsi="仿宋_GB2312" w:eastAsia="仿宋_GB2312" w:cs="仿宋_GB2312"/>
          <w:color w:val="auto"/>
          <w:sz w:val="32"/>
          <w:szCs w:val="32"/>
          <w:highlight w:val="none"/>
          <w:lang w:val="en-US" w:eastAsia="zh-CN"/>
        </w:rPr>
        <w:t>主要用于</w:t>
      </w:r>
      <w:r>
        <w:rPr>
          <w:rFonts w:hint="eastAsia" w:ascii="仿宋_GB2312" w:hAnsi="仿宋_GB2312" w:eastAsia="仿宋_GB2312" w:cs="仿宋_GB2312"/>
          <w:sz w:val="32"/>
          <w:szCs w:val="32"/>
          <w:highlight w:val="none"/>
        </w:rPr>
        <w:t>车辆保险及油修费用</w:t>
      </w:r>
      <w:r>
        <w:rPr>
          <w:rFonts w:hint="eastAsia" w:ascii="仿宋_GB2312" w:hAnsi="仿宋_GB2312" w:eastAsia="仿宋_GB2312" w:cs="仿宋_GB2312"/>
          <w:color w:val="auto"/>
          <w:sz w:val="32"/>
          <w:szCs w:val="32"/>
          <w:highlight w:val="none"/>
          <w:lang w:val="en-US" w:eastAsia="zh-CN"/>
        </w:rPr>
        <w:t>。2021年期末，部门开支财政拨款的公务用车保有量为2辆。</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highlight w:val="none"/>
          <w:lang w:val="en-US"/>
        </w:rPr>
        <w:t>2.5</w:t>
      </w:r>
      <w:r>
        <w:rPr>
          <w:rFonts w:hint="eastAsia" w:ascii="仿宋_GB2312" w:hAnsi="仿宋_GB2312" w:eastAsia="仿宋_GB2312"/>
          <w:sz w:val="32"/>
          <w:szCs w:val="24"/>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2.38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95.20</w:t>
      </w:r>
      <w:r>
        <w:rPr>
          <w:rFonts w:hint="eastAsia" w:ascii="仿宋_GB2312" w:hAnsi="仿宋_GB2312" w:eastAsia="仿宋_GB2312" w:cs="仿宋_GB2312"/>
          <w:sz w:val="32"/>
          <w:szCs w:val="32"/>
          <w:highlight w:val="none"/>
        </w:rPr>
        <w:t>%。决算数与预算数存在差异的主要原因是严格执行中央八项规定精神，厉行节约压缩</w:t>
      </w:r>
      <w:r>
        <w:rPr>
          <w:rFonts w:hint="eastAsia" w:ascii="仿宋_GB2312" w:hAnsi="仿宋_GB2312" w:eastAsia="仿宋_GB2312" w:cs="仿宋_GB2312"/>
          <w:sz w:val="32"/>
          <w:szCs w:val="32"/>
          <w:highlight w:val="none"/>
          <w:lang w:eastAsia="zh-CN"/>
        </w:rPr>
        <w:t>公务接待</w:t>
      </w:r>
      <w:r>
        <w:rPr>
          <w:rFonts w:hint="eastAsia" w:ascii="仿宋_GB2312" w:hAnsi="仿宋_GB2312" w:eastAsia="仿宋_GB2312" w:cs="仿宋_GB2312"/>
          <w:sz w:val="32"/>
          <w:szCs w:val="32"/>
          <w:highlight w:val="none"/>
        </w:rPr>
        <w:t>经费支出。其中：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2021年共接待国（境）外来访团组0个、来访外宾0人次（不包括陪同人员）。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2.38</w:t>
      </w:r>
      <w:r>
        <w:rPr>
          <w:rFonts w:hint="eastAsia" w:ascii="仿宋_GB2312" w:hAnsi="仿宋_GB2312" w:eastAsia="仿宋_GB2312" w:cs="仿宋_GB2312"/>
          <w:sz w:val="32"/>
          <w:szCs w:val="32"/>
          <w:highlight w:val="none"/>
        </w:rPr>
        <w:t>万元。主要用于接待对象用餐费</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0个、来宾</w:t>
      </w:r>
      <w:r>
        <w:rPr>
          <w:rFonts w:hint="eastAsia" w:ascii="仿宋_GB2312" w:hAnsi="仿宋_GB2312" w:eastAsia="仿宋_GB2312" w:cs="仿宋_GB2312"/>
          <w:color w:val="auto"/>
          <w:sz w:val="32"/>
          <w:szCs w:val="32"/>
          <w:highlight w:val="none"/>
          <w:lang w:val="en-US" w:eastAsia="zh-CN"/>
        </w:rPr>
        <w:t>465</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2021年度政府性基金预算财政拨款支出年初预算为0.00万元，支出决算为0.00万元。我部门2021年度没有政府性基金收入，也没有使用政府性基金安排的支出。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38.28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highlight w:val="none"/>
          <w:lang w:val="en-US"/>
        </w:rPr>
        <w:t>34.85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91.04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预算数存在差异的主要原因是严格执行中央八项规定精神，厉行节约压缩</w:t>
      </w:r>
      <w:r>
        <w:rPr>
          <w:rFonts w:hint="eastAsia" w:ascii="仿宋_GB2312" w:hAnsi="仿宋_GB2312" w:eastAsia="仿宋_GB2312" w:cs="仿宋_GB2312"/>
          <w:sz w:val="32"/>
          <w:szCs w:val="32"/>
          <w:highlight w:val="none"/>
          <w:lang w:eastAsia="zh-CN"/>
        </w:rPr>
        <w:t>公务</w:t>
      </w:r>
      <w:r>
        <w:rPr>
          <w:rFonts w:hint="eastAsia" w:ascii="仿宋_GB2312" w:hAnsi="仿宋_GB2312" w:eastAsia="仿宋_GB2312" w:cs="仿宋_GB2312"/>
          <w:sz w:val="32"/>
          <w:szCs w:val="32"/>
          <w:highlight w:val="none"/>
        </w:rPr>
        <w:t>经费支出</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rPr>
        <w:t>2021年度政府采购支出总额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rPr>
        <w:t>2021年期末，我单位共有车辆2辆，其中：省级领导干部用车0辆、主要领导干部用车0辆、机要通信用车1辆、应急保障车0辆、执法执勤用车0辆、特种专业技术用车1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认真制定预算绩效管理日常工作计划和安排，积极开展预算绩效管理制度建设，加强绩效管理政策业务学习与培训。合理编制预算，科学设定预算绩效目标，提高资金使用效益，建立跟踪监管机制，进一步推动工作实效。完善绩效评价指标体系，规范评价工作流程，提高绩效评价工作质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按照《许昌市财政局关于开展2021年度市级预算绩效自评工作的通知》（许财效）〔2022〕1号）等文件精神，我部门对本部门整体绩效目标和项目支出绩效目标进行了自评。一是部门整体绩效自评情况。我部门</w:t>
      </w:r>
      <w:r>
        <w:rPr>
          <w:rFonts w:hint="eastAsia" w:ascii="仿宋_GB2312" w:hAnsi="仿宋_GB2312" w:eastAsia="仿宋_GB2312" w:cs="仿宋_GB2312"/>
          <w:sz w:val="32"/>
          <w:szCs w:val="32"/>
          <w:highlight w:val="none"/>
        </w:rPr>
        <w:t>不断健全绩效管理工作机制，积极开展预算绩效评价，科学设置评价体系，既有总体目标又有三级考核指标，还有考核指标值。并按照绩效目标进行定期和不定期检查，通过对有关信息分析加以督促，按要求对纳入绩效目标管理的项目，实施了绩效监控和自评，全年资金使用做到了权限明确、责任明晰、程序规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是项目绩效自评情况。我部门共有4个项目批复了绩效目标，项目金额370.02万元。其中：许昌市科学技术协会本级3个，项目金额339.49万元；许昌市科学技术馆1个，项目金额30.53万元。基于项目预期目标的实现程度，对2021年度项目支出绩效进行自评，绩效自评平均得分为97分。其中：4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r>
        <w:rPr>
          <w:rFonts w:hint="eastAsia" w:ascii="黑体" w:hAnsi="宋体" w:eastAsia="黑体" w:cs="宋体"/>
          <w:kern w:val="0"/>
          <w:sz w:val="28"/>
          <w:szCs w:val="28"/>
          <w:highlight w:val="none"/>
        </w:rPr>
        <w:br w:type="page"/>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wHWr6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AHvdzckBAACZ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2YzhhMDQ1YTNjZmFmZGRlMjEyMTAyZWU3YjZmMWM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166173"/>
    <w:rsid w:val="02785724"/>
    <w:rsid w:val="02A3489A"/>
    <w:rsid w:val="02CA138D"/>
    <w:rsid w:val="033646FC"/>
    <w:rsid w:val="03C75F80"/>
    <w:rsid w:val="042F4508"/>
    <w:rsid w:val="046F590C"/>
    <w:rsid w:val="0478364D"/>
    <w:rsid w:val="053D4C0D"/>
    <w:rsid w:val="0557532E"/>
    <w:rsid w:val="06417385"/>
    <w:rsid w:val="06F37A6F"/>
    <w:rsid w:val="074C54FC"/>
    <w:rsid w:val="07844503"/>
    <w:rsid w:val="0799329C"/>
    <w:rsid w:val="08397436"/>
    <w:rsid w:val="086F16A7"/>
    <w:rsid w:val="09656CA2"/>
    <w:rsid w:val="0A0F7225"/>
    <w:rsid w:val="0A2B7D82"/>
    <w:rsid w:val="0A3F359D"/>
    <w:rsid w:val="0ADC40E9"/>
    <w:rsid w:val="0AE00C9D"/>
    <w:rsid w:val="0AE16866"/>
    <w:rsid w:val="0AE607F4"/>
    <w:rsid w:val="0B386127"/>
    <w:rsid w:val="0B451598"/>
    <w:rsid w:val="0BEC73F4"/>
    <w:rsid w:val="0C392698"/>
    <w:rsid w:val="0C3C77C2"/>
    <w:rsid w:val="0C9D17A6"/>
    <w:rsid w:val="0E0C7289"/>
    <w:rsid w:val="0EEA1757"/>
    <w:rsid w:val="10521CAA"/>
    <w:rsid w:val="10BD36F6"/>
    <w:rsid w:val="11402FB2"/>
    <w:rsid w:val="11BF0649"/>
    <w:rsid w:val="11F8062F"/>
    <w:rsid w:val="123E3E08"/>
    <w:rsid w:val="133212F4"/>
    <w:rsid w:val="13D22E22"/>
    <w:rsid w:val="14767D41"/>
    <w:rsid w:val="161C2DFF"/>
    <w:rsid w:val="162336E7"/>
    <w:rsid w:val="16373578"/>
    <w:rsid w:val="165222EB"/>
    <w:rsid w:val="168129A1"/>
    <w:rsid w:val="16D3336B"/>
    <w:rsid w:val="17200028"/>
    <w:rsid w:val="17806C36"/>
    <w:rsid w:val="17A74F62"/>
    <w:rsid w:val="18626A98"/>
    <w:rsid w:val="18A47774"/>
    <w:rsid w:val="1925593B"/>
    <w:rsid w:val="1A8D28EB"/>
    <w:rsid w:val="1A915B1A"/>
    <w:rsid w:val="1A9F2D78"/>
    <w:rsid w:val="1B2E6FD8"/>
    <w:rsid w:val="1B877D21"/>
    <w:rsid w:val="1C4319A9"/>
    <w:rsid w:val="1CD75A11"/>
    <w:rsid w:val="1D4B3AEC"/>
    <w:rsid w:val="1DD378CE"/>
    <w:rsid w:val="1E443B4B"/>
    <w:rsid w:val="1E994F4A"/>
    <w:rsid w:val="1EAF0224"/>
    <w:rsid w:val="1F2230A4"/>
    <w:rsid w:val="20210932"/>
    <w:rsid w:val="202448E0"/>
    <w:rsid w:val="20F614FE"/>
    <w:rsid w:val="21302EEA"/>
    <w:rsid w:val="21F03A2E"/>
    <w:rsid w:val="22376FB5"/>
    <w:rsid w:val="23BE019F"/>
    <w:rsid w:val="23E152D7"/>
    <w:rsid w:val="23EE2489"/>
    <w:rsid w:val="243F6CC0"/>
    <w:rsid w:val="25562221"/>
    <w:rsid w:val="255D43C8"/>
    <w:rsid w:val="26714EF8"/>
    <w:rsid w:val="26876BDD"/>
    <w:rsid w:val="2714632A"/>
    <w:rsid w:val="27541E73"/>
    <w:rsid w:val="27B0539E"/>
    <w:rsid w:val="29365CF8"/>
    <w:rsid w:val="299469B3"/>
    <w:rsid w:val="2A0239A1"/>
    <w:rsid w:val="2A805789"/>
    <w:rsid w:val="2ADC0D75"/>
    <w:rsid w:val="2B4A0E52"/>
    <w:rsid w:val="2B960845"/>
    <w:rsid w:val="2C834B70"/>
    <w:rsid w:val="2C975890"/>
    <w:rsid w:val="2DEF21BB"/>
    <w:rsid w:val="2E4A2F05"/>
    <w:rsid w:val="2ECC1061"/>
    <w:rsid w:val="2FA476AD"/>
    <w:rsid w:val="303F7540"/>
    <w:rsid w:val="310A7C4A"/>
    <w:rsid w:val="31A737AC"/>
    <w:rsid w:val="31AC7EFF"/>
    <w:rsid w:val="31DD00BF"/>
    <w:rsid w:val="326F1BEE"/>
    <w:rsid w:val="3293174C"/>
    <w:rsid w:val="32BB38D4"/>
    <w:rsid w:val="32C9376D"/>
    <w:rsid w:val="3369682E"/>
    <w:rsid w:val="33780472"/>
    <w:rsid w:val="33AF0905"/>
    <w:rsid w:val="342B1D46"/>
    <w:rsid w:val="34F5482E"/>
    <w:rsid w:val="355932F4"/>
    <w:rsid w:val="35611882"/>
    <w:rsid w:val="36746FC3"/>
    <w:rsid w:val="368763AE"/>
    <w:rsid w:val="3733163E"/>
    <w:rsid w:val="373D5197"/>
    <w:rsid w:val="377E04A5"/>
    <w:rsid w:val="38211DDE"/>
    <w:rsid w:val="38BB7B3D"/>
    <w:rsid w:val="395D59E7"/>
    <w:rsid w:val="39A93932"/>
    <w:rsid w:val="3A915562"/>
    <w:rsid w:val="3AAD5BAB"/>
    <w:rsid w:val="3B8D4765"/>
    <w:rsid w:val="3C000DBA"/>
    <w:rsid w:val="3C925059"/>
    <w:rsid w:val="3DC045D3"/>
    <w:rsid w:val="3E504FFB"/>
    <w:rsid w:val="3E615CD0"/>
    <w:rsid w:val="3E8B7D38"/>
    <w:rsid w:val="3E9C47F6"/>
    <w:rsid w:val="3F8B0112"/>
    <w:rsid w:val="3FAB3095"/>
    <w:rsid w:val="3FE45947"/>
    <w:rsid w:val="41242965"/>
    <w:rsid w:val="41C15399"/>
    <w:rsid w:val="41D82FF7"/>
    <w:rsid w:val="4226424B"/>
    <w:rsid w:val="425F3822"/>
    <w:rsid w:val="433779FE"/>
    <w:rsid w:val="435671EA"/>
    <w:rsid w:val="440809E9"/>
    <w:rsid w:val="442407A6"/>
    <w:rsid w:val="44805EA1"/>
    <w:rsid w:val="45710696"/>
    <w:rsid w:val="46142B1B"/>
    <w:rsid w:val="471A3BA2"/>
    <w:rsid w:val="47D72788"/>
    <w:rsid w:val="47E60DD0"/>
    <w:rsid w:val="48735039"/>
    <w:rsid w:val="48E654A4"/>
    <w:rsid w:val="492C684B"/>
    <w:rsid w:val="49500594"/>
    <w:rsid w:val="495C0C56"/>
    <w:rsid w:val="49E7604E"/>
    <w:rsid w:val="4A2F0714"/>
    <w:rsid w:val="4BF67CDD"/>
    <w:rsid w:val="4C1C0FA5"/>
    <w:rsid w:val="4C2C109F"/>
    <w:rsid w:val="4C414D79"/>
    <w:rsid w:val="4D0B2C70"/>
    <w:rsid w:val="4D173441"/>
    <w:rsid w:val="4D603DD6"/>
    <w:rsid w:val="4D9E1AAF"/>
    <w:rsid w:val="4E296E9F"/>
    <w:rsid w:val="4E9A717C"/>
    <w:rsid w:val="4EBF010F"/>
    <w:rsid w:val="4F471EB0"/>
    <w:rsid w:val="51331326"/>
    <w:rsid w:val="51740A7F"/>
    <w:rsid w:val="51A5541E"/>
    <w:rsid w:val="51C96242"/>
    <w:rsid w:val="52FA25F3"/>
    <w:rsid w:val="532F31A9"/>
    <w:rsid w:val="53906AE1"/>
    <w:rsid w:val="53EB4BA7"/>
    <w:rsid w:val="546E196D"/>
    <w:rsid w:val="54F46F60"/>
    <w:rsid w:val="55A37BEA"/>
    <w:rsid w:val="56362CD2"/>
    <w:rsid w:val="56493019"/>
    <w:rsid w:val="565019E7"/>
    <w:rsid w:val="567D6779"/>
    <w:rsid w:val="57835872"/>
    <w:rsid w:val="5784687B"/>
    <w:rsid w:val="57846959"/>
    <w:rsid w:val="578E6A87"/>
    <w:rsid w:val="5A1B3807"/>
    <w:rsid w:val="5AC2203A"/>
    <w:rsid w:val="5CBB3334"/>
    <w:rsid w:val="5D115FAF"/>
    <w:rsid w:val="5DC75854"/>
    <w:rsid w:val="5EBE0D0D"/>
    <w:rsid w:val="5EE651AE"/>
    <w:rsid w:val="5F1C6CD8"/>
    <w:rsid w:val="5F661E0C"/>
    <w:rsid w:val="61291238"/>
    <w:rsid w:val="61646714"/>
    <w:rsid w:val="62045801"/>
    <w:rsid w:val="62811722"/>
    <w:rsid w:val="62BE5752"/>
    <w:rsid w:val="62E75A72"/>
    <w:rsid w:val="63A252D2"/>
    <w:rsid w:val="64571880"/>
    <w:rsid w:val="649125B6"/>
    <w:rsid w:val="652F4C1A"/>
    <w:rsid w:val="65B337C6"/>
    <w:rsid w:val="66326DE1"/>
    <w:rsid w:val="663E5786"/>
    <w:rsid w:val="666D37F1"/>
    <w:rsid w:val="668D2D2E"/>
    <w:rsid w:val="67087D8F"/>
    <w:rsid w:val="671F687E"/>
    <w:rsid w:val="67602B70"/>
    <w:rsid w:val="67F415F8"/>
    <w:rsid w:val="682640D1"/>
    <w:rsid w:val="684B73E5"/>
    <w:rsid w:val="68906041"/>
    <w:rsid w:val="68EA361F"/>
    <w:rsid w:val="6A047A2A"/>
    <w:rsid w:val="6A5B14E7"/>
    <w:rsid w:val="6A8D0A8A"/>
    <w:rsid w:val="6BBF2EC5"/>
    <w:rsid w:val="6BDF5315"/>
    <w:rsid w:val="6C046B2A"/>
    <w:rsid w:val="6D7E3431"/>
    <w:rsid w:val="6EFB7548"/>
    <w:rsid w:val="6F3831C3"/>
    <w:rsid w:val="6F8B71C1"/>
    <w:rsid w:val="705362D1"/>
    <w:rsid w:val="70753482"/>
    <w:rsid w:val="707B522A"/>
    <w:rsid w:val="708E2919"/>
    <w:rsid w:val="713F0A11"/>
    <w:rsid w:val="73194D05"/>
    <w:rsid w:val="732D1BCA"/>
    <w:rsid w:val="73A83B0E"/>
    <w:rsid w:val="744A1058"/>
    <w:rsid w:val="744D3EF9"/>
    <w:rsid w:val="74794411"/>
    <w:rsid w:val="74836A59"/>
    <w:rsid w:val="75867C40"/>
    <w:rsid w:val="75B10B26"/>
    <w:rsid w:val="76432199"/>
    <w:rsid w:val="76796366"/>
    <w:rsid w:val="76F44829"/>
    <w:rsid w:val="77A267C0"/>
    <w:rsid w:val="78882278"/>
    <w:rsid w:val="78B118A6"/>
    <w:rsid w:val="78BE120A"/>
    <w:rsid w:val="79135044"/>
    <w:rsid w:val="7A1E16FE"/>
    <w:rsid w:val="7A7D0F99"/>
    <w:rsid w:val="7B8E00CE"/>
    <w:rsid w:val="7C285772"/>
    <w:rsid w:val="7D1C7A4B"/>
    <w:rsid w:val="7E4A0E7C"/>
    <w:rsid w:val="7EFD449D"/>
    <w:rsid w:val="7FF727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8746</Words>
  <Characters>10915</Characters>
  <Lines>60</Lines>
  <Paragraphs>16</Paragraphs>
  <TotalTime>3</TotalTime>
  <ScaleCrop>false</ScaleCrop>
  <LinksUpToDate>false</LinksUpToDate>
  <CharactersWithSpaces>11171</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huanghe</cp:lastModifiedBy>
  <cp:lastPrinted>2018-07-24T18:50:00Z</cp:lastPrinted>
  <dcterms:modified xsi:type="dcterms:W3CDTF">2023-05-11T17:08:55Z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5397AE5B9BE742F8A4E1F2FFEA12CE74</vt:lpwstr>
  </property>
</Properties>
</file>