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许昌市盐业管理局单位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许昌市盐业管理局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许昌市盐业管理局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许昌市盐业管理局是许昌市盐业主管单位。其主要职责是：监管和指导全市盐业工作，拟订并组织实施全市盐业发展规划；宣传贯彻国家盐业法律法规条例，参与制定区域性盐业管理办法并组织实施；负责全市盐业行政执法工作；依法受理盐业违法举报和盐业行政复议工作；全市食盐安全应急处置工作；全市食盐保障储备工作；市政府交办的其它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许昌市盐业管理局</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办公室、监管科、政策法规科</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许昌市盐业管理局单位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1、许昌市盐业管理局</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5"/>
        <w:gridCol w:w="846"/>
        <w:gridCol w:w="1129"/>
        <w:gridCol w:w="4532"/>
        <w:gridCol w:w="846"/>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4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21"/>
        <w:gridCol w:w="1348"/>
        <w:gridCol w:w="1348"/>
        <w:gridCol w:w="1080"/>
        <w:gridCol w:w="1080"/>
        <w:gridCol w:w="1080"/>
        <w:gridCol w:w="1080"/>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193.99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193.99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83"/>
        <w:gridCol w:w="1429"/>
        <w:gridCol w:w="1429"/>
        <w:gridCol w:w="1158"/>
        <w:gridCol w:w="1158"/>
        <w:gridCol w:w="1158"/>
        <w:gridCol w:w="1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pPr>
    </w:p>
    <w:tbl>
      <w:tblPr>
        <w:tblStyle w:val="5"/>
        <w:tblW w:w="139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70"/>
        <w:gridCol w:w="1440"/>
        <w:gridCol w:w="3516"/>
        <w:gridCol w:w="570"/>
        <w:gridCol w:w="876"/>
        <w:gridCol w:w="1335"/>
        <w:gridCol w:w="1091"/>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80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0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5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96"/>
        <w:gridCol w:w="222"/>
        <w:gridCol w:w="222"/>
        <w:gridCol w:w="3956"/>
        <w:gridCol w:w="2045"/>
        <w:gridCol w:w="2024"/>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6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207.83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5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3730"/>
        <w:gridCol w:w="16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92"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w:t>
            </w:r>
            <w:r>
              <w:rPr>
                <w:rFonts w:hint="eastAsia" w:ascii="宋体" w:hAnsi="宋体" w:cs="宋体"/>
                <w:i w:val="0"/>
                <w:iCs w:val="0"/>
                <w:color w:val="000000"/>
                <w:kern w:val="0"/>
                <w:sz w:val="30"/>
                <w:szCs w:val="30"/>
                <w:u w:val="none"/>
                <w:lang w:val="en-US" w:eastAsia="zh-CN" w:bidi="ar"/>
              </w:rPr>
              <w:t>决算明细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3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9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82"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8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72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434" w:type="dxa"/>
            <w:gridSpan w:val="7"/>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895"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95"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89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895"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895"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895"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190.48</w:t>
            </w:r>
          </w:p>
        </w:tc>
        <w:tc>
          <w:tcPr>
            <w:tcW w:w="8609" w:type="dxa"/>
            <w:gridSpan w:val="6"/>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92"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125"/>
        <w:gridCol w:w="1125"/>
        <w:gridCol w:w="1125"/>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49"/>
        <w:gridCol w:w="308"/>
        <w:gridCol w:w="308"/>
        <w:gridCol w:w="1522"/>
        <w:gridCol w:w="1234"/>
        <w:gridCol w:w="1234"/>
        <w:gridCol w:w="1234"/>
        <w:gridCol w:w="1234"/>
        <w:gridCol w:w="1234"/>
        <w:gridCol w:w="2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：许昌市盐业管理局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02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0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7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7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7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207.93</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rPr>
        <w:t>17.8</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rPr>
        <w:t>7.89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按照上级要求，压缩了项目经费；严格按照中央“八项规定”精神，压减一般性支出；根据工作安排，取消了法律顾问</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32"/>
          <w:lang w:val="en-US"/>
        </w:rPr>
        <w:t>193.99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32"/>
          <w:lang w:val="en-US"/>
        </w:rPr>
        <w:t>193.99</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32"/>
          <w:lang w:val="en-US"/>
        </w:rPr>
        <w:t>100</w:t>
      </w:r>
      <w:r>
        <w:rPr>
          <w:rFonts w:hint="eastAsia" w:ascii="仿宋_GB2312" w:hAnsi="仿宋_GB2312" w:eastAsia="仿宋_GB2312"/>
          <w:sz w:val="32"/>
          <w:szCs w:val="32"/>
          <w:lang w:val="en-US" w:eastAsia="zh-CN"/>
        </w:rPr>
        <w:t>.00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rPr>
        <w:t>207.83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207.83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207.83</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sz w:val="32"/>
          <w:szCs w:val="24"/>
          <w:lang w:val="en-US"/>
        </w:rPr>
        <w:t>17.89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7.93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按照上级要求，压缩了项目经费；严格按照中央“八项规定”精神，压减一般性支出；根据工作安排，取消了法律顾问。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207.83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100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sz w:val="32"/>
          <w:szCs w:val="24"/>
          <w:lang w:val="en-US"/>
        </w:rPr>
        <w:t>8.11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lang w:val="en-US"/>
        </w:rPr>
        <w:t>4.06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2021年人员职级晋升、晋级晋档，养老缴费基数进行了调整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207.83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0.94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 xml:space="preserve">社会保障和就业（类）支出15.00万元，占7.22%；卫生健康（类）支出11.33万元，占5.45%；商业服务业等（类）支出180.57万元，占86.88%。 </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为</w:t>
      </w:r>
      <w:r>
        <w:rPr>
          <w:rFonts w:hint="eastAsia" w:ascii="仿宋_GB2312" w:hAnsi="仿宋_GB2312" w:eastAsia="仿宋_GB2312"/>
          <w:sz w:val="32"/>
          <w:szCs w:val="24"/>
          <w:highlight w:val="none"/>
          <w:lang w:val="en-US"/>
        </w:rPr>
        <w:t>221.18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207.83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的</w:t>
      </w:r>
      <w:r>
        <w:rPr>
          <w:rFonts w:hint="eastAsia" w:ascii="仿宋_GB2312" w:hAnsi="仿宋_GB2312" w:eastAsia="仿宋_GB2312"/>
          <w:sz w:val="32"/>
          <w:szCs w:val="24"/>
          <w:lang w:val="en-US"/>
        </w:rPr>
        <w:t>93.97</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一般公共服务（类）群众团体事务（款）工会事务（项）。</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0.94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决算数与年初预算数无差异。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2.73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120.15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数存在差异的主要原因是</w:t>
      </w:r>
      <w:r>
        <w:rPr>
          <w:rFonts w:hint="eastAsia" w:ascii="仿宋_GB2312" w:hAnsi="仿宋_GB2312" w:eastAsia="仿宋_GB2312" w:cs="仿宋_GB2312"/>
          <w:color w:val="auto"/>
          <w:sz w:val="32"/>
          <w:szCs w:val="32"/>
          <w:highlight w:val="none"/>
          <w:lang w:val="en-US" w:eastAsia="zh-CN"/>
        </w:rPr>
        <w:t>2021年有新增退休人员，离退休费用相应增加。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为</w:t>
      </w:r>
      <w:r>
        <w:rPr>
          <w:rFonts w:hint="default" w:ascii="仿宋_GB2312" w:hAnsi="仿宋_GB2312" w:eastAsia="仿宋_GB2312" w:cs="仿宋_GB2312"/>
          <w:sz w:val="32"/>
          <w:szCs w:val="32"/>
          <w:highlight w:val="none"/>
          <w:lang w:val="en" w:eastAsia="zh-CN"/>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11.72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数存在差异的主要原因是</w:t>
      </w:r>
      <w:r>
        <w:rPr>
          <w:rFonts w:hint="eastAsia" w:ascii="仿宋_GB2312" w:hAnsi="仿宋_GB2312" w:eastAsia="仿宋_GB2312" w:cs="仿宋_GB2312"/>
          <w:color w:val="auto"/>
          <w:sz w:val="32"/>
          <w:szCs w:val="32"/>
          <w:highlight w:val="none"/>
          <w:lang w:val="en-US" w:eastAsia="zh-CN"/>
        </w:rPr>
        <w:t>2021年人员职级晋升、晋级晋档，养老缴费基数进行了调整。</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4．卫生健康支出（类）行政事业单位医疗（款）行政单位医疗（项）。</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为</w:t>
      </w:r>
      <w:r>
        <w:rPr>
          <w:rFonts w:hint="default" w:ascii="仿宋_GB2312" w:hAnsi="仿宋_GB2312" w:eastAsia="仿宋_GB2312" w:cs="仿宋_GB2312"/>
          <w:sz w:val="32"/>
          <w:szCs w:val="32"/>
          <w:highlight w:val="none"/>
          <w:lang w:val="en" w:eastAsia="zh-CN"/>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5.80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数存在差异的主要原因是</w:t>
      </w:r>
      <w:r>
        <w:rPr>
          <w:rFonts w:hint="eastAsia" w:ascii="仿宋_GB2312" w:hAnsi="仿宋_GB2312" w:eastAsia="仿宋_GB2312" w:cs="仿宋_GB2312"/>
          <w:color w:val="auto"/>
          <w:sz w:val="32"/>
          <w:szCs w:val="32"/>
          <w:highlight w:val="none"/>
          <w:lang w:val="en-US" w:eastAsia="zh-CN"/>
        </w:rPr>
        <w:t>2021年有在职转退休人员，行政单位医疗缴费相应减少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5. 卫生健康支出（类）行政事业单位医疗（款）公务员医疗补助（项）。</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为</w:t>
      </w:r>
      <w:r>
        <w:rPr>
          <w:rFonts w:hint="default" w:ascii="仿宋_GB2312" w:hAnsi="仿宋_GB2312" w:eastAsia="仿宋_GB2312" w:cs="仿宋_GB2312"/>
          <w:sz w:val="32"/>
          <w:szCs w:val="32"/>
          <w:highlight w:val="none"/>
          <w:lang w:val="en" w:eastAsia="zh-CN"/>
        </w:rPr>
        <w:t>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5.53</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数存在差异的主要原因是</w:t>
      </w:r>
      <w:r>
        <w:rPr>
          <w:rFonts w:hint="eastAsia" w:ascii="仿宋_GB2312" w:hAnsi="仿宋_GB2312" w:eastAsia="仿宋_GB2312" w:cs="仿宋_GB2312"/>
          <w:color w:val="auto"/>
          <w:sz w:val="32"/>
          <w:szCs w:val="32"/>
          <w:highlight w:val="none"/>
          <w:lang w:val="en-US" w:eastAsia="zh-CN"/>
        </w:rPr>
        <w:t>2021年有在职转退休人员，行政单位医疗缴费相应减少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6. 商业服务业等支出（类）商业流通事务（款） 行政运行（项）。</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217.51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180.57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83.02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年初预算</w:t>
      </w:r>
      <w:r>
        <w:rPr>
          <w:rFonts w:hint="eastAsia" w:ascii="仿宋_GB2312" w:hAnsi="仿宋_GB2312" w:eastAsia="仿宋_GB2312" w:cs="仿宋_GB2312"/>
          <w:sz w:val="32"/>
          <w:szCs w:val="32"/>
          <w:highlight w:val="none"/>
        </w:rPr>
        <w:t>数存在差异的主要原因是</w:t>
      </w:r>
      <w:r>
        <w:rPr>
          <w:rFonts w:hint="eastAsia" w:ascii="仿宋_GB2312" w:hAnsi="仿宋_GB2312" w:eastAsia="仿宋_GB2312" w:cs="仿宋_GB2312"/>
          <w:color w:val="auto"/>
          <w:sz w:val="32"/>
          <w:szCs w:val="32"/>
          <w:highlight w:val="none"/>
          <w:lang w:val="en-US" w:eastAsia="zh-CN"/>
        </w:rPr>
        <w:t>严格按照中央“八项规定”精神，压减一般性支出、控制“三公经费”和办公经费列支范围。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207.83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rPr>
        <w:t>190.48</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基本工资、津贴补贴、奖金、机关事业单位基本养老保险缴费、职工基本医疗保险缴费、公务员医疗补助缴费、其他社会保障缴费、住房公积金、其他工资福利支出、退休费；</w:t>
      </w:r>
      <w:r>
        <w:rPr>
          <w:rFonts w:hint="eastAsia" w:ascii="仿宋_GB2312" w:hAnsi="仿宋_GB2312" w:eastAsia="仿宋_GB2312" w:cs="仿宋_GB2312"/>
          <w:sz w:val="32"/>
          <w:szCs w:val="32"/>
          <w:highlight w:val="none"/>
        </w:rPr>
        <w:t>公用经费</w:t>
      </w:r>
      <w:r>
        <w:rPr>
          <w:rFonts w:hint="eastAsia" w:ascii="仿宋_GB2312" w:hAnsi="仿宋_GB2312" w:eastAsia="仿宋_GB2312"/>
          <w:sz w:val="32"/>
          <w:szCs w:val="24"/>
          <w:lang w:val="en-US"/>
        </w:rPr>
        <w:t>17.35</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办公费、印刷费、咨询费、水费、电费、邮电费、差旅费、租赁费、劳务费、委托业务费、工会经费、福利费、公务用车运行维护费、其他交通费用、其他商品和服务支出。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sz w:val="32"/>
          <w:szCs w:val="24"/>
          <w:lang w:val="en-US"/>
        </w:rPr>
        <w:t>5.45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0.51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9.3</w:t>
      </w:r>
      <w:r>
        <w:rPr>
          <w:rFonts w:hint="eastAsia" w:ascii="仿宋_GB2312" w:hAnsi="仿宋_GB2312" w:eastAsia="仿宋_GB2312"/>
          <w:sz w:val="32"/>
          <w:szCs w:val="24"/>
          <w:lang w:val="en-US" w:eastAsia="zh-CN"/>
        </w:rPr>
        <w:t>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按照中央“八项规定”精神，</w:t>
      </w:r>
      <w:r>
        <w:rPr>
          <w:rFonts w:hint="eastAsia" w:ascii="仿宋_GB2312" w:eastAsia="仿宋_GB2312"/>
          <w:sz w:val="32"/>
          <w:szCs w:val="32"/>
        </w:rPr>
        <w:t>严格控制公车运行费用和公务接待支出。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0.51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12.7</w:t>
      </w:r>
      <w:r>
        <w:rPr>
          <w:rFonts w:hint="eastAsia" w:ascii="仿宋_GB2312" w:hAnsi="仿宋_GB2312" w:eastAsia="仿宋_GB2312"/>
          <w:sz w:val="32"/>
          <w:szCs w:val="24"/>
          <w:lang w:val="en-US" w:eastAsia="zh-CN"/>
        </w:rPr>
        <w:t>5</w:t>
      </w:r>
      <w:r>
        <w:rPr>
          <w:rFonts w:hint="eastAsia" w:ascii="仿宋_GB2312" w:hAnsi="仿宋_GB2312" w:eastAsia="仿宋_GB2312" w:cs="仿宋_GB2312"/>
          <w:sz w:val="32"/>
          <w:szCs w:val="32"/>
          <w:highlight w:val="none"/>
        </w:rPr>
        <w:t>%，占</w:t>
      </w:r>
      <w:r>
        <w:rPr>
          <w:rFonts w:hint="eastAsia" w:ascii="仿宋_GB2312" w:hAnsi="仿宋_GB2312" w:eastAsia="仿宋_GB2312"/>
          <w:sz w:val="32"/>
          <w:szCs w:val="24"/>
          <w:lang w:val="en-US"/>
        </w:rPr>
        <w:t>100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0.51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12.7</w:t>
      </w:r>
      <w:r>
        <w:rPr>
          <w:rFonts w:hint="eastAsia" w:ascii="仿宋_GB2312" w:hAnsi="仿宋_GB2312" w:eastAsia="仿宋_GB2312"/>
          <w:sz w:val="32"/>
          <w:szCs w:val="24"/>
          <w:lang w:val="en-US" w:eastAsia="zh-CN"/>
        </w:rPr>
        <w:t>5</w:t>
      </w:r>
      <w:r>
        <w:rPr>
          <w:rFonts w:hint="eastAsia" w:ascii="仿宋_GB2312" w:hAnsi="仿宋_GB2312" w:eastAsia="仿宋_GB2312" w:cs="仿宋_GB2312"/>
          <w:sz w:val="32"/>
          <w:szCs w:val="32"/>
          <w:highlight w:val="none"/>
        </w:rPr>
        <w:t>%。决算数与预算数存在差异的主要原因是</w:t>
      </w:r>
      <w:r>
        <w:rPr>
          <w:rFonts w:hint="eastAsia" w:ascii="仿宋" w:hAnsi="仿宋" w:eastAsia="仿宋"/>
          <w:sz w:val="32"/>
          <w:szCs w:val="32"/>
        </w:rPr>
        <w:t>加强车辆管理，严格控制公车运行支出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rPr>
        <w:t>0.51</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公车</w:t>
      </w:r>
      <w:r>
        <w:rPr>
          <w:rFonts w:hint="eastAsia" w:ascii="仿宋_GB2312" w:hAnsi="宋体" w:eastAsia="仿宋_GB2312" w:cs="Courier New"/>
          <w:sz w:val="32"/>
          <w:szCs w:val="32"/>
        </w:rPr>
        <w:t>燃料费、维修费、保险费</w:t>
      </w:r>
      <w:r>
        <w:rPr>
          <w:rFonts w:hint="eastAsia" w:ascii="仿宋_GB2312" w:hAnsi="宋体" w:eastAsia="仿宋_GB2312" w:cs="Courier New"/>
          <w:sz w:val="32"/>
          <w:szCs w:val="32"/>
          <w:lang w:eastAsia="zh-CN"/>
        </w:rPr>
        <w:t>、</w:t>
      </w:r>
      <w:r>
        <w:rPr>
          <w:rFonts w:hint="eastAsia" w:ascii="仿宋_GB2312" w:hAnsi="仿宋_GB2312" w:eastAsia="仿宋_GB2312" w:cs="仿宋_GB2312"/>
          <w:color w:val="auto"/>
          <w:sz w:val="32"/>
          <w:szCs w:val="32"/>
          <w:highlight w:val="none"/>
          <w:lang w:val="en-US" w:eastAsia="zh-CN"/>
        </w:rPr>
        <w:t>年检费、路桥费</w:t>
      </w:r>
      <w:r>
        <w:rPr>
          <w:rFonts w:hint="eastAsia" w:ascii="仿宋_GB2312" w:hAnsi="宋体" w:eastAsia="仿宋_GB2312" w:cs="Courier New"/>
          <w:sz w:val="32"/>
          <w:szCs w:val="32"/>
        </w:rPr>
        <w:t>等支出</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w:t>
      </w:r>
      <w:r>
        <w:rPr>
          <w:rFonts w:hint="eastAsia" w:ascii="仿宋_GB2312" w:hAnsi="仿宋_GB2312" w:eastAsia="仿宋_GB2312" w:cs="仿宋_GB2312"/>
          <w:color w:val="auto"/>
          <w:sz w:val="32"/>
          <w:szCs w:val="32"/>
          <w:highlight w:val="none"/>
          <w:lang w:val="en-US" w:eastAsia="zh-CN"/>
        </w:rPr>
        <w:t>为1辆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1.45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严格执行中央“八项”规定，规范公务接待费用管理。</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rPr>
        <w:t>没有政府性基金收入，也没有使用政府性基金安排的支出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年度机关运行经费预算为</w:t>
      </w:r>
      <w:r>
        <w:rPr>
          <w:rFonts w:hint="eastAsia" w:ascii="仿宋_GB2312" w:hAnsi="仿宋_GB2312" w:eastAsia="仿宋_GB2312" w:cs="仿宋_GB2312"/>
          <w:sz w:val="32"/>
          <w:szCs w:val="32"/>
          <w:highlight w:val="none"/>
          <w:lang w:val="en-US" w:eastAsia="zh-CN"/>
        </w:rPr>
        <w:t>33.97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17.35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51.07</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严格执行中央“八项”规定,规范管理，杜绝浪费现象,</w:t>
      </w:r>
      <w:r>
        <w:rPr>
          <w:rFonts w:hint="eastAsia" w:ascii="仿宋_GB2312" w:eastAsia="仿宋_GB2312" w:cs="宋体"/>
          <w:kern w:val="0"/>
          <w:sz w:val="32"/>
          <w:szCs w:val="32"/>
          <w:lang w:val="zh-CN"/>
        </w:rPr>
        <w:t>压缩各项办公经费开支</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整体绩效情况良好，预算执行总额控制在年初预算批复，年度绩效目标完成情况良好。</w:t>
      </w:r>
      <w:r>
        <w:rPr>
          <w:rFonts w:hint="eastAsia" w:ascii="仿宋_GB2312" w:hAnsi="仿宋_GB2312" w:eastAsia="仿宋_GB2312" w:cs="仿宋_GB2312"/>
          <w:b w:val="0"/>
          <w:bCs w:val="0"/>
          <w:color w:val="auto"/>
          <w:sz w:val="32"/>
          <w:szCs w:val="32"/>
          <w:highlight w:val="none"/>
          <w:lang w:val="en-US" w:eastAsia="zh-CN"/>
        </w:rPr>
        <w:t>资金拨付履行完整的审批程序和手续，严格遵守财务管理各项规章制度，本单位完成年初指定的绩效目标，提升了资金使用效益</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w:t>
      </w:r>
      <w:r>
        <w:rPr>
          <w:rFonts w:hint="eastAsia" w:ascii="仿宋_GB2312" w:hAnsi="仿宋_GB2312" w:eastAsia="仿宋_GB2312"/>
          <w:sz w:val="32"/>
          <w:szCs w:val="24"/>
          <w:lang w:val="en-US" w:eastAsia="zh-CN"/>
        </w:rPr>
        <w:t>0.00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3F51722"/>
    <w:rsid w:val="0478364D"/>
    <w:rsid w:val="053D4C0D"/>
    <w:rsid w:val="0557532E"/>
    <w:rsid w:val="05BC012A"/>
    <w:rsid w:val="0799329C"/>
    <w:rsid w:val="08397436"/>
    <w:rsid w:val="086F16A7"/>
    <w:rsid w:val="08FA2007"/>
    <w:rsid w:val="08FC3994"/>
    <w:rsid w:val="097C01EF"/>
    <w:rsid w:val="0A0F7225"/>
    <w:rsid w:val="0A2B7D82"/>
    <w:rsid w:val="0ADC40E9"/>
    <w:rsid w:val="0AE607F4"/>
    <w:rsid w:val="0B386127"/>
    <w:rsid w:val="0B451598"/>
    <w:rsid w:val="0BB6528A"/>
    <w:rsid w:val="0BC8771C"/>
    <w:rsid w:val="0BEC73F4"/>
    <w:rsid w:val="0C392698"/>
    <w:rsid w:val="0CAB3439"/>
    <w:rsid w:val="0D2E05FF"/>
    <w:rsid w:val="10B369AC"/>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8C7DAF"/>
    <w:rsid w:val="1E994F4A"/>
    <w:rsid w:val="1EAF0224"/>
    <w:rsid w:val="1EFD6978"/>
    <w:rsid w:val="1F2230A4"/>
    <w:rsid w:val="20210932"/>
    <w:rsid w:val="202448E0"/>
    <w:rsid w:val="20F614FE"/>
    <w:rsid w:val="21302EEA"/>
    <w:rsid w:val="213D42E5"/>
    <w:rsid w:val="22376FB5"/>
    <w:rsid w:val="235318E1"/>
    <w:rsid w:val="23E152D7"/>
    <w:rsid w:val="23EE2489"/>
    <w:rsid w:val="255D43C8"/>
    <w:rsid w:val="26714EF8"/>
    <w:rsid w:val="26876BDD"/>
    <w:rsid w:val="2714632A"/>
    <w:rsid w:val="27541E73"/>
    <w:rsid w:val="27B0539E"/>
    <w:rsid w:val="29365CF8"/>
    <w:rsid w:val="299469B3"/>
    <w:rsid w:val="2A805789"/>
    <w:rsid w:val="2AAA2973"/>
    <w:rsid w:val="2ADC0D75"/>
    <w:rsid w:val="2B4A0E52"/>
    <w:rsid w:val="2C975890"/>
    <w:rsid w:val="2CEB6A31"/>
    <w:rsid w:val="2DA971FC"/>
    <w:rsid w:val="2DEF21BB"/>
    <w:rsid w:val="2E4A2F05"/>
    <w:rsid w:val="2ECC1061"/>
    <w:rsid w:val="2FA476AD"/>
    <w:rsid w:val="303F7540"/>
    <w:rsid w:val="310C0498"/>
    <w:rsid w:val="31DD00BF"/>
    <w:rsid w:val="327F0422"/>
    <w:rsid w:val="3293174C"/>
    <w:rsid w:val="32BB38D4"/>
    <w:rsid w:val="32C9376D"/>
    <w:rsid w:val="33033FDB"/>
    <w:rsid w:val="33780472"/>
    <w:rsid w:val="33AF0905"/>
    <w:rsid w:val="355932F4"/>
    <w:rsid w:val="35611882"/>
    <w:rsid w:val="36746FC3"/>
    <w:rsid w:val="368763AE"/>
    <w:rsid w:val="38661F15"/>
    <w:rsid w:val="391C790A"/>
    <w:rsid w:val="395D59E7"/>
    <w:rsid w:val="39A93932"/>
    <w:rsid w:val="3A915562"/>
    <w:rsid w:val="3B8D4765"/>
    <w:rsid w:val="3C000DBA"/>
    <w:rsid w:val="3D6169B7"/>
    <w:rsid w:val="3DC045D3"/>
    <w:rsid w:val="3E504FFB"/>
    <w:rsid w:val="3E615CD0"/>
    <w:rsid w:val="3E9C47F6"/>
    <w:rsid w:val="3F8B0112"/>
    <w:rsid w:val="3FAB3095"/>
    <w:rsid w:val="3FE45947"/>
    <w:rsid w:val="4067362D"/>
    <w:rsid w:val="41242965"/>
    <w:rsid w:val="42FA6050"/>
    <w:rsid w:val="435671EA"/>
    <w:rsid w:val="440809E9"/>
    <w:rsid w:val="442407A6"/>
    <w:rsid w:val="44805EA1"/>
    <w:rsid w:val="45710696"/>
    <w:rsid w:val="46142B1B"/>
    <w:rsid w:val="47E60DD0"/>
    <w:rsid w:val="48735039"/>
    <w:rsid w:val="4895319D"/>
    <w:rsid w:val="492C684B"/>
    <w:rsid w:val="49500594"/>
    <w:rsid w:val="499D7423"/>
    <w:rsid w:val="49E7604E"/>
    <w:rsid w:val="4BF67CDD"/>
    <w:rsid w:val="4C0D0B41"/>
    <w:rsid w:val="4D173441"/>
    <w:rsid w:val="4D603DD6"/>
    <w:rsid w:val="4D645954"/>
    <w:rsid w:val="4EBF010F"/>
    <w:rsid w:val="4F1F038A"/>
    <w:rsid w:val="4F471EB0"/>
    <w:rsid w:val="4FF96FA7"/>
    <w:rsid w:val="51331326"/>
    <w:rsid w:val="51740A7F"/>
    <w:rsid w:val="51A5541E"/>
    <w:rsid w:val="51C96242"/>
    <w:rsid w:val="53906AE1"/>
    <w:rsid w:val="53D33B51"/>
    <w:rsid w:val="54F46F60"/>
    <w:rsid w:val="55A37BEA"/>
    <w:rsid w:val="56362CD2"/>
    <w:rsid w:val="5784687B"/>
    <w:rsid w:val="57846959"/>
    <w:rsid w:val="578E6A87"/>
    <w:rsid w:val="5A29667F"/>
    <w:rsid w:val="5AC2203A"/>
    <w:rsid w:val="5CBB3334"/>
    <w:rsid w:val="5D115FAF"/>
    <w:rsid w:val="62811722"/>
    <w:rsid w:val="62E75A72"/>
    <w:rsid w:val="64571880"/>
    <w:rsid w:val="649125B6"/>
    <w:rsid w:val="652F4C1A"/>
    <w:rsid w:val="666D37F1"/>
    <w:rsid w:val="67087D8F"/>
    <w:rsid w:val="671F687E"/>
    <w:rsid w:val="67F415F8"/>
    <w:rsid w:val="67FF951E"/>
    <w:rsid w:val="682640D1"/>
    <w:rsid w:val="684B73E5"/>
    <w:rsid w:val="6A047A2A"/>
    <w:rsid w:val="6D4F7218"/>
    <w:rsid w:val="6DA24F07"/>
    <w:rsid w:val="6EFB7548"/>
    <w:rsid w:val="6F3831C3"/>
    <w:rsid w:val="6F8B71C1"/>
    <w:rsid w:val="70753482"/>
    <w:rsid w:val="707B522A"/>
    <w:rsid w:val="7090364B"/>
    <w:rsid w:val="72DA4A88"/>
    <w:rsid w:val="73162F91"/>
    <w:rsid w:val="73194D05"/>
    <w:rsid w:val="73A83B0E"/>
    <w:rsid w:val="744D3EF9"/>
    <w:rsid w:val="74794411"/>
    <w:rsid w:val="75867C40"/>
    <w:rsid w:val="75B10B26"/>
    <w:rsid w:val="75E07CF9"/>
    <w:rsid w:val="76432199"/>
    <w:rsid w:val="76F44829"/>
    <w:rsid w:val="77A267C0"/>
    <w:rsid w:val="77C07978"/>
    <w:rsid w:val="78882278"/>
    <w:rsid w:val="78B118A6"/>
    <w:rsid w:val="79135044"/>
    <w:rsid w:val="7A2D7B93"/>
    <w:rsid w:val="7A7D0F99"/>
    <w:rsid w:val="7BEA37FE"/>
    <w:rsid w:val="7C464F90"/>
    <w:rsid w:val="7D1A4E68"/>
    <w:rsid w:val="7D465921"/>
    <w:rsid w:val="7E4A0E7C"/>
    <w:rsid w:val="7E922262"/>
    <w:rsid w:val="7EFD449D"/>
    <w:rsid w:val="7FE509FA"/>
    <w:rsid w:val="BF7F3C45"/>
    <w:rsid w:val="CFFF5212"/>
    <w:rsid w:val="D7273E7E"/>
    <w:rsid w:val="F67BBD05"/>
    <w:rsid w:val="FF9BB3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8061</Words>
  <Characters>9760</Characters>
  <Lines>60</Lines>
  <Paragraphs>16</Paragraphs>
  <TotalTime>53.3333333333333</TotalTime>
  <ScaleCrop>false</ScaleCrop>
  <LinksUpToDate>false</LinksUpToDate>
  <CharactersWithSpaces>9980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2023-05-10T11:20:24Z</cp:lastPrinted>
  <dcterms:modified xsi:type="dcterms:W3CDTF">2023-05-29T03:11:49Z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521ED45305A14D9F9A1479BD21227580_13</vt:lpwstr>
  </property>
</Properties>
</file>