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中共许昌市委网络安全和信息化委员会办公室</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both"/>
        <w:rPr>
          <w:rFonts w:hint="eastAsia" w:ascii="黑体" w:hAnsi="黑体" w:eastAsia="黑体" w:cs="黑体"/>
          <w:sz w:val="52"/>
          <w:szCs w:val="52"/>
          <w:highlight w:val="none"/>
        </w:rPr>
      </w:pPr>
    </w:p>
    <w:p>
      <w:pPr>
        <w:pStyle w:val="2"/>
        <w:rPr>
          <w:rFonts w:hint="eastAsia" w:ascii="黑体" w:hAnsi="黑体" w:eastAsia="黑体" w:cs="黑体"/>
          <w:sz w:val="52"/>
          <w:szCs w:val="52"/>
          <w:highlight w:val="none"/>
        </w:rPr>
      </w:pPr>
    </w:p>
    <w:p>
      <w:pPr>
        <w:pStyle w:val="2"/>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40"/>
          <w:szCs w:val="40"/>
          <w:highlight w:val="none"/>
        </w:rPr>
        <w:t>二〇二二年</w:t>
      </w:r>
      <w:r>
        <w:rPr>
          <w:rFonts w:hint="eastAsia" w:ascii="黑体" w:hAnsi="黑体" w:eastAsia="黑体" w:cs="黑体"/>
          <w:sz w:val="40"/>
          <w:szCs w:val="40"/>
          <w:highlight w:val="none"/>
          <w:lang w:eastAsia="zh-CN"/>
        </w:rPr>
        <w:t>九</w:t>
      </w:r>
      <w:r>
        <w:rPr>
          <w:rFonts w:hint="eastAsia" w:ascii="黑体" w:hAnsi="黑体" w:eastAsia="黑体" w:cs="黑体"/>
          <w:sz w:val="40"/>
          <w:szCs w:val="40"/>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中共许昌市委网络安全和信息化委员会办公室</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中共许昌市委网络安全和信息化委员会办公室（汇总）</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仿宋_GB2312" w:eastAsia="仿宋_GB2312" w:cs="仿宋_GB2312"/>
          <w:b w:val="0"/>
          <w:bCs/>
          <w:color w:val="000000"/>
          <w:sz w:val="32"/>
          <w:szCs w:val="32"/>
          <w:lang w:val="en-US" w:eastAsia="zh-CN"/>
        </w:rPr>
        <w:t>在市委网信委正确领导下，</w:t>
      </w:r>
      <w:r>
        <w:rPr>
          <w:rFonts w:hint="eastAsia" w:ascii="仿宋_GB2312" w:hAnsi="仿宋_GB2312" w:eastAsia="仿宋_GB2312" w:cs="仿宋_GB2312"/>
          <w:b w:val="0"/>
          <w:bCs/>
          <w:color w:val="000000"/>
          <w:sz w:val="32"/>
          <w:szCs w:val="32"/>
        </w:rPr>
        <w:t>围绕中心、服务大局，不断提升网信工作水平，为许昌“智造之都、宜居之城”建设提供有力的网信工作保障。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中共许昌市委网络安全和信息化委员会办公室</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sz w:val="32"/>
          <w:szCs w:val="32"/>
          <w:lang w:val="en-US" w:eastAsia="zh-CN"/>
        </w:rPr>
        <w:t>综合科（政策法规科）</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sz w:val="32"/>
          <w:szCs w:val="32"/>
          <w:lang w:val="en-US" w:eastAsia="zh-CN"/>
        </w:rPr>
        <w:t>网络宣传科、网络管理和执法督查科</w:t>
      </w:r>
      <w:r>
        <w:rPr>
          <w:rFonts w:hint="eastAsia" w:ascii="仿宋_GB2312" w:hAnsi="仿宋_GB2312" w:eastAsia="仿宋_GB2312" w:cs="仿宋_GB2312"/>
          <w:kern w:val="0"/>
          <w:sz w:val="32"/>
          <w:szCs w:val="32"/>
          <w:highlight w:val="none"/>
        </w:rPr>
        <w:t>。另设有</w:t>
      </w:r>
      <w:r>
        <w:rPr>
          <w:rFonts w:hint="eastAsia" w:ascii="仿宋_GB2312" w:hAnsi="仿宋_GB2312" w:eastAsia="仿宋_GB2312" w:cs="仿宋_GB2312"/>
          <w:sz w:val="32"/>
          <w:szCs w:val="32"/>
          <w:lang w:val="en-US" w:eastAsia="zh-CN"/>
        </w:rPr>
        <w:t>许昌市委互联网应急指挥中心</w:t>
      </w:r>
      <w:r>
        <w:rPr>
          <w:rFonts w:hint="eastAsia" w:ascii="仿宋_GB2312" w:hAnsi="仿宋_GB2312" w:eastAsia="仿宋_GB2312" w:cs="仿宋_GB2312"/>
          <w:kern w:val="0"/>
          <w:sz w:val="32"/>
          <w:szCs w:val="32"/>
          <w:highlight w:val="none"/>
        </w:rPr>
        <w:t>和</w:t>
      </w:r>
      <w:r>
        <w:rPr>
          <w:rFonts w:hint="eastAsia" w:ascii="仿宋_GB2312" w:hAnsi="仿宋_GB2312" w:eastAsia="仿宋_GB2312" w:cs="仿宋_GB2312"/>
          <w:sz w:val="32"/>
          <w:szCs w:val="32"/>
          <w:lang w:val="en-US" w:eastAsia="zh-CN"/>
        </w:rPr>
        <w:t>许昌市互联网违法和不良信息举报中心</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val="en-US" w:eastAsia="zh-CN"/>
        </w:rPr>
        <w:t>中共许昌市委网络安全和信息化委员会办公室</w:t>
      </w:r>
      <w:r>
        <w:rPr>
          <w:rFonts w:hint="eastAsia" w:ascii="仿宋_GB2312" w:hAnsi="仿宋_GB2312" w:eastAsia="仿宋_GB2312" w:cs="仿宋_GB2312"/>
          <w:kern w:val="0"/>
          <w:sz w:val="32"/>
          <w:szCs w:val="32"/>
          <w:highlight w:val="none"/>
        </w:rPr>
        <w:t>部门决算包括：本级决算。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纳入本部门2021年度部门决算编制范围的单位共1个，具体是：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中共许昌市委网络安全和信息化委员会办公室本级（中共许昌市委网络安全和信息化委员会办公室本级</w:t>
      </w:r>
      <w:bookmarkStart w:id="0" w:name="_GoBack"/>
      <w:bookmarkEnd w:id="0"/>
      <w:r>
        <w:rPr>
          <w:rFonts w:hint="eastAsia" w:ascii="仿宋_GB2312" w:hAnsi="仿宋_GB2312" w:eastAsia="仿宋_GB2312" w:cs="仿宋_GB2312"/>
          <w:kern w:val="0"/>
          <w:sz w:val="32"/>
          <w:szCs w:val="32"/>
          <w:highlight w:val="none"/>
          <w:lang w:val="en-US" w:eastAsia="zh-CN"/>
        </w:rPr>
        <w:t>核算包含</w:t>
      </w:r>
      <w:r>
        <w:rPr>
          <w:rFonts w:hint="eastAsia" w:ascii="仿宋_GB2312" w:hAnsi="仿宋_GB2312" w:eastAsia="仿宋_GB2312" w:cs="仿宋_GB2312"/>
          <w:sz w:val="32"/>
          <w:szCs w:val="32"/>
          <w:lang w:val="en-US" w:eastAsia="zh-CN"/>
        </w:rPr>
        <w:t>许昌市互联网应急指挥中心</w:t>
      </w:r>
      <w:r>
        <w:rPr>
          <w:rFonts w:hint="eastAsia" w:ascii="仿宋_GB2312" w:hAnsi="仿宋_GB2312" w:eastAsia="仿宋_GB2312" w:cs="仿宋_GB2312"/>
          <w:kern w:val="0"/>
          <w:sz w:val="32"/>
          <w:szCs w:val="32"/>
          <w:highlight w:val="none"/>
        </w:rPr>
        <w:t>和</w:t>
      </w:r>
      <w:r>
        <w:rPr>
          <w:rFonts w:hint="eastAsia" w:ascii="仿宋_GB2312" w:hAnsi="仿宋_GB2312" w:eastAsia="仿宋_GB2312" w:cs="仿宋_GB2312"/>
          <w:sz w:val="32"/>
          <w:szCs w:val="32"/>
          <w:lang w:val="en-US" w:eastAsia="zh-CN"/>
        </w:rPr>
        <w:t>许昌市互联网违法和不良信息举报中心的预算资金</w:t>
      </w:r>
      <w:r>
        <w:rPr>
          <w:rFonts w:hint="eastAsia" w:ascii="仿宋_GB2312" w:hAnsi="仿宋_GB2312" w:eastAsia="仿宋_GB2312" w:cs="仿宋_GB2312"/>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140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96"/>
        <w:gridCol w:w="895"/>
        <w:gridCol w:w="1195"/>
        <w:gridCol w:w="4795"/>
        <w:gridCol w:w="895"/>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部门：中共许昌市委网络安全和信息化委员会办公室</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974"/>
        <w:gridCol w:w="1357"/>
        <w:gridCol w:w="1357"/>
        <w:gridCol w:w="1076"/>
        <w:gridCol w:w="1076"/>
        <w:gridCol w:w="1076"/>
        <w:gridCol w:w="1179"/>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4010"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部门：中共许昌市委网络安全和信息化委员会办公室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本年收入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财政拨款</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上级补助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375.24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375.24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网信事务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913"/>
        <w:gridCol w:w="1442"/>
        <w:gridCol w:w="1442"/>
        <w:gridCol w:w="1442"/>
        <w:gridCol w:w="1165"/>
        <w:gridCol w:w="1165"/>
        <w:gridCol w:w="1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6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部门：中共许昌市委网络安全和信息化委员会办公室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557.60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网信事务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9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75"/>
        <w:gridCol w:w="587"/>
        <w:gridCol w:w="1185"/>
        <w:gridCol w:w="4185"/>
        <w:gridCol w:w="587"/>
        <w:gridCol w:w="1022"/>
        <w:gridCol w:w="1421"/>
        <w:gridCol w:w="1147"/>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495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部门：中共许昌市委网络安全和信息化委员会办公室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2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5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5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32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182.36</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495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16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953"/>
        <w:gridCol w:w="1961"/>
        <w:gridCol w:w="1961"/>
        <w:gridCol w:w="1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1670"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部门：中共许昌市委网络安全和信息化委员会办公室</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557.60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网信事务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3516"/>
        <w:gridCol w:w="876"/>
        <w:gridCol w:w="766"/>
        <w:gridCol w:w="2416"/>
        <w:gridCol w:w="766"/>
        <w:gridCol w:w="766"/>
        <w:gridCol w:w="4396"/>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483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部门：中共许昌市委网络安全和信息化委员会办公室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4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6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0.79</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260.90</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6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40"/>
        <w:gridCol w:w="1140"/>
        <w:gridCol w:w="1140"/>
        <w:gridCol w:w="1140"/>
        <w:gridCol w:w="1140"/>
        <w:gridCol w:w="1140"/>
        <w:gridCol w:w="1140"/>
        <w:gridCol w:w="1140"/>
        <w:gridCol w:w="1140"/>
        <w:gridCol w:w="1140"/>
        <w:gridCol w:w="114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368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部门：中共许昌市委网络安全和信息化委员会办公室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8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84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2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2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14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368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8"/>
        <w:gridCol w:w="408"/>
        <w:gridCol w:w="408"/>
        <w:gridCol w:w="2016"/>
        <w:gridCol w:w="1795"/>
        <w:gridCol w:w="1795"/>
        <w:gridCol w:w="1795"/>
        <w:gridCol w:w="1795"/>
        <w:gridCol w:w="1795"/>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401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部门：中共许昌市委网络安全和信息化委员会办公室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54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5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jc w:val="center"/>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557.60</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59.17</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上年度项目经费结余到本年度支出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375.24</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375.24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557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302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27</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73</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557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59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11.87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上年度项目经费结余到本年度支出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557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243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77.61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上年度项目经费结余到本年度支出和本年度项目经费支出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557.60</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532.45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49</w:t>
      </w:r>
      <w:r>
        <w:rPr>
          <w:rFonts w:hint="eastAsia" w:ascii="仿宋_GB2312" w:hAnsi="仿宋_GB2312" w:eastAsia="仿宋_GB2312" w:cs="仿宋_GB2312"/>
          <w:sz w:val="32"/>
          <w:szCs w:val="32"/>
          <w:highlight w:val="none"/>
        </w:rPr>
        <w:t>%；外交（类）支出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%；社会保障和就业（类）支出</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%；卫生健康支出（类）支出</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36</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269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557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206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63</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1．一般公共服务支出（类）群众团体事务（款）工会事务（项）。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2．一般公共服务支出（类）党委办公厅（室）及相关机构事务（款）行政运行（项）。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102.60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cs="仿宋_GB2312"/>
          <w:sz w:val="32"/>
          <w:szCs w:val="32"/>
          <w:highlight w:val="none"/>
          <w:lang w:val="en-US" w:eastAsia="zh-CN"/>
        </w:rPr>
        <w:t>。</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．一般公共服务支出（类）</w:t>
      </w:r>
      <w:r>
        <w:rPr>
          <w:rFonts w:hint="eastAsia" w:ascii="仿宋_GB2312" w:hAnsi="仿宋_GB2312" w:eastAsia="仿宋_GB2312" w:cs="仿宋_GB2312"/>
          <w:b/>
          <w:bCs/>
          <w:sz w:val="32"/>
          <w:szCs w:val="32"/>
          <w:highlight w:val="none"/>
          <w:lang w:val="en-US" w:eastAsia="zh-CN"/>
        </w:rPr>
        <w:t>网信事务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137.63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本年度新进人员追加的人员经费支出。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．一般公共服务支出（类）</w:t>
      </w:r>
      <w:r>
        <w:rPr>
          <w:rFonts w:hint="eastAsia" w:ascii="仿宋_GB2312" w:hAnsi="仿宋_GB2312" w:eastAsia="仿宋_GB2312" w:cs="仿宋_GB2312"/>
          <w:b/>
          <w:bCs/>
          <w:sz w:val="32"/>
          <w:szCs w:val="32"/>
          <w:highlight w:val="none"/>
          <w:lang w:val="en-US" w:eastAsia="zh-CN"/>
        </w:rPr>
        <w:t>网信事务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一般行政管理事务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上年度专项结余经费和追加本年度专项经费的支出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单位根据</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val="en-US" w:eastAsia="zh-CN"/>
        </w:rPr>
        <w:t>实际</w:t>
      </w:r>
      <w:r>
        <w:rPr>
          <w:rFonts w:hint="eastAsia" w:ascii="仿宋_GB2312" w:hAnsi="仿宋_GB2312" w:eastAsia="仿宋_GB2312" w:cs="仿宋_GB2312"/>
          <w:b w:val="0"/>
          <w:bCs w:val="0"/>
          <w:sz w:val="32"/>
          <w:szCs w:val="32"/>
          <w:highlight w:val="none"/>
        </w:rPr>
        <w:t>支出</w:t>
      </w:r>
      <w:r>
        <w:rPr>
          <w:rFonts w:hint="eastAsia" w:ascii="仿宋_GB2312" w:hAnsi="仿宋_GB2312" w:eastAsia="仿宋_GB2312" w:cs="仿宋_GB2312"/>
          <w:b w:val="0"/>
          <w:bCs w:val="0"/>
          <w:sz w:val="32"/>
          <w:szCs w:val="32"/>
          <w:highlight w:val="none"/>
          <w:lang w:val="en-US" w:eastAsia="zh-CN"/>
        </w:rPr>
        <w:t>情况，据实合理编辑</w:t>
      </w:r>
      <w:r>
        <w:rPr>
          <w:rFonts w:hint="eastAsia" w:ascii="仿宋_GB2312" w:hAnsi="仿宋_GB2312" w:eastAsia="仿宋_GB2312" w:cs="仿宋_GB2312"/>
          <w:b w:val="0"/>
          <w:bCs w:val="0"/>
          <w:sz w:val="32"/>
          <w:szCs w:val="32"/>
          <w:highlight w:val="none"/>
        </w:rPr>
        <w:t>。</w:t>
      </w:r>
    </w:p>
    <w:p>
      <w:pPr>
        <w:widowControl/>
        <w:spacing w:line="590" w:lineRule="exact"/>
        <w:ind w:firstLine="643"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．卫生健康支出（类）行政事业单位医疗（款）行政单位医疗（项）。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7.37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单位根据</w:t>
      </w:r>
      <w:r>
        <w:rPr>
          <w:rFonts w:hint="eastAsia" w:ascii="仿宋_GB2312" w:hAnsi="仿宋_GB2312" w:eastAsia="仿宋_GB2312" w:cs="仿宋_GB2312"/>
          <w:b w:val="0"/>
          <w:bCs w:val="0"/>
          <w:sz w:val="32"/>
          <w:szCs w:val="32"/>
          <w:highlight w:val="none"/>
        </w:rPr>
        <w:t>行政单位医疗费</w:t>
      </w:r>
      <w:r>
        <w:rPr>
          <w:rFonts w:hint="eastAsia" w:ascii="仿宋_GB2312" w:hAnsi="仿宋_GB2312" w:eastAsia="仿宋_GB2312" w:cs="仿宋_GB2312"/>
          <w:sz w:val="32"/>
          <w:szCs w:val="32"/>
          <w:highlight w:val="none"/>
          <w:lang w:val="en-US" w:eastAsia="zh-CN"/>
        </w:rPr>
        <w:t>实际</w:t>
      </w:r>
      <w:r>
        <w:rPr>
          <w:rFonts w:hint="eastAsia" w:ascii="仿宋_GB2312" w:hAnsi="仿宋_GB2312" w:eastAsia="仿宋_GB2312" w:cs="仿宋_GB2312"/>
          <w:b w:val="0"/>
          <w:bCs w:val="0"/>
          <w:sz w:val="32"/>
          <w:szCs w:val="32"/>
          <w:highlight w:val="none"/>
        </w:rPr>
        <w:t>支出</w:t>
      </w:r>
      <w:r>
        <w:rPr>
          <w:rFonts w:hint="eastAsia" w:ascii="仿宋_GB2312" w:hAnsi="仿宋_GB2312" w:eastAsia="仿宋_GB2312" w:cs="仿宋_GB2312"/>
          <w:b w:val="0"/>
          <w:bCs w:val="0"/>
          <w:sz w:val="32"/>
          <w:szCs w:val="32"/>
          <w:highlight w:val="none"/>
          <w:lang w:val="en-US" w:eastAsia="zh-CN"/>
        </w:rPr>
        <w:t>情况，据实合理编辑</w:t>
      </w:r>
      <w:r>
        <w:rPr>
          <w:rFonts w:hint="eastAsia" w:ascii="仿宋_GB2312" w:hAnsi="仿宋_GB2312" w:eastAsia="仿宋_GB2312" w:cs="仿宋_GB2312"/>
          <w:b w:val="0"/>
          <w:bCs w:val="0"/>
          <w:sz w:val="32"/>
          <w:szCs w:val="32"/>
          <w:highlight w:val="none"/>
        </w:rPr>
        <w:t>。</w:t>
      </w:r>
    </w:p>
    <w:p>
      <w:pPr>
        <w:widowControl/>
        <w:spacing w:line="590" w:lineRule="exact"/>
        <w:ind w:firstLine="643"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．卫生健康支出（类）行政事业单位医疗（款）公务员医疗补助（项）。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7.02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单位根据</w:t>
      </w:r>
      <w:r>
        <w:rPr>
          <w:rFonts w:hint="eastAsia" w:ascii="仿宋_GB2312" w:hAnsi="仿宋_GB2312" w:eastAsia="仿宋_GB2312" w:cs="仿宋_GB2312"/>
          <w:b w:val="0"/>
          <w:bCs w:val="0"/>
          <w:sz w:val="32"/>
          <w:szCs w:val="32"/>
          <w:highlight w:val="none"/>
        </w:rPr>
        <w:t>公务员医疗补助</w:t>
      </w:r>
      <w:r>
        <w:rPr>
          <w:rFonts w:hint="eastAsia" w:ascii="仿宋_GB2312" w:hAnsi="仿宋_GB2312" w:eastAsia="仿宋_GB2312" w:cs="仿宋_GB2312"/>
          <w:sz w:val="32"/>
          <w:szCs w:val="32"/>
          <w:highlight w:val="none"/>
          <w:lang w:val="en-US" w:eastAsia="zh-CN"/>
        </w:rPr>
        <w:t>实际</w:t>
      </w:r>
      <w:r>
        <w:rPr>
          <w:rFonts w:hint="eastAsia" w:ascii="仿宋_GB2312" w:hAnsi="仿宋_GB2312" w:eastAsia="仿宋_GB2312" w:cs="仿宋_GB2312"/>
          <w:b w:val="0"/>
          <w:bCs w:val="0"/>
          <w:sz w:val="32"/>
          <w:szCs w:val="32"/>
          <w:highlight w:val="none"/>
        </w:rPr>
        <w:t>支出</w:t>
      </w:r>
      <w:r>
        <w:rPr>
          <w:rFonts w:hint="eastAsia" w:ascii="仿宋_GB2312" w:hAnsi="仿宋_GB2312" w:eastAsia="仿宋_GB2312" w:cs="仿宋_GB2312"/>
          <w:b w:val="0"/>
          <w:bCs w:val="0"/>
          <w:sz w:val="32"/>
          <w:szCs w:val="32"/>
          <w:highlight w:val="none"/>
          <w:lang w:val="en-US" w:eastAsia="zh-CN"/>
        </w:rPr>
        <w:t>情况，据实合理编辑</w:t>
      </w:r>
      <w:r>
        <w:rPr>
          <w:rFonts w:hint="eastAsia" w:ascii="仿宋_GB2312" w:hAnsi="仿宋_GB2312" w:eastAsia="仿宋_GB2312" w:cs="仿宋_GB2312"/>
          <w:b w:val="0"/>
          <w:bCs w:val="0"/>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302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260.90</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奖金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伙食补助费、机关事业单位基本养老保险缴费、职工基本医疗保险缴费</w:t>
      </w:r>
      <w:r>
        <w:rPr>
          <w:rFonts w:hint="eastAsia" w:ascii="仿宋_GB2312" w:hAnsi="仿宋_GB2312" w:eastAsia="仿宋_GB2312" w:cs="仿宋_GB2312"/>
          <w:sz w:val="32"/>
          <w:szCs w:val="32"/>
          <w:highlight w:val="none"/>
          <w:lang w:eastAsia="zh-CN"/>
        </w:rPr>
        <w:t>、公务员医疗补助缴费、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其他工资福利支出、生活补助；公用经费</w:t>
      </w:r>
      <w:r>
        <w:rPr>
          <w:rFonts w:hint="eastAsia" w:ascii="仿宋_GB2312" w:hAnsi="仿宋_GB2312" w:eastAsia="仿宋_GB2312" w:cs="仿宋_GB2312"/>
          <w:sz w:val="32"/>
          <w:szCs w:val="32"/>
          <w:highlight w:val="none"/>
          <w:lang w:val="en-US" w:eastAsia="zh-CN"/>
        </w:rPr>
        <w:t>41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70</w:t>
      </w:r>
      <w:r>
        <w:rPr>
          <w:rFonts w:hint="eastAsia" w:ascii="仿宋_GB2312" w:hAnsi="仿宋_GB2312" w:eastAsia="仿宋_GB2312" w:cs="仿宋_GB2312"/>
          <w:sz w:val="32"/>
          <w:szCs w:val="32"/>
          <w:highlight w:val="none"/>
        </w:rPr>
        <w:t>万元，主要包括：办公费、印刷费、水费、邮电费、差旅费、维修（护）费、会议费、公务接待费、劳务费、工会经费、福利费、公务用车运行维护费、其他交通费用、其他商品和服务支出、办公设备购置。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72</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按照只减不增要求，坚持节约“三公”费用</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53.93</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46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按照只减不增要求，坚持节约“三公”费用</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台，其中</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03</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公务用车维修、保修、购买汽油和保险等支出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2.65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按照只减不增要求，减少公务接待费用</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88</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省委网信办科技展览馆来许巡展和网络安全技术员在许期间的住宿和伙食费用</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不存在项目年末结转和结余资金数额较大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我</w:t>
      </w:r>
      <w:r>
        <w:rPr>
          <w:rFonts w:hint="eastAsia" w:ascii="仿宋_GB2312" w:hAnsi="仿宋_GB2312" w:eastAsia="仿宋_GB2312" w:cs="仿宋_GB2312"/>
          <w:sz w:val="32"/>
          <w:szCs w:val="32"/>
          <w:highlight w:val="none"/>
          <w:lang w:val="en-US" w:eastAsia="zh-CN"/>
        </w:rPr>
        <w:t>部门2021年度没有政府性基金收入，也没有使用政府性基金安排的支出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41.97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我</w:t>
      </w:r>
      <w:r>
        <w:rPr>
          <w:rFonts w:hint="eastAsia" w:ascii="仿宋_GB2312" w:hAnsi="仿宋_GB2312" w:eastAsia="仿宋_GB2312" w:cs="仿宋_GB2312"/>
          <w:sz w:val="32"/>
          <w:szCs w:val="32"/>
          <w:highlight w:val="none"/>
          <w:lang w:val="en-US" w:eastAsia="zh-CN"/>
        </w:rPr>
        <w:t>单位按照厉行节约要求，根据单位实际情况支出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118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03</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118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03</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部门纳入预算绩效管理的支出总额为557.60万元，其中：基本支出302.60万元；支出项目2个，支出金额255万元。开展项目绩效自评项目2个，自评金额255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市委网信办2021年度纳入部门整体预算绩效管理的金额557.60万元，部门整体预算绩效目标、绩效指标设定情况整体良好。二是项目绩效自评情况。我部门共有2个项目批复了绩效目标，项目金额255.00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90分。其中：0个项目评价等级为“优”、2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2"/>
        <w:ind w:left="0" w:leftChars="0" w:firstLine="0" w:firstLineChars="0"/>
        <w:rPr>
          <w:rFonts w:hint="eastAsia"/>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NTVkZGU0NWE5YzNkZDQ4OWRmMWMwNmM5MzgzZDE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5D167E"/>
    <w:rsid w:val="0478364D"/>
    <w:rsid w:val="053D4C0D"/>
    <w:rsid w:val="0557532E"/>
    <w:rsid w:val="06181458"/>
    <w:rsid w:val="0799329C"/>
    <w:rsid w:val="08397436"/>
    <w:rsid w:val="086F16A7"/>
    <w:rsid w:val="0A0F7225"/>
    <w:rsid w:val="0A2B7D82"/>
    <w:rsid w:val="0ADC40E9"/>
    <w:rsid w:val="0AE607F4"/>
    <w:rsid w:val="0B386127"/>
    <w:rsid w:val="0B451598"/>
    <w:rsid w:val="0BEC73F4"/>
    <w:rsid w:val="0C392698"/>
    <w:rsid w:val="0C514433"/>
    <w:rsid w:val="0E06225A"/>
    <w:rsid w:val="0E821359"/>
    <w:rsid w:val="10BD36F6"/>
    <w:rsid w:val="11BF0649"/>
    <w:rsid w:val="123E3E08"/>
    <w:rsid w:val="133212F4"/>
    <w:rsid w:val="1349746A"/>
    <w:rsid w:val="13D22E22"/>
    <w:rsid w:val="15D03D86"/>
    <w:rsid w:val="161C2DFF"/>
    <w:rsid w:val="16373578"/>
    <w:rsid w:val="16D3336B"/>
    <w:rsid w:val="17200028"/>
    <w:rsid w:val="17806C36"/>
    <w:rsid w:val="17A74F62"/>
    <w:rsid w:val="18A47774"/>
    <w:rsid w:val="18E44EA2"/>
    <w:rsid w:val="1A61321E"/>
    <w:rsid w:val="1A8D28EB"/>
    <w:rsid w:val="1A9F2D78"/>
    <w:rsid w:val="1B2E6FD8"/>
    <w:rsid w:val="1B877D21"/>
    <w:rsid w:val="1C4319A9"/>
    <w:rsid w:val="1E443B4B"/>
    <w:rsid w:val="1E994F4A"/>
    <w:rsid w:val="1EAF0224"/>
    <w:rsid w:val="1F2230A4"/>
    <w:rsid w:val="20210932"/>
    <w:rsid w:val="202448E0"/>
    <w:rsid w:val="20F614FE"/>
    <w:rsid w:val="21302EEA"/>
    <w:rsid w:val="221E5E00"/>
    <w:rsid w:val="22376FB5"/>
    <w:rsid w:val="23E152D7"/>
    <w:rsid w:val="23EE2489"/>
    <w:rsid w:val="255D43C8"/>
    <w:rsid w:val="26714EF8"/>
    <w:rsid w:val="26857E2C"/>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0B2441F"/>
    <w:rsid w:val="31DD00BF"/>
    <w:rsid w:val="3293174C"/>
    <w:rsid w:val="32BB38D4"/>
    <w:rsid w:val="32C9376D"/>
    <w:rsid w:val="33780472"/>
    <w:rsid w:val="33AF0905"/>
    <w:rsid w:val="355932F4"/>
    <w:rsid w:val="35611882"/>
    <w:rsid w:val="36746FC3"/>
    <w:rsid w:val="368763AE"/>
    <w:rsid w:val="395D59E7"/>
    <w:rsid w:val="39A93932"/>
    <w:rsid w:val="39DD46AF"/>
    <w:rsid w:val="3A0B04CF"/>
    <w:rsid w:val="3A915562"/>
    <w:rsid w:val="3B8D4765"/>
    <w:rsid w:val="3C000DBA"/>
    <w:rsid w:val="3C947F03"/>
    <w:rsid w:val="3DC045D3"/>
    <w:rsid w:val="3E504FFB"/>
    <w:rsid w:val="3E615CD0"/>
    <w:rsid w:val="3E9C47F6"/>
    <w:rsid w:val="3EFFF254"/>
    <w:rsid w:val="3F8B0112"/>
    <w:rsid w:val="3FAB3095"/>
    <w:rsid w:val="3FE45947"/>
    <w:rsid w:val="40AB4931"/>
    <w:rsid w:val="41242965"/>
    <w:rsid w:val="41C943EF"/>
    <w:rsid w:val="435671EA"/>
    <w:rsid w:val="440809E9"/>
    <w:rsid w:val="442407A6"/>
    <w:rsid w:val="44805EA1"/>
    <w:rsid w:val="45710696"/>
    <w:rsid w:val="46142B1B"/>
    <w:rsid w:val="47E60DD0"/>
    <w:rsid w:val="48735039"/>
    <w:rsid w:val="492C684B"/>
    <w:rsid w:val="49500594"/>
    <w:rsid w:val="49E7604E"/>
    <w:rsid w:val="4A21018D"/>
    <w:rsid w:val="4B3D4425"/>
    <w:rsid w:val="4BF67CDD"/>
    <w:rsid w:val="4CB96968"/>
    <w:rsid w:val="4D173441"/>
    <w:rsid w:val="4D603DD6"/>
    <w:rsid w:val="4EBF010F"/>
    <w:rsid w:val="4F471EB0"/>
    <w:rsid w:val="512D3B78"/>
    <w:rsid w:val="51331326"/>
    <w:rsid w:val="51740A7F"/>
    <w:rsid w:val="51A5541E"/>
    <w:rsid w:val="51C96242"/>
    <w:rsid w:val="53906AE1"/>
    <w:rsid w:val="54F46F60"/>
    <w:rsid w:val="55A37BEA"/>
    <w:rsid w:val="56362CD2"/>
    <w:rsid w:val="569900FC"/>
    <w:rsid w:val="5784687B"/>
    <w:rsid w:val="57846959"/>
    <w:rsid w:val="578E6A87"/>
    <w:rsid w:val="5AC2203A"/>
    <w:rsid w:val="5BAC2079"/>
    <w:rsid w:val="5C9C41E0"/>
    <w:rsid w:val="5CBB3334"/>
    <w:rsid w:val="5D115FAF"/>
    <w:rsid w:val="609B256F"/>
    <w:rsid w:val="62555F59"/>
    <w:rsid w:val="62811722"/>
    <w:rsid w:val="62E75A72"/>
    <w:rsid w:val="64571880"/>
    <w:rsid w:val="649125B6"/>
    <w:rsid w:val="652F4C1A"/>
    <w:rsid w:val="666D37F1"/>
    <w:rsid w:val="67087D8F"/>
    <w:rsid w:val="671F687E"/>
    <w:rsid w:val="67F415F8"/>
    <w:rsid w:val="682640D1"/>
    <w:rsid w:val="684B73E5"/>
    <w:rsid w:val="68663EDD"/>
    <w:rsid w:val="691426E6"/>
    <w:rsid w:val="6A047A2A"/>
    <w:rsid w:val="6AF83581"/>
    <w:rsid w:val="6BA32228"/>
    <w:rsid w:val="6DC51400"/>
    <w:rsid w:val="6EFB7548"/>
    <w:rsid w:val="6F3831C3"/>
    <w:rsid w:val="6F8B71C1"/>
    <w:rsid w:val="70753482"/>
    <w:rsid w:val="707B522A"/>
    <w:rsid w:val="713042F3"/>
    <w:rsid w:val="73194D05"/>
    <w:rsid w:val="73A83B0E"/>
    <w:rsid w:val="744D3EF9"/>
    <w:rsid w:val="745712CD"/>
    <w:rsid w:val="74794411"/>
    <w:rsid w:val="74DD4DE0"/>
    <w:rsid w:val="75867C40"/>
    <w:rsid w:val="75B10B26"/>
    <w:rsid w:val="75FD0A92"/>
    <w:rsid w:val="76432199"/>
    <w:rsid w:val="76821C8F"/>
    <w:rsid w:val="76F13A21"/>
    <w:rsid w:val="76F44829"/>
    <w:rsid w:val="77A267C0"/>
    <w:rsid w:val="78882278"/>
    <w:rsid w:val="78B118A6"/>
    <w:rsid w:val="79135044"/>
    <w:rsid w:val="793D0474"/>
    <w:rsid w:val="7A653C51"/>
    <w:rsid w:val="7A75297F"/>
    <w:rsid w:val="7A7D0F99"/>
    <w:rsid w:val="7E4A0E7C"/>
    <w:rsid w:val="7EFD449D"/>
    <w:rsid w:val="D69FCC73"/>
    <w:rsid w:val="FDBACFBE"/>
    <w:rsid w:val="FEF32E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_Style 7"/>
    <w:basedOn w:val="1"/>
    <w:qFormat/>
    <w:uiPriority w:val="0"/>
    <w:pPr>
      <w:spacing w:line="504" w:lineRule="atLeast"/>
      <w:ind w:firstLine="623"/>
      <w:textAlignment w:val="baseline"/>
    </w:pPr>
    <w:rPr>
      <w:rFonts w:ascii="Times New Roman" w:eastAsia="方正仿宋简体"/>
      <w:color w:val="000000"/>
      <w:sz w:val="31"/>
    </w:r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8265</Words>
  <Characters>10145</Characters>
  <Lines>60</Lines>
  <Paragraphs>16</Paragraphs>
  <TotalTime>31</TotalTime>
  <ScaleCrop>false</ScaleCrop>
  <LinksUpToDate>false</LinksUpToDate>
  <CharactersWithSpaces>10367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admin</cp:lastModifiedBy>
  <cp:lastPrinted>2018-07-24T18:50:00Z</cp:lastPrinted>
  <dcterms:modified xsi:type="dcterms:W3CDTF">2023-05-10T09:27:54Z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BC3B883483F343A6A3E1E07EE892F0CC</vt:lpwstr>
  </property>
</Properties>
</file>