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中共许昌市委政策研究室</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中共许昌市委政策研究室</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val="en-US" w:eastAsia="zh-CN"/>
        </w:rPr>
        <w:t>中共许昌市委政策研究室</w:t>
      </w:r>
    </w:p>
    <w:p>
      <w:pPr>
        <w:widowControl/>
        <w:numPr>
          <w:ilvl w:val="0"/>
          <w:numId w:val="0"/>
        </w:numPr>
        <w:ind w:firstLine="3840" w:firstLineChars="8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根据市委的部署和要求，对关系全市经济社会发展的全局性、政策性问题进行调查研究，及时向市委反映情况，提出意见和建议，为市委科学决策服务；按照市委指示，承担市委有关政策性文件、重要文稿和文章的起草任务；参与市委重要会议的筹备及会议文件的调研起草；根据全市改革、发展、稳定的需要，负责收集、整理、选编市内外、国内外有重要参考价值的信息资料和调研成果，供市委决策参考；围绕市委的工作中心，组织协调市直及各县（市、区）有关部门的调研力量，总结经验，推广典型，完成市委交办的重点调研课题；组织撰写有关宣传、阐释党的路线、方针、政策和市委重大决策的文章、著作；承办市委交办的其他事项。</w:t>
      </w:r>
      <w:r>
        <w:rPr>
          <w:rFonts w:hint="eastAsia" w:ascii="仿宋_GB2312" w:hAnsi="宋体" w:eastAsia="仿宋_GB2312" w:cs="宋体"/>
          <w:kern w:val="0"/>
          <w:sz w:val="32"/>
          <w:szCs w:val="32"/>
          <w:highlight w:val="none"/>
          <w:lang w:val="en-US" w:eastAsia="zh-CN"/>
        </w:rPr>
        <w:t xml:space="preserve">  </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中共许昌市委政策研究室内设机构3个，包括：综合科、调研一科、调研二科。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中共许昌市委政策研究室</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color w:val="auto"/>
          <w:sz w:val="32"/>
          <w:szCs w:val="32"/>
          <w:highlight w:val="none"/>
        </w:rPr>
        <w:t>、所属单位决算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本决算为汇总决算，</w:t>
      </w: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纳入本部门2021年度部门决算编制范围的单位共2个，</w:t>
      </w:r>
      <w:r>
        <w:rPr>
          <w:rFonts w:hint="eastAsia" w:ascii="仿宋_GB2312" w:hAnsi="仿宋_GB2312" w:eastAsia="仿宋_GB2312" w:cs="仿宋_GB2312"/>
          <w:color w:val="auto"/>
          <w:sz w:val="32"/>
          <w:szCs w:val="32"/>
          <w:highlight w:val="none"/>
          <w:lang w:eastAsia="zh-CN"/>
        </w:rPr>
        <w:t>其中二级预算单位</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val="en-US" w:eastAsia="zh-CN"/>
        </w:rPr>
        <w:t>具体是：</w:t>
      </w:r>
    </w:p>
    <w:p>
      <w:pPr>
        <w:widowControl/>
        <w:numPr>
          <w:ilvl w:val="0"/>
          <w:numId w:val="0"/>
        </w:numPr>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1、中共许昌市委政策研究室</w:t>
      </w:r>
    </w:p>
    <w:p>
      <w:pPr>
        <w:widowControl/>
        <w:ind w:firstLine="640" w:firstLineChars="2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lang w:val="en-US" w:eastAsia="zh-CN"/>
        </w:rPr>
        <w:t>2、《许昌工作》编辑部（未独立核算）</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4"/>
        <w:gridCol w:w="825"/>
        <w:gridCol w:w="1103"/>
        <w:gridCol w:w="4427"/>
        <w:gridCol w:w="825"/>
        <w:gridCol w:w="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13920" w:type="dxa"/>
            <w:gridSpan w:val="6"/>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04"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8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2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036"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04"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8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2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036"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8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5"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5"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189.10</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189.10</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3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4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44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9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4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8"/>
        <w:gridCol w:w="403"/>
        <w:gridCol w:w="302"/>
        <w:gridCol w:w="3529"/>
        <w:gridCol w:w="1728"/>
        <w:gridCol w:w="1455"/>
        <w:gridCol w:w="1152"/>
        <w:gridCol w:w="1008"/>
        <w:gridCol w:w="819"/>
        <w:gridCol w:w="967"/>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14020" w:type="dxa"/>
            <w:gridSpan w:val="11"/>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1308"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40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0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52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72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6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5542" w:type="dxa"/>
            <w:gridSpan w:val="4"/>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172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316"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0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1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4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1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5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4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4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189.10</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189.10</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165.97</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165.97</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165.18</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165.18</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149.28</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149.28</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1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5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15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402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8"/>
        <w:gridCol w:w="229"/>
        <w:gridCol w:w="229"/>
        <w:gridCol w:w="4090"/>
        <w:gridCol w:w="1126"/>
        <w:gridCol w:w="1126"/>
        <w:gridCol w:w="1000"/>
        <w:gridCol w:w="770"/>
        <w:gridCol w:w="76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13840" w:type="dxa"/>
            <w:gridSpan w:val="10"/>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bottom"/>
              <w:outlineLvl w:val="9"/>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3118"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eastAsia" w:ascii="Arial" w:hAnsi="Arial" w:cs="Arial"/>
                <w:i w:val="0"/>
                <w:iCs w:val="0"/>
                <w:color w:val="000000"/>
                <w:sz w:val="20"/>
                <w:szCs w:val="20"/>
                <w:u w:val="none"/>
              </w:rPr>
            </w:pPr>
          </w:p>
        </w:tc>
        <w:tc>
          <w:tcPr>
            <w:tcW w:w="229"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29"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409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12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12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77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76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392"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311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229"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29"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409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12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12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770"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152" w:type="dxa"/>
            <w:gridSpan w:val="2"/>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76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9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357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9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39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357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4090"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39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357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4090"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7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39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766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766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204.18</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192.84</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11.35</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b/>
                <w:bCs/>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b/>
                <w:bCs/>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166.34</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165.56</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157.88</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157.88</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19.03</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5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76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3840"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3"/>
        <w:gridCol w:w="533"/>
        <w:gridCol w:w="1255"/>
        <w:gridCol w:w="3944"/>
        <w:gridCol w:w="533"/>
        <w:gridCol w:w="925"/>
        <w:gridCol w:w="1150"/>
        <w:gridCol w:w="787"/>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3880" w:type="dxa"/>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423"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53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94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53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3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423"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53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94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53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117"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2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669"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42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8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342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189.10</w:t>
            </w: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177.69</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177.69</w:t>
            </w: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189.10</w:t>
            </w: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w:t>
            </w: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w:t>
            </w:r>
          </w:p>
        </w:tc>
        <w:tc>
          <w:tcPr>
            <w:tcW w:w="394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94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39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11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204.18</w:t>
            </w:r>
          </w:p>
        </w:tc>
        <w:tc>
          <w:tcPr>
            <w:tcW w:w="78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388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16"/>
        <w:gridCol w:w="222"/>
        <w:gridCol w:w="222"/>
        <w:gridCol w:w="3956"/>
        <w:gridCol w:w="1491"/>
        <w:gridCol w:w="235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692" w:type="dxa"/>
            <w:gridSpan w:val="7"/>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bottom"/>
              <w:outlineLvl w:val="9"/>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491"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355"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430"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222"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1491"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355" w:type="dxa"/>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264" w:lineRule="auto"/>
              <w:outlineLvl w:val="9"/>
              <w:rPr>
                <w:rFonts w:hint="default" w:ascii="Arial" w:hAnsi="Arial" w:cs="Arial"/>
                <w:i w:val="0"/>
                <w:iCs w:val="0"/>
                <w:color w:val="000000"/>
                <w:sz w:val="20"/>
                <w:szCs w:val="20"/>
                <w:u w:val="none"/>
              </w:rPr>
            </w:pPr>
          </w:p>
        </w:tc>
        <w:tc>
          <w:tcPr>
            <w:tcW w:w="2430"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bottom"/>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7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5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3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491"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235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1491"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235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204.18</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192.84</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177.69</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166.34</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176.91</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165.56</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157.88</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157.88</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19.03</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23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243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4" w:lineRule="auto"/>
              <w:jc w:val="right"/>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5"/>
        <w:gridCol w:w="3206"/>
        <w:gridCol w:w="1012"/>
        <w:gridCol w:w="857"/>
        <w:gridCol w:w="1868"/>
        <w:gridCol w:w="909"/>
        <w:gridCol w:w="775"/>
        <w:gridCol w:w="3285"/>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85"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320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01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5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86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0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7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28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8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191" w:type="dxa"/>
            <w:gridSpan w:val="2"/>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101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5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86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0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7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69"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78"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0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157.01</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18.55</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38.40</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44.67</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45.59</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7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w:t>
            </w:r>
          </w:p>
        </w:tc>
        <w:tc>
          <w:tcPr>
            <w:tcW w:w="77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77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9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172.72</w:t>
            </w:r>
          </w:p>
        </w:tc>
        <w:tc>
          <w:tcPr>
            <w:tcW w:w="7694"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0"/>
        <w:gridCol w:w="1440"/>
        <w:gridCol w:w="1080"/>
        <w:gridCol w:w="959"/>
        <w:gridCol w:w="817"/>
        <w:gridCol w:w="817"/>
        <w:gridCol w:w="1247"/>
        <w:gridCol w:w="885"/>
        <w:gridCol w:w="780"/>
        <w:gridCol w:w="915"/>
        <w:gridCol w:w="115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485"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980"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144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20" w:type="dxa"/>
            <w:gridSpan w:val="2"/>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10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56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70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92"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5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8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5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9" w:hRule="atLeast"/>
        </w:trPr>
        <w:tc>
          <w:tcPr>
            <w:tcW w:w="1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8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9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44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2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88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91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48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36"/>
        <w:gridCol w:w="290"/>
        <w:gridCol w:w="240"/>
        <w:gridCol w:w="1480"/>
        <w:gridCol w:w="1381"/>
        <w:gridCol w:w="1250"/>
        <w:gridCol w:w="1260"/>
        <w:gridCol w:w="1395"/>
        <w:gridCol w:w="145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37" w:type="dxa"/>
            <w:gridSpan w:val="1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36"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29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81"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3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部门：中共许昌市委政策研究室</w:t>
            </w:r>
          </w:p>
        </w:tc>
        <w:tc>
          <w:tcPr>
            <w:tcW w:w="29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8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81"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80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1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4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4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28.24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16.05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财政拨款人员经费支出增加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189.10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189.10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0.00万元，占0.00%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192.84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11.35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28.24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16.05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财政拨款人员经费支出增加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28.24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16.05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财政拨款人员经费支出增加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177.69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87.03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社会保障和就业（类）支出17.10万元，占8.37%；卫生健康（类）支出9.40万元，占4.60%。</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179.77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204.18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113.58</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一般公共服务支出（类）人大事务（款）行政运行（项）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val="0"/>
          <w:bCs w:val="0"/>
          <w:sz w:val="32"/>
          <w:szCs w:val="32"/>
          <w:highlight w:val="none"/>
          <w:lang w:eastAsia="zh-CN"/>
        </w:rPr>
        <w:t>年初</w:t>
      </w:r>
      <w:r>
        <w:rPr>
          <w:rFonts w:hint="eastAsia" w:ascii="仿宋_GB2312" w:hAnsi="仿宋_GB2312" w:eastAsia="仿宋_GB2312" w:cs="仿宋_GB2312"/>
          <w:b w:val="0"/>
          <w:bCs w:val="0"/>
          <w:sz w:val="32"/>
          <w:szCs w:val="32"/>
          <w:highlight w:val="none"/>
        </w:rPr>
        <w:t>预算为</w:t>
      </w:r>
      <w:r>
        <w:rPr>
          <w:rFonts w:hint="eastAsia" w:ascii="仿宋_GB2312" w:hAnsi="仿宋_GB2312" w:eastAsia="仿宋_GB2312" w:cs="仿宋_GB2312"/>
          <w:b w:val="0"/>
          <w:bCs w:val="0"/>
          <w:sz w:val="32"/>
          <w:szCs w:val="32"/>
          <w:highlight w:val="none"/>
          <w:lang w:val="en-US" w:eastAsia="zh-CN"/>
        </w:rPr>
        <w:t>0.23</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0.06</w:t>
      </w:r>
      <w:r>
        <w:rPr>
          <w:rFonts w:hint="eastAsia" w:ascii="仿宋_GB2312" w:hAnsi="仿宋_GB2312" w:eastAsia="仿宋_GB2312" w:cs="仿宋_GB2312"/>
          <w:b w:val="0"/>
          <w:bCs w:val="0"/>
          <w:sz w:val="32"/>
          <w:szCs w:val="32"/>
          <w:highlight w:val="none"/>
        </w:rPr>
        <w:t>万元，完成</w:t>
      </w:r>
      <w:r>
        <w:rPr>
          <w:rFonts w:hint="eastAsia" w:ascii="仿宋_GB2312" w:hAnsi="仿宋_GB2312" w:eastAsia="仿宋_GB2312" w:cs="仿宋_GB2312"/>
          <w:b w:val="0"/>
          <w:bCs w:val="0"/>
          <w:sz w:val="32"/>
          <w:szCs w:val="32"/>
          <w:highlight w:val="none"/>
          <w:lang w:eastAsia="zh-CN"/>
        </w:rPr>
        <w:t>年初</w:t>
      </w:r>
      <w:r>
        <w:rPr>
          <w:rFonts w:hint="eastAsia" w:ascii="仿宋_GB2312" w:hAnsi="仿宋_GB2312" w:eastAsia="仿宋_GB2312" w:cs="仿宋_GB2312"/>
          <w:b w:val="0"/>
          <w:bCs w:val="0"/>
          <w:sz w:val="32"/>
          <w:szCs w:val="32"/>
          <w:highlight w:val="none"/>
        </w:rPr>
        <w:t>预算的</w:t>
      </w:r>
      <w:r>
        <w:rPr>
          <w:rFonts w:hint="eastAsia" w:ascii="仿宋_GB2312" w:hAnsi="仿宋_GB2312" w:eastAsia="仿宋_GB2312" w:cs="仿宋_GB2312"/>
          <w:b w:val="0"/>
          <w:bCs w:val="0"/>
          <w:sz w:val="32"/>
          <w:szCs w:val="32"/>
          <w:highlight w:val="none"/>
          <w:lang w:val="en-US" w:eastAsia="zh-CN"/>
        </w:rPr>
        <w:t>26.09</w:t>
      </w:r>
      <w:r>
        <w:rPr>
          <w:rFonts w:hint="eastAsia" w:ascii="仿宋_GB2312" w:hAnsi="仿宋_GB2312" w:eastAsia="仿宋_GB2312" w:cs="仿宋_GB2312"/>
          <w:b w:val="0"/>
          <w:bCs w:val="0"/>
          <w:sz w:val="32"/>
          <w:szCs w:val="32"/>
          <w:highlight w:val="none"/>
        </w:rPr>
        <w:t>%。决算数与</w:t>
      </w:r>
      <w:r>
        <w:rPr>
          <w:rFonts w:hint="eastAsia" w:ascii="仿宋_GB2312" w:hAnsi="仿宋_GB2312" w:eastAsia="仿宋_GB2312" w:cs="仿宋_GB2312"/>
          <w:b w:val="0"/>
          <w:bCs w:val="0"/>
          <w:sz w:val="32"/>
          <w:szCs w:val="32"/>
          <w:highlight w:val="none"/>
          <w:lang w:eastAsia="zh-CN"/>
        </w:rPr>
        <w:t>年初</w:t>
      </w:r>
      <w:r>
        <w:rPr>
          <w:rFonts w:hint="eastAsia" w:ascii="仿宋_GB2312" w:hAnsi="仿宋_GB2312" w:eastAsia="仿宋_GB2312" w:cs="仿宋_GB2312"/>
          <w:b w:val="0"/>
          <w:bCs w:val="0"/>
          <w:sz w:val="32"/>
          <w:szCs w:val="32"/>
          <w:highlight w:val="none"/>
        </w:rPr>
        <w:t>预算数</w:t>
      </w:r>
      <w:r>
        <w:rPr>
          <w:rFonts w:hint="eastAsia" w:ascii="仿宋_GB2312" w:hAnsi="仿宋_GB2312" w:eastAsia="仿宋_GB2312" w:cs="仿宋_GB2312"/>
          <w:b w:val="0"/>
          <w:bCs w:val="0"/>
          <w:sz w:val="32"/>
          <w:szCs w:val="32"/>
          <w:highlight w:val="none"/>
          <w:lang w:val="en-US" w:eastAsia="zh-CN"/>
        </w:rPr>
        <w:t>存在差异的主要原因是响应过紧日子要求</w:t>
      </w:r>
      <w:r>
        <w:rPr>
          <w:rFonts w:hint="eastAsia" w:ascii="仿宋_GB2312" w:hAnsi="仿宋_GB2312" w:eastAsia="仿宋_GB2312" w:cs="仿宋_GB2312"/>
          <w:b w:val="0"/>
          <w:bCs w:val="0"/>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一般公共服务支出（类）党委办公厅（室）及相关机构事务（款）行政运行（项）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147.41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157.88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107.10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支出决算中含年末结余资金。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4．一般公共服务支出（类）党委办公厅（室）及相关机构事务（款）一般行政管理事务（项）。</w:t>
      </w:r>
      <w:r>
        <w:rPr>
          <w:rFonts w:hint="eastAsia" w:ascii="仿宋_GB2312" w:hAnsi="仿宋_GB2312" w:eastAsia="仿宋_GB2312" w:cs="仿宋_GB2312"/>
          <w:color w:val="auto"/>
          <w:sz w:val="32"/>
          <w:szCs w:val="32"/>
          <w:highlight w:val="none"/>
          <w:lang w:val="en-US" w:eastAsia="zh-CN"/>
        </w:rPr>
        <w:t>年初预算为6.71万元，支出决算为19.03万元，完成年初预算的283.61%。决算数与年初预算数存在差异的主要原因是追加项目经费。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 xml:space="preserve">年初预算为15.82万元，支出决算为15.70万元，完成年初预算的99.24%。决算数与年初预算数存在差异的主要原因是实际收入小于预算数。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年初预算为0.00万元，支出决算为1.40</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万元。决算数与年初预算数存在差异的主要原因是调整预算功能分类。</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年初预算为4.55万元，支出决算为4.99万元，完成年初预算的109.67%。决算数与年初预算数存在差异的主要原因是使用上年基本支出结转资金。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8．卫生健康支出（类）行政事业单位医疗（款）公务员医疗补助（项）。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年初预算为4.33万元，支出决算为4.41万元，完成年初预算的101.85%。决算数与年初预算数存在差异的主要原因是使用上年基本支出结转资金。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192.84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172.72</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基本工资、津贴补贴、奖金、机关事业单位基本养老保险缴费、职工基本医疗保险缴费、公务员医疗补助缴费、其他社会保障缴费、住房公积金、退休费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20.12</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办公费、印刷费、邮电费、物业管理费、差旅费、维修（护）费、公务接待费、劳务费、委托业务费、工会经费、福利费、公务用车运行维护费、其他交通费用、其他商品和服务支出、办公设备购置。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18.37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受疫情影响，调研活动减少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71.11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0.26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28.89</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28.89</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p>
    <w:p>
      <w:pPr>
        <w:spacing w:beforeLines="0" w:afterLines="0"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eastAsia="zh-CN"/>
        </w:rPr>
        <w:t>全年</w:t>
      </w:r>
      <w:r>
        <w:rPr>
          <w:rFonts w:hint="eastAsia" w:ascii="仿宋_GB2312" w:hAnsi="仿宋_GB2312" w:eastAsia="仿宋_GB2312"/>
          <w:sz w:val="32"/>
          <w:szCs w:val="24"/>
          <w:lang w:val="en-US"/>
        </w:rPr>
        <w:t>因公出国（境）团组0个，</w:t>
      </w:r>
      <w:r>
        <w:rPr>
          <w:rFonts w:hint="eastAsia" w:ascii="仿宋_GB2312" w:hAnsi="仿宋_GB2312" w:eastAsia="仿宋_GB2312"/>
          <w:sz w:val="32"/>
          <w:szCs w:val="24"/>
          <w:lang w:val="en-US" w:eastAsia="zh-CN"/>
        </w:rPr>
        <w:t>累计0人次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受疫情影响，调研活动减少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0.64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因公出行以及开展课题调研等业务所需车辆燃料费、维修费、保险费、过路过桥费等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0.26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受疫情影响，调研活动减少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0.26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上级部门、其他地市政研部门接待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我部门</w:t>
      </w:r>
      <w:r>
        <w:rPr>
          <w:rFonts w:hint="eastAsia" w:ascii="仿宋_GB2312" w:hAnsi="仿宋_GB2312" w:eastAsia="仿宋_GB2312" w:cs="仿宋_GB2312"/>
          <w:sz w:val="32"/>
          <w:szCs w:val="32"/>
          <w:highlight w:val="none"/>
          <w:lang w:val="en-US" w:eastAsia="zh-CN"/>
        </w:rPr>
        <w:t>2021年没有政府基金收入，也没有使用政府基金安排的支出。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22.86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20.12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88.01%。决算数与年初预算数存在差异的主要原因是受疫情影响，会议费、公车运行费支出较少。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2020年我部门纳入预算绩效管理的支出总额为204.18万元，其中：基本支出192.84万元；支出项目2个，支出金额11.35万元。开展项目绩效自评项目2个，自评金额11.35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整体绩效目标经过单位自评得分98.7分，完全真实完整反映年初绩效目标。二是项目绩效自评情况。我部门（单位）共有2个项目批复了绩效目标。项目金额11.35万元。其中：</w:t>
      </w:r>
    </w:p>
    <w:p>
      <w:pPr>
        <w:pStyle w:val="2"/>
        <w:ind w:firstLine="960" w:firstLineChars="3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中共许昌市委政策研究室2个，项目金额11.35万元；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96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我部门没有重点项目开展部门重点评价。</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F05DF"/>
    <w:multiLevelType w:val="singleLevel"/>
    <w:tmpl w:val="29DF05DF"/>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671496"/>
    <w:rsid w:val="01A900E6"/>
    <w:rsid w:val="01DC6F05"/>
    <w:rsid w:val="0205075D"/>
    <w:rsid w:val="02A3489A"/>
    <w:rsid w:val="02CA138D"/>
    <w:rsid w:val="033646FC"/>
    <w:rsid w:val="03A30DDE"/>
    <w:rsid w:val="03C75F80"/>
    <w:rsid w:val="0478364D"/>
    <w:rsid w:val="053D4C0D"/>
    <w:rsid w:val="0557532E"/>
    <w:rsid w:val="06714929"/>
    <w:rsid w:val="0799329C"/>
    <w:rsid w:val="08397436"/>
    <w:rsid w:val="086F16A7"/>
    <w:rsid w:val="0A0F7225"/>
    <w:rsid w:val="0A2B7D82"/>
    <w:rsid w:val="0ADC40E9"/>
    <w:rsid w:val="0AE607F4"/>
    <w:rsid w:val="0B386127"/>
    <w:rsid w:val="0B451598"/>
    <w:rsid w:val="0BEC73F4"/>
    <w:rsid w:val="0C392698"/>
    <w:rsid w:val="0CAB73A0"/>
    <w:rsid w:val="0D8A583D"/>
    <w:rsid w:val="0E191D24"/>
    <w:rsid w:val="0F264E85"/>
    <w:rsid w:val="0F46111F"/>
    <w:rsid w:val="0F63780D"/>
    <w:rsid w:val="0FB41D43"/>
    <w:rsid w:val="10BD36F6"/>
    <w:rsid w:val="11BF0649"/>
    <w:rsid w:val="123E3E08"/>
    <w:rsid w:val="133212F4"/>
    <w:rsid w:val="13B5040C"/>
    <w:rsid w:val="13D22E22"/>
    <w:rsid w:val="1424395D"/>
    <w:rsid w:val="161C2DFF"/>
    <w:rsid w:val="16373578"/>
    <w:rsid w:val="16D3336B"/>
    <w:rsid w:val="17200028"/>
    <w:rsid w:val="17806C36"/>
    <w:rsid w:val="17A74F62"/>
    <w:rsid w:val="18A47774"/>
    <w:rsid w:val="18AD3983"/>
    <w:rsid w:val="1A8D28EB"/>
    <w:rsid w:val="1A8F2C1C"/>
    <w:rsid w:val="1A9F2D78"/>
    <w:rsid w:val="1B2E6FD8"/>
    <w:rsid w:val="1B7B1E0E"/>
    <w:rsid w:val="1B877D21"/>
    <w:rsid w:val="1C4319A9"/>
    <w:rsid w:val="1E443B4B"/>
    <w:rsid w:val="1E994F4A"/>
    <w:rsid w:val="1EAF0224"/>
    <w:rsid w:val="1F2230A4"/>
    <w:rsid w:val="1FAC0751"/>
    <w:rsid w:val="1FDC5D5D"/>
    <w:rsid w:val="200C710B"/>
    <w:rsid w:val="20210932"/>
    <w:rsid w:val="202448E0"/>
    <w:rsid w:val="20531ED6"/>
    <w:rsid w:val="20F614FE"/>
    <w:rsid w:val="21302EEA"/>
    <w:rsid w:val="22376FB5"/>
    <w:rsid w:val="22D7265F"/>
    <w:rsid w:val="23E152D7"/>
    <w:rsid w:val="23EE2489"/>
    <w:rsid w:val="255D43C8"/>
    <w:rsid w:val="260C5BF9"/>
    <w:rsid w:val="26714EF8"/>
    <w:rsid w:val="26876BDD"/>
    <w:rsid w:val="2714632A"/>
    <w:rsid w:val="27541E73"/>
    <w:rsid w:val="27B0539E"/>
    <w:rsid w:val="27C431CB"/>
    <w:rsid w:val="29365CF8"/>
    <w:rsid w:val="299469B3"/>
    <w:rsid w:val="29B13146"/>
    <w:rsid w:val="29F02501"/>
    <w:rsid w:val="2A805789"/>
    <w:rsid w:val="2ADC0D75"/>
    <w:rsid w:val="2B4A0E52"/>
    <w:rsid w:val="2B8C2728"/>
    <w:rsid w:val="2C9034E6"/>
    <w:rsid w:val="2C975890"/>
    <w:rsid w:val="2CD0422B"/>
    <w:rsid w:val="2DEF21BB"/>
    <w:rsid w:val="2E4A2F05"/>
    <w:rsid w:val="2ECC1061"/>
    <w:rsid w:val="2F0F0934"/>
    <w:rsid w:val="2FA476AD"/>
    <w:rsid w:val="303F7540"/>
    <w:rsid w:val="30BD0622"/>
    <w:rsid w:val="31BA18BD"/>
    <w:rsid w:val="31DD00BF"/>
    <w:rsid w:val="323038A6"/>
    <w:rsid w:val="32777F2D"/>
    <w:rsid w:val="3293174C"/>
    <w:rsid w:val="32BB38D4"/>
    <w:rsid w:val="32C9376D"/>
    <w:rsid w:val="33780472"/>
    <w:rsid w:val="33AF0905"/>
    <w:rsid w:val="33BF6F93"/>
    <w:rsid w:val="355932F4"/>
    <w:rsid w:val="35611882"/>
    <w:rsid w:val="36746FC3"/>
    <w:rsid w:val="368763AE"/>
    <w:rsid w:val="39534219"/>
    <w:rsid w:val="395D59E7"/>
    <w:rsid w:val="39A93932"/>
    <w:rsid w:val="3A915562"/>
    <w:rsid w:val="3B3C3AFD"/>
    <w:rsid w:val="3B8D4765"/>
    <w:rsid w:val="3BD54558"/>
    <w:rsid w:val="3C000DBA"/>
    <w:rsid w:val="3D2B6F5C"/>
    <w:rsid w:val="3DBF70C4"/>
    <w:rsid w:val="3DC045D3"/>
    <w:rsid w:val="3E504FFB"/>
    <w:rsid w:val="3E615CD0"/>
    <w:rsid w:val="3E9C47F6"/>
    <w:rsid w:val="3EF63D5B"/>
    <w:rsid w:val="3F8B0112"/>
    <w:rsid w:val="3FAB3095"/>
    <w:rsid w:val="3FE45947"/>
    <w:rsid w:val="402D5092"/>
    <w:rsid w:val="4079659F"/>
    <w:rsid w:val="40AB493B"/>
    <w:rsid w:val="40C10DC8"/>
    <w:rsid w:val="41242965"/>
    <w:rsid w:val="41C22D5F"/>
    <w:rsid w:val="42A65B47"/>
    <w:rsid w:val="435671EA"/>
    <w:rsid w:val="440809E9"/>
    <w:rsid w:val="442407A6"/>
    <w:rsid w:val="44805EA1"/>
    <w:rsid w:val="448619DD"/>
    <w:rsid w:val="45710696"/>
    <w:rsid w:val="46142B1B"/>
    <w:rsid w:val="47E60DD0"/>
    <w:rsid w:val="48735039"/>
    <w:rsid w:val="4885155F"/>
    <w:rsid w:val="492C684B"/>
    <w:rsid w:val="49500594"/>
    <w:rsid w:val="49E7604E"/>
    <w:rsid w:val="4BF67CDD"/>
    <w:rsid w:val="4D173441"/>
    <w:rsid w:val="4D603DD6"/>
    <w:rsid w:val="4DAB5A34"/>
    <w:rsid w:val="4EBF010F"/>
    <w:rsid w:val="4F471DCD"/>
    <w:rsid w:val="4F471EB0"/>
    <w:rsid w:val="51331326"/>
    <w:rsid w:val="51740A7F"/>
    <w:rsid w:val="51A5541E"/>
    <w:rsid w:val="51C96242"/>
    <w:rsid w:val="53906AE1"/>
    <w:rsid w:val="54AF01A1"/>
    <w:rsid w:val="54F46F60"/>
    <w:rsid w:val="55A37BEA"/>
    <w:rsid w:val="56362CD2"/>
    <w:rsid w:val="57652E00"/>
    <w:rsid w:val="5784687B"/>
    <w:rsid w:val="57846959"/>
    <w:rsid w:val="578E6A87"/>
    <w:rsid w:val="5813309A"/>
    <w:rsid w:val="59151102"/>
    <w:rsid w:val="59732B63"/>
    <w:rsid w:val="5AC2203A"/>
    <w:rsid w:val="5AD43DA8"/>
    <w:rsid w:val="5AD63145"/>
    <w:rsid w:val="5CBB3334"/>
    <w:rsid w:val="5D115FAF"/>
    <w:rsid w:val="5D375404"/>
    <w:rsid w:val="5D5E6BB1"/>
    <w:rsid w:val="5DCD3CEB"/>
    <w:rsid w:val="5E0A4C66"/>
    <w:rsid w:val="5F8E3FCA"/>
    <w:rsid w:val="60327E35"/>
    <w:rsid w:val="603A11F0"/>
    <w:rsid w:val="60AA4323"/>
    <w:rsid w:val="616D546C"/>
    <w:rsid w:val="61785D1C"/>
    <w:rsid w:val="61C959EE"/>
    <w:rsid w:val="62811722"/>
    <w:rsid w:val="62E75A72"/>
    <w:rsid w:val="64571880"/>
    <w:rsid w:val="649125B6"/>
    <w:rsid w:val="652F4C1A"/>
    <w:rsid w:val="666D37F1"/>
    <w:rsid w:val="66DC300A"/>
    <w:rsid w:val="67087D8F"/>
    <w:rsid w:val="671F687E"/>
    <w:rsid w:val="67F415F8"/>
    <w:rsid w:val="680005B3"/>
    <w:rsid w:val="682640D1"/>
    <w:rsid w:val="684B73E5"/>
    <w:rsid w:val="68A67CC1"/>
    <w:rsid w:val="69263281"/>
    <w:rsid w:val="69522C47"/>
    <w:rsid w:val="6A047A2A"/>
    <w:rsid w:val="6D8819DC"/>
    <w:rsid w:val="6EFB7548"/>
    <w:rsid w:val="6F3831C3"/>
    <w:rsid w:val="6F8B71C1"/>
    <w:rsid w:val="70753482"/>
    <w:rsid w:val="707B522A"/>
    <w:rsid w:val="71932B42"/>
    <w:rsid w:val="727171C8"/>
    <w:rsid w:val="72AB0710"/>
    <w:rsid w:val="73177757"/>
    <w:rsid w:val="73194D05"/>
    <w:rsid w:val="73A83B0E"/>
    <w:rsid w:val="744D3EF9"/>
    <w:rsid w:val="74794411"/>
    <w:rsid w:val="750178B3"/>
    <w:rsid w:val="75867C40"/>
    <w:rsid w:val="75B10B26"/>
    <w:rsid w:val="76432199"/>
    <w:rsid w:val="76F44829"/>
    <w:rsid w:val="77A267C0"/>
    <w:rsid w:val="78882278"/>
    <w:rsid w:val="78B118A6"/>
    <w:rsid w:val="79135044"/>
    <w:rsid w:val="7A7D0F99"/>
    <w:rsid w:val="7B1D3CBC"/>
    <w:rsid w:val="7BD72AD7"/>
    <w:rsid w:val="7C6B04FF"/>
    <w:rsid w:val="7DA26283"/>
    <w:rsid w:val="7E332C66"/>
    <w:rsid w:val="7E4A0E7C"/>
    <w:rsid w:val="7E9B1200"/>
    <w:rsid w:val="7EFD449D"/>
    <w:rsid w:val="7F0B74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8230</Words>
  <Characters>10031</Characters>
  <Lines>60</Lines>
  <Paragraphs>16</Paragraphs>
  <TotalTime>30</TotalTime>
  <ScaleCrop>false</ScaleCrop>
  <LinksUpToDate>false</LinksUpToDate>
  <CharactersWithSpaces>10259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2023-05-15T03:06:07Z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F7030F3268CE438DB09080A665C6F836</vt:lpwstr>
  </property>
</Properties>
</file>