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auto"/>
          <w:kern w:val="0"/>
          <w:sz w:val="28"/>
          <w:szCs w:val="28"/>
        </w:rPr>
      </w:pPr>
      <w:bookmarkStart w:id="0" w:name="_GoBack"/>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52"/>
          <w:szCs w:val="52"/>
        </w:rPr>
      </w:pPr>
    </w:p>
    <w:p>
      <w:pPr>
        <w:jc w:val="center"/>
        <w:rPr>
          <w:rFonts w:ascii="黑体" w:hAnsi="黑体" w:eastAsia="黑体" w:cs="黑体"/>
          <w:color w:val="auto"/>
          <w:sz w:val="52"/>
          <w:szCs w:val="52"/>
        </w:rPr>
      </w:pPr>
      <w:r>
        <w:rPr>
          <w:rFonts w:hint="eastAsia" w:ascii="黑体" w:hAnsi="黑体" w:eastAsia="黑体" w:cs="黑体"/>
          <w:color w:val="auto"/>
          <w:sz w:val="52"/>
          <w:szCs w:val="52"/>
        </w:rPr>
        <w:t>20</w:t>
      </w:r>
      <w:r>
        <w:rPr>
          <w:rFonts w:ascii="黑体" w:hAnsi="黑体" w:eastAsia="黑体" w:cs="黑体"/>
          <w:color w:val="auto"/>
          <w:sz w:val="52"/>
          <w:szCs w:val="52"/>
        </w:rPr>
        <w:t>21</w:t>
      </w:r>
      <w:r>
        <w:rPr>
          <w:rFonts w:hint="eastAsia" w:ascii="黑体" w:hAnsi="黑体" w:eastAsia="黑体" w:cs="黑体"/>
          <w:color w:val="auto"/>
          <w:sz w:val="52"/>
          <w:szCs w:val="52"/>
        </w:rPr>
        <w:t>年度</w:t>
      </w:r>
    </w:p>
    <w:p>
      <w:pPr>
        <w:jc w:val="center"/>
        <w:rPr>
          <w:rFonts w:ascii="黑体" w:hAnsi="黑体" w:eastAsia="黑体" w:cs="黑体"/>
          <w:color w:val="auto"/>
          <w:sz w:val="52"/>
          <w:szCs w:val="52"/>
        </w:rPr>
      </w:pPr>
      <w:r>
        <w:rPr>
          <w:rFonts w:hint="eastAsia" w:ascii="黑体" w:hAnsi="黑体" w:eastAsia="黑体" w:cs="黑体"/>
          <w:color w:val="auto"/>
          <w:sz w:val="52"/>
          <w:szCs w:val="52"/>
        </w:rPr>
        <w:t>许昌高级中学单位决算</w:t>
      </w: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rPr>
        <w:t>二〇二二年九月</w:t>
      </w:r>
    </w:p>
    <w:p>
      <w:pPr>
        <w:jc w:val="center"/>
        <w:rPr>
          <w:rFonts w:ascii="黑体" w:hAnsi="黑体" w:eastAsia="黑体" w:cs="黑体"/>
          <w:color w:val="auto"/>
          <w:sz w:val="36"/>
          <w:szCs w:val="36"/>
        </w:rPr>
      </w:pPr>
      <w:r>
        <w:rPr>
          <w:rFonts w:hint="eastAsia" w:ascii="黑体" w:hAnsi="黑体" w:eastAsia="黑体" w:cs="黑体"/>
          <w:color w:val="auto"/>
          <w:sz w:val="36"/>
          <w:szCs w:val="36"/>
        </w:rPr>
        <w:t>目　　录</w:t>
      </w:r>
    </w:p>
    <w:p>
      <w:pPr>
        <w:jc w:val="left"/>
        <w:rPr>
          <w:rFonts w:ascii="黑体" w:hAnsi="黑体" w:eastAsia="黑体" w:cs="黑体"/>
          <w:color w:val="auto"/>
          <w:sz w:val="32"/>
          <w:szCs w:val="32"/>
        </w:rPr>
      </w:pPr>
      <w:r>
        <w:rPr>
          <w:rFonts w:hint="eastAsia" w:ascii="黑体" w:hAnsi="黑体" w:eastAsia="黑体" w:cs="黑体"/>
          <w:color w:val="auto"/>
          <w:sz w:val="32"/>
          <w:szCs w:val="32"/>
        </w:rPr>
        <w:t>第一部分许昌高级中学概况</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单位职责</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机构设置</w:t>
      </w:r>
    </w:p>
    <w:p>
      <w:pPr>
        <w:jc w:val="left"/>
        <w:rPr>
          <w:rFonts w:ascii="黑体" w:hAnsi="黑体" w:eastAsia="黑体" w:cs="黑体"/>
          <w:color w:val="auto"/>
          <w:sz w:val="32"/>
          <w:szCs w:val="32"/>
        </w:rPr>
      </w:pPr>
      <w:r>
        <w:rPr>
          <w:rFonts w:hint="eastAsia" w:ascii="黑体" w:hAnsi="黑体" w:eastAsia="黑体" w:cs="黑体"/>
          <w:color w:val="auto"/>
          <w:sz w:val="32"/>
          <w:szCs w:val="32"/>
        </w:rPr>
        <w:t>第二部分  2021年度单位决算表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一、收入支出决算总表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二、收入决算表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三、支出决算表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四、财政拨款收入支出决算总表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五、一般公共预算财政拨款支出决算表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六、一般公共预算财政拨款基本支出决算明细表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七、一般公共预算财政拨款“三公”经费支出决算表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八、政府性基金预算财政拨款收入支出决算表</w:t>
      </w:r>
    </w:p>
    <w:p>
      <w:pPr>
        <w:jc w:val="left"/>
        <w:rPr>
          <w:rFonts w:ascii="黑体" w:hAnsi="黑体" w:eastAsia="黑体" w:cs="黑体"/>
          <w:color w:val="auto"/>
          <w:sz w:val="32"/>
          <w:szCs w:val="32"/>
        </w:rPr>
      </w:pPr>
      <w:r>
        <w:rPr>
          <w:rFonts w:hint="eastAsia" w:ascii="黑体" w:hAnsi="黑体" w:eastAsia="黑体" w:cs="黑体"/>
          <w:color w:val="auto"/>
          <w:sz w:val="32"/>
          <w:szCs w:val="32"/>
        </w:rPr>
        <w:t>第三部分　</w:t>
      </w:r>
      <w:r>
        <w:rPr>
          <w:rFonts w:ascii="黑体" w:hAnsi="黑体" w:eastAsia="黑体" w:cs="黑体"/>
          <w:color w:val="auto"/>
          <w:sz w:val="32"/>
          <w:szCs w:val="32"/>
        </w:rPr>
        <w:t>2021</w:t>
      </w:r>
      <w:r>
        <w:rPr>
          <w:rFonts w:hint="eastAsia" w:ascii="黑体" w:hAnsi="黑体" w:eastAsia="黑体" w:cs="黑体"/>
          <w:color w:val="auto"/>
          <w:sz w:val="32"/>
          <w:szCs w:val="32"/>
        </w:rPr>
        <w:t>年度单位决算情况说明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一、收入支出决算总体情况说明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二、收入决算情况说明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三、支出决算情况说明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四、财政拨款收入支出决算总体情况说明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五、一般公共预算财政拨款支出决算情况说明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六、一般公共预算财政拨款基本支出决算情况说明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七、一般公共预算财政拨款“三公”经费支出决算情况说明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八、政府性基金预算财政拨款支出决算情况说明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九、机关运行经费支出情况说明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十、政府采购支出情况说明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十一、国有资产占用情况说明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十二、预算绩效情况说明</w:t>
      </w:r>
    </w:p>
    <w:p>
      <w:pPr>
        <w:jc w:val="left"/>
        <w:rPr>
          <w:rFonts w:ascii="黑体" w:hAnsi="黑体" w:eastAsia="黑体" w:cs="黑体"/>
          <w:color w:val="auto"/>
          <w:sz w:val="32"/>
          <w:szCs w:val="32"/>
        </w:rPr>
      </w:pPr>
      <w:r>
        <w:rPr>
          <w:rFonts w:hint="eastAsia" w:ascii="黑体" w:hAnsi="黑体" w:eastAsia="黑体" w:cs="黑体"/>
          <w:color w:val="auto"/>
          <w:sz w:val="32"/>
          <w:szCs w:val="32"/>
        </w:rPr>
        <w:t>第四部分　　名词解释</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宋体" w:eastAsia="黑体" w:cs="宋体"/>
          <w:color w:val="auto"/>
          <w:kern w:val="0"/>
          <w:sz w:val="48"/>
          <w:szCs w:val="48"/>
        </w:rPr>
      </w:pPr>
      <w:r>
        <w:rPr>
          <w:rFonts w:hint="eastAsia" w:ascii="黑体" w:hAnsi="黑体" w:eastAsia="黑体" w:cs="黑体"/>
          <w:color w:val="auto"/>
          <w:sz w:val="48"/>
          <w:szCs w:val="48"/>
        </w:rPr>
        <w:t>第一部分  许昌高级中学概况</w:t>
      </w: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hint="eastAsia" w:ascii="黑体" w:hAnsi="黑体" w:eastAsia="黑体" w:cs="黑体"/>
          <w:color w:val="auto"/>
          <w:kern w:val="0"/>
          <w:sz w:val="32"/>
          <w:szCs w:val="32"/>
        </w:rPr>
      </w:pPr>
    </w:p>
    <w:p>
      <w:pPr>
        <w:widowControl/>
        <w:ind w:firstLine="640" w:firstLineChars="200"/>
        <w:jc w:val="left"/>
        <w:outlineLvl w:val="1"/>
        <w:rPr>
          <w:rFonts w:hint="eastAsia" w:ascii="黑体" w:hAnsi="黑体" w:eastAsia="黑体" w:cs="黑体"/>
          <w:color w:val="auto"/>
          <w:kern w:val="0"/>
          <w:sz w:val="32"/>
          <w:szCs w:val="32"/>
        </w:rPr>
      </w:pPr>
    </w:p>
    <w:p>
      <w:pPr>
        <w:widowControl/>
        <w:ind w:firstLine="640" w:firstLineChars="200"/>
        <w:jc w:val="left"/>
        <w:outlineLvl w:val="1"/>
        <w:rPr>
          <w:rFonts w:hint="eastAsia"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r>
        <w:rPr>
          <w:rFonts w:hint="eastAsia" w:ascii="黑体" w:hAnsi="黑体" w:eastAsia="黑体" w:cs="黑体"/>
          <w:color w:val="auto"/>
          <w:kern w:val="0"/>
          <w:sz w:val="32"/>
          <w:szCs w:val="32"/>
        </w:rPr>
        <w:t>一、单位</w:t>
      </w:r>
      <w:r>
        <w:rPr>
          <w:rFonts w:hint="eastAsia" w:ascii="黑体" w:hAnsi="黑体" w:eastAsia="黑体" w:cs="黑体"/>
          <w:bCs/>
          <w:color w:val="auto"/>
          <w:sz w:val="32"/>
          <w:szCs w:val="32"/>
        </w:rPr>
        <w:t>职责</w:t>
      </w:r>
    </w:p>
    <w:p>
      <w:pPr>
        <w:adjustRightInd w:val="0"/>
        <w:snapToGrid w:val="0"/>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（一）全面贯彻执行党和国家的教育方针、政策，促进基础教育发展。</w:t>
      </w:r>
    </w:p>
    <w:p>
      <w:pPr>
        <w:adjustRightInd w:val="0"/>
        <w:snapToGrid w:val="0"/>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（二）依法制定学校章程，按照章程自主管理。制定学校教育发展规划，并抓好组织实施和落实工作。</w:t>
      </w:r>
    </w:p>
    <w:p>
      <w:pPr>
        <w:widowControl/>
        <w:ind w:firstLine="640" w:firstLineChars="200"/>
        <w:jc w:val="left"/>
        <w:outlineLvl w:val="1"/>
        <w:rPr>
          <w:rFonts w:ascii="仿宋_GB2312" w:hAnsi="仿宋_GB2312" w:eastAsia="仿宋_GB2312" w:cs="仿宋_GB2312"/>
          <w:color w:val="auto"/>
          <w:sz w:val="32"/>
          <w:szCs w:val="32"/>
        </w:rPr>
      </w:pPr>
      <w:r>
        <w:rPr>
          <w:rFonts w:hint="eastAsia" w:ascii="仿宋_GB2312" w:hAnsi="宋体" w:eastAsia="仿宋_GB2312" w:cs="宋体"/>
          <w:color w:val="auto"/>
          <w:kern w:val="0"/>
          <w:sz w:val="32"/>
          <w:szCs w:val="32"/>
        </w:rPr>
        <w:t>（三） 负责科学管理、合理使用学校的设施和经费，并积极筹措资金，改善办学条件。</w:t>
      </w:r>
    </w:p>
    <w:p>
      <w:pPr>
        <w:adjustRightInd w:val="0"/>
        <w:snapToGrid w:val="0"/>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（四）按照教育主管</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发布的指导性教育方针，教学大纲，组织实施教育教学活动。</w:t>
      </w:r>
    </w:p>
    <w:p>
      <w:pPr>
        <w:widowControl/>
        <w:ind w:firstLine="640" w:firstLineChars="200"/>
        <w:jc w:val="left"/>
        <w:outlineLvl w:val="1"/>
        <w:rPr>
          <w:rFonts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二、机构设置</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许昌高级中学内设机构4个，包括：</w:t>
      </w:r>
      <w:r>
        <w:rPr>
          <w:rFonts w:hint="eastAsia" w:ascii="仿宋_GB2312" w:hAnsi="仿宋_GB2312" w:eastAsia="仿宋_GB2312" w:cs="仿宋_GB2312"/>
          <w:color w:val="auto"/>
          <w:sz w:val="32"/>
          <w:szCs w:val="32"/>
        </w:rPr>
        <w:t>教务处</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政教处</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办公室、总务处</w:t>
      </w:r>
      <w:r>
        <w:rPr>
          <w:rFonts w:hint="eastAsia" w:ascii="仿宋_GB2312" w:hAnsi="仿宋_GB2312" w:eastAsia="仿宋_GB2312" w:cs="仿宋_GB2312"/>
          <w:color w:val="auto"/>
          <w:kern w:val="0"/>
          <w:sz w:val="32"/>
          <w:szCs w:val="32"/>
        </w:rPr>
        <w:t>。</w:t>
      </w:r>
    </w:p>
    <w:p>
      <w:pPr>
        <w:widowControl/>
        <w:ind w:firstLine="640" w:firstLineChars="200"/>
        <w:jc w:val="left"/>
        <w:rPr>
          <w:rFonts w:ascii="黑体" w:hAnsi="宋体" w:eastAsia="黑体" w:cs="宋体"/>
          <w:color w:val="auto"/>
          <w:kern w:val="0"/>
          <w:sz w:val="28"/>
          <w:szCs w:val="28"/>
        </w:rPr>
      </w:pPr>
      <w:r>
        <w:rPr>
          <w:rFonts w:hint="eastAsia" w:ascii="仿宋_GB2312" w:hAnsi="仿宋_GB2312" w:eastAsia="仿宋_GB2312" w:cs="仿宋_GB2312"/>
          <w:color w:val="auto"/>
          <w:kern w:val="0"/>
          <w:sz w:val="32"/>
          <w:szCs w:val="32"/>
        </w:rPr>
        <w:t>从决算单位构成看，许昌高级中学单位决算包括：本级决算。</w:t>
      </w:r>
    </w:p>
    <w:p>
      <w:pPr>
        <w:widowControl/>
        <w:ind w:firstLine="640" w:firstLineChars="200"/>
        <w:jc w:val="left"/>
        <w:rPr>
          <w:rFonts w:ascii="仿宋" w:hAnsi="仿宋" w:eastAsia="仿宋" w:cs="仿宋"/>
          <w:color w:val="auto"/>
          <w:kern w:val="0"/>
          <w:sz w:val="32"/>
          <w:szCs w:val="32"/>
        </w:rPr>
        <w:sectPr>
          <w:footerReference r:id="rId3" w:type="default"/>
          <w:footerReference r:id="rId4" w:type="even"/>
          <w:pgSz w:w="11906" w:h="16838"/>
          <w:pgMar w:top="1440" w:right="1800" w:bottom="1440" w:left="1800" w:header="720" w:footer="720" w:gutter="0"/>
          <w:pgNumType w:fmt="numberInDash" w:start="1"/>
          <w:cols w:space="720" w:num="1"/>
          <w:docGrid w:type="lines" w:linePitch="312" w:charSpace="0"/>
        </w:sectPr>
      </w:pPr>
      <w:r>
        <w:rPr>
          <w:rFonts w:hint="eastAsia" w:ascii="仿宋" w:hAnsi="仿宋" w:eastAsia="仿宋" w:cs="仿宋"/>
          <w:color w:val="auto"/>
          <w:kern w:val="0"/>
          <w:sz w:val="32"/>
          <w:szCs w:val="32"/>
        </w:rPr>
        <w:t>纳入本单位2021年度决算编制范围的单位共1个，具体是：许昌高级中学。</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48"/>
          <w:szCs w:val="4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第二部分  2021年度单位决算表</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sectPr>
          <w:pgSz w:w="11906" w:h="16838"/>
          <w:pgMar w:top="1440" w:right="1800" w:bottom="1440" w:left="1800" w:header="720" w:footer="720" w:gutter="0"/>
          <w:pgNumType w:fmt="numberInDash"/>
          <w:cols w:space="720" w:num="1"/>
          <w:docGrid w:type="lines" w:linePitch="312" w:charSpace="0"/>
        </w:sectPr>
      </w:pPr>
    </w:p>
    <w:p>
      <w:pPr>
        <w:rPr>
          <w:rFonts w:ascii="仿宋_GB2312" w:hAnsi="仿宋_GB2312" w:eastAsia="仿宋_GB2312" w:cs="仿宋_GB2312"/>
          <w:color w:val="auto"/>
          <w:sz w:val="32"/>
          <w:szCs w:val="32"/>
        </w:rPr>
      </w:pPr>
    </w:p>
    <w:tbl>
      <w:tblPr>
        <w:tblStyle w:val="5"/>
        <w:tblW w:w="14470" w:type="dxa"/>
        <w:tblInd w:w="96" w:type="dxa"/>
        <w:tblLayout w:type="fixed"/>
        <w:tblCellMar>
          <w:top w:w="0" w:type="dxa"/>
          <w:left w:w="108" w:type="dxa"/>
          <w:bottom w:w="0" w:type="dxa"/>
          <w:right w:w="108" w:type="dxa"/>
        </w:tblCellMar>
      </w:tblPr>
      <w:tblGrid>
        <w:gridCol w:w="4925"/>
        <w:gridCol w:w="865"/>
        <w:gridCol w:w="1590"/>
        <w:gridCol w:w="4635"/>
        <w:gridCol w:w="865"/>
        <w:gridCol w:w="1590"/>
      </w:tblGrid>
      <w:tr>
        <w:tblPrEx>
          <w:tblCellMar>
            <w:top w:w="0" w:type="dxa"/>
            <w:left w:w="108" w:type="dxa"/>
            <w:bottom w:w="0" w:type="dxa"/>
            <w:right w:w="108" w:type="dxa"/>
          </w:tblCellMar>
        </w:tblPrEx>
        <w:trPr>
          <w:trHeight w:val="384" w:hRule="atLeast"/>
        </w:trPr>
        <w:tc>
          <w:tcPr>
            <w:tcW w:w="14470" w:type="dxa"/>
            <w:gridSpan w:val="6"/>
            <w:tcBorders>
              <w:top w:val="nil"/>
              <w:left w:val="nil"/>
              <w:bottom w:val="nil"/>
              <w:right w:val="nil"/>
            </w:tcBorders>
            <w:noWrap/>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28"/>
                <w:szCs w:val="28"/>
                <w:lang w:bidi="ar"/>
              </w:rPr>
              <w:t>收入支出决算总表</w:t>
            </w:r>
          </w:p>
        </w:tc>
      </w:tr>
      <w:tr>
        <w:tblPrEx>
          <w:tblCellMar>
            <w:top w:w="0" w:type="dxa"/>
            <w:left w:w="108" w:type="dxa"/>
            <w:bottom w:w="0" w:type="dxa"/>
            <w:right w:w="108" w:type="dxa"/>
          </w:tblCellMar>
        </w:tblPrEx>
        <w:trPr>
          <w:trHeight w:val="264" w:hRule="atLeast"/>
        </w:trPr>
        <w:tc>
          <w:tcPr>
            <w:tcW w:w="4925" w:type="dxa"/>
            <w:tcBorders>
              <w:top w:val="nil"/>
              <w:left w:val="nil"/>
              <w:bottom w:val="nil"/>
              <w:right w:val="nil"/>
            </w:tcBorders>
            <w:noWrap/>
            <w:vAlign w:val="bottom"/>
          </w:tcPr>
          <w:p>
            <w:pPr>
              <w:rPr>
                <w:rFonts w:ascii="Arial" w:hAnsi="Arial" w:cs="Arial"/>
                <w:color w:val="auto"/>
                <w:sz w:val="18"/>
                <w:szCs w:val="18"/>
              </w:rPr>
            </w:pPr>
          </w:p>
        </w:tc>
        <w:tc>
          <w:tcPr>
            <w:tcW w:w="865" w:type="dxa"/>
            <w:tcBorders>
              <w:top w:val="nil"/>
              <w:left w:val="nil"/>
              <w:bottom w:val="nil"/>
              <w:right w:val="nil"/>
            </w:tcBorders>
            <w:noWrap/>
            <w:vAlign w:val="bottom"/>
          </w:tcPr>
          <w:p>
            <w:pPr>
              <w:rPr>
                <w:rFonts w:ascii="Arial" w:hAnsi="Arial" w:cs="Arial"/>
                <w:color w:val="auto"/>
                <w:sz w:val="18"/>
                <w:szCs w:val="18"/>
              </w:rPr>
            </w:pPr>
          </w:p>
        </w:tc>
        <w:tc>
          <w:tcPr>
            <w:tcW w:w="1590" w:type="dxa"/>
            <w:tcBorders>
              <w:top w:val="nil"/>
              <w:left w:val="nil"/>
              <w:bottom w:val="nil"/>
              <w:right w:val="nil"/>
            </w:tcBorders>
            <w:noWrap/>
            <w:vAlign w:val="bottom"/>
          </w:tcPr>
          <w:p>
            <w:pPr>
              <w:rPr>
                <w:rFonts w:ascii="Arial" w:hAnsi="Arial" w:cs="Arial"/>
                <w:color w:val="auto"/>
                <w:sz w:val="18"/>
                <w:szCs w:val="18"/>
              </w:rPr>
            </w:pPr>
          </w:p>
        </w:tc>
        <w:tc>
          <w:tcPr>
            <w:tcW w:w="4635" w:type="dxa"/>
            <w:tcBorders>
              <w:top w:val="nil"/>
              <w:left w:val="nil"/>
              <w:bottom w:val="nil"/>
              <w:right w:val="nil"/>
            </w:tcBorders>
            <w:noWrap/>
            <w:vAlign w:val="bottom"/>
          </w:tcPr>
          <w:p>
            <w:pPr>
              <w:rPr>
                <w:rFonts w:ascii="Arial" w:hAnsi="Arial" w:cs="Arial"/>
                <w:color w:val="auto"/>
                <w:sz w:val="18"/>
                <w:szCs w:val="18"/>
              </w:rPr>
            </w:pPr>
          </w:p>
        </w:tc>
        <w:tc>
          <w:tcPr>
            <w:tcW w:w="2455"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lang w:bidi="ar"/>
              </w:rPr>
              <w:t>公开01表</w:t>
            </w:r>
          </w:p>
        </w:tc>
      </w:tr>
      <w:tr>
        <w:tblPrEx>
          <w:tblCellMar>
            <w:top w:w="0" w:type="dxa"/>
            <w:left w:w="108" w:type="dxa"/>
            <w:bottom w:w="0" w:type="dxa"/>
            <w:right w:w="108" w:type="dxa"/>
          </w:tblCellMar>
        </w:tblPrEx>
        <w:trPr>
          <w:trHeight w:val="264" w:hRule="atLeast"/>
        </w:trPr>
        <w:tc>
          <w:tcPr>
            <w:tcW w:w="12015" w:type="dxa"/>
            <w:gridSpan w:val="4"/>
            <w:tcBorders>
              <w:top w:val="nil"/>
              <w:left w:val="nil"/>
              <w:bottom w:val="nil"/>
              <w:right w:val="nil"/>
            </w:tcBorders>
            <w:noWrap/>
            <w:vAlign w:val="bottom"/>
          </w:tcPr>
          <w:p>
            <w:pPr>
              <w:widowControl/>
              <w:jc w:val="left"/>
              <w:textAlignment w:val="bottom"/>
              <w:rPr>
                <w:rFonts w:ascii="宋体" w:hAnsi="宋体" w:cs="宋体"/>
                <w:color w:val="auto"/>
                <w:sz w:val="18"/>
                <w:szCs w:val="18"/>
              </w:rPr>
            </w:pPr>
            <w:r>
              <w:rPr>
                <w:rFonts w:hint="eastAsia" w:ascii="宋体" w:hAnsi="宋体" w:cs="宋体"/>
                <w:color w:val="auto"/>
                <w:kern w:val="0"/>
                <w:sz w:val="18"/>
                <w:szCs w:val="18"/>
                <w:lang w:eastAsia="zh-CN" w:bidi="ar"/>
              </w:rPr>
              <w:t>单位</w:t>
            </w:r>
            <w:r>
              <w:rPr>
                <w:rFonts w:hint="eastAsia" w:ascii="宋体" w:hAnsi="宋体" w:cs="宋体"/>
                <w:color w:val="auto"/>
                <w:kern w:val="0"/>
                <w:sz w:val="18"/>
                <w:szCs w:val="18"/>
                <w:lang w:bidi="ar"/>
              </w:rPr>
              <w:t>：许昌高级中学</w:t>
            </w:r>
          </w:p>
        </w:tc>
        <w:tc>
          <w:tcPr>
            <w:tcW w:w="2455"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73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收入</w:t>
            </w:r>
          </w:p>
        </w:tc>
        <w:tc>
          <w:tcPr>
            <w:tcW w:w="709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支出</w:t>
            </w: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行次</w:t>
            </w:r>
          </w:p>
        </w:tc>
        <w:tc>
          <w:tcPr>
            <w:tcW w:w="159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金额</w:t>
            </w:r>
          </w:p>
        </w:tc>
        <w:tc>
          <w:tcPr>
            <w:tcW w:w="46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行次</w:t>
            </w:r>
          </w:p>
        </w:tc>
        <w:tc>
          <w:tcPr>
            <w:tcW w:w="159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金额</w:t>
            </w: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865" w:type="dxa"/>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59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46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865" w:type="dxa"/>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59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一、一般公共预算财政拨款收入</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159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6,822.64</w:t>
            </w: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一、一般公共服务支出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32</w:t>
            </w:r>
          </w:p>
        </w:tc>
        <w:tc>
          <w:tcPr>
            <w:tcW w:w="159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二、政府性基金预算财政拨款收入</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二、外交支出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33</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三、国有资本经营预算财政拨款收入</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三、国防支出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34</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四、上级补助收入</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四、公共安全支出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35</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五、事业收入</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w:t>
            </w:r>
          </w:p>
        </w:tc>
        <w:tc>
          <w:tcPr>
            <w:tcW w:w="159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1,240.00</w:t>
            </w: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五、教育支出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36</w:t>
            </w:r>
          </w:p>
        </w:tc>
        <w:tc>
          <w:tcPr>
            <w:tcW w:w="159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9,787.77</w:t>
            </w: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六、经营收入</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六、科学技术支出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37</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七、附属单位上缴收入</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7</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七、文化旅游体育与传媒支出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38</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八、其他收入</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8</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八、社会保障和就业支出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39</w:t>
            </w:r>
          </w:p>
        </w:tc>
        <w:tc>
          <w:tcPr>
            <w:tcW w:w="159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693.21</w:t>
            </w: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9</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九、卫生健康支出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40</w:t>
            </w:r>
          </w:p>
        </w:tc>
        <w:tc>
          <w:tcPr>
            <w:tcW w:w="159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176.70</w:t>
            </w: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10</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十、节能环保支出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41</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11</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十一、城乡社区支出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42</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12</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十二、农林水支出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43</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13</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十三、交通运输支出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44</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14</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十四、资源勘探工业信息等支出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45</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15</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十五、商业服务业等支出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46</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16</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十六、金融支出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47</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17</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十七、援助其他地区支出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48</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18</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十八、自然资源海洋气象等支出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49</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19</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十九、住房保障支出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50</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20</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二十、粮油物资储备支出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51</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21</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二十一、国有资本经营预算支出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52</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22</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二十二、灾害防治及应急管理支出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53</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23</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二十三、其他支出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54</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24</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二十四、债务还本支出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55</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25</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二十五、债务付息支出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56</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26</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二十六、抗疫特别国债安排的支出</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57</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lang w:bidi="ar"/>
              </w:rPr>
              <w:t>本年收入合计</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27</w:t>
            </w:r>
          </w:p>
        </w:tc>
        <w:tc>
          <w:tcPr>
            <w:tcW w:w="159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8,062.64</w:t>
            </w:r>
          </w:p>
        </w:tc>
        <w:tc>
          <w:tcPr>
            <w:tcW w:w="46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lang w:bidi="ar"/>
              </w:rPr>
              <w:t>本年支出合计</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58</w:t>
            </w:r>
          </w:p>
        </w:tc>
        <w:tc>
          <w:tcPr>
            <w:tcW w:w="159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10,692.36</w:t>
            </w: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使用非财政拨款结余</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28</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结余分配</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59</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年初结转和结余</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29</w:t>
            </w:r>
          </w:p>
        </w:tc>
        <w:tc>
          <w:tcPr>
            <w:tcW w:w="159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2,743.51</w:t>
            </w:r>
          </w:p>
        </w:tc>
        <w:tc>
          <w:tcPr>
            <w:tcW w:w="463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年末结转和结余</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60</w:t>
            </w:r>
          </w:p>
        </w:tc>
        <w:tc>
          <w:tcPr>
            <w:tcW w:w="159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113.79</w:t>
            </w: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30</w:t>
            </w:r>
          </w:p>
        </w:tc>
        <w:tc>
          <w:tcPr>
            <w:tcW w:w="15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635" w:type="dxa"/>
            <w:tcBorders>
              <w:top w:val="nil"/>
              <w:left w:val="nil"/>
              <w:bottom w:val="single" w:color="000000" w:sz="4" w:space="0"/>
              <w:right w:val="single" w:color="000000" w:sz="4" w:space="0"/>
            </w:tcBorders>
            <w:noWrap/>
            <w:vAlign w:val="center"/>
          </w:tcPr>
          <w:p>
            <w:pPr>
              <w:jc w:val="left"/>
              <w:rPr>
                <w:rFonts w:ascii="宋体" w:hAnsi="宋体" w:cs="宋体"/>
                <w:color w:val="auto"/>
                <w:sz w:val="22"/>
              </w:rPr>
            </w:pP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61</w:t>
            </w:r>
          </w:p>
        </w:tc>
        <w:tc>
          <w:tcPr>
            <w:tcW w:w="1590" w:type="dxa"/>
            <w:tcBorders>
              <w:top w:val="nil"/>
              <w:left w:val="nil"/>
              <w:bottom w:val="single" w:color="000000" w:sz="4" w:space="0"/>
              <w:right w:val="single" w:color="000000" w:sz="4" w:space="0"/>
            </w:tcBorders>
            <w:noWrap/>
            <w:vAlign w:val="center"/>
          </w:tcPr>
          <w:p>
            <w:pPr>
              <w:jc w:val="lef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25"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lang w:bidi="ar"/>
              </w:rPr>
              <w:t>总计</w:t>
            </w:r>
          </w:p>
        </w:tc>
        <w:tc>
          <w:tcPr>
            <w:tcW w:w="865" w:type="dxa"/>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31</w:t>
            </w:r>
          </w:p>
        </w:tc>
        <w:tc>
          <w:tcPr>
            <w:tcW w:w="159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10,806.14</w:t>
            </w:r>
          </w:p>
        </w:tc>
        <w:tc>
          <w:tcPr>
            <w:tcW w:w="46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lang w:bidi="ar"/>
              </w:rPr>
              <w:t>总计</w:t>
            </w:r>
          </w:p>
        </w:tc>
        <w:tc>
          <w:tcPr>
            <w:tcW w:w="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62</w:t>
            </w:r>
          </w:p>
        </w:tc>
        <w:tc>
          <w:tcPr>
            <w:tcW w:w="159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10,806.14</w:t>
            </w:r>
          </w:p>
        </w:tc>
      </w:tr>
      <w:tr>
        <w:tblPrEx>
          <w:tblCellMar>
            <w:top w:w="0" w:type="dxa"/>
            <w:left w:w="108" w:type="dxa"/>
            <w:bottom w:w="0" w:type="dxa"/>
            <w:right w:w="108" w:type="dxa"/>
          </w:tblCellMar>
        </w:tblPrEx>
        <w:trPr>
          <w:trHeight w:val="308" w:hRule="atLeast"/>
        </w:trPr>
        <w:tc>
          <w:tcPr>
            <w:tcW w:w="14470" w:type="dxa"/>
            <w:gridSpan w:val="6"/>
            <w:tcBorders>
              <w:top w:val="nil"/>
              <w:left w:val="nil"/>
              <w:bottom w:val="nil"/>
              <w:right w:val="nil"/>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注：本表反映</w:t>
            </w:r>
            <w:r>
              <w:rPr>
                <w:rFonts w:hint="eastAsia" w:ascii="宋体" w:hAnsi="宋体" w:cs="宋体"/>
                <w:color w:val="auto"/>
                <w:kern w:val="0"/>
                <w:sz w:val="22"/>
                <w:lang w:eastAsia="zh-CN" w:bidi="ar"/>
              </w:rPr>
              <w:t>单位</w:t>
            </w:r>
            <w:r>
              <w:rPr>
                <w:rFonts w:hint="eastAsia" w:ascii="宋体" w:hAnsi="宋体" w:cs="宋体"/>
                <w:color w:val="auto"/>
                <w:kern w:val="0"/>
                <w:sz w:val="22"/>
                <w:lang w:bidi="ar"/>
              </w:rPr>
              <w:t>本年度的总收支和年末结转结余情况。本表金额转换为万元时，因四舍五入可能存在尾差。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p>
      <w:pPr>
        <w:rPr>
          <w:rFonts w:ascii="仿宋_GB2312" w:hAnsi="仿宋_GB2312" w:eastAsia="仿宋_GB2312" w:cs="仿宋_GB2312"/>
          <w:color w:val="auto"/>
          <w:sz w:val="32"/>
          <w:szCs w:val="32"/>
        </w:rPr>
      </w:pPr>
    </w:p>
    <w:tbl>
      <w:tblPr>
        <w:tblStyle w:val="5"/>
        <w:tblW w:w="14071" w:type="dxa"/>
        <w:tblInd w:w="96" w:type="dxa"/>
        <w:tblLayout w:type="fixed"/>
        <w:tblCellMar>
          <w:top w:w="0" w:type="dxa"/>
          <w:left w:w="108" w:type="dxa"/>
          <w:bottom w:w="0" w:type="dxa"/>
          <w:right w:w="108" w:type="dxa"/>
        </w:tblCellMar>
      </w:tblPr>
      <w:tblGrid>
        <w:gridCol w:w="329"/>
        <w:gridCol w:w="329"/>
        <w:gridCol w:w="329"/>
        <w:gridCol w:w="3956"/>
        <w:gridCol w:w="1572"/>
        <w:gridCol w:w="1224"/>
        <w:gridCol w:w="1287"/>
        <w:gridCol w:w="1103"/>
        <w:gridCol w:w="1287"/>
        <w:gridCol w:w="1293"/>
        <w:gridCol w:w="1362"/>
      </w:tblGrid>
      <w:tr>
        <w:tblPrEx>
          <w:tblCellMar>
            <w:top w:w="0" w:type="dxa"/>
            <w:left w:w="108" w:type="dxa"/>
            <w:bottom w:w="0" w:type="dxa"/>
            <w:right w:w="108" w:type="dxa"/>
          </w:tblCellMar>
        </w:tblPrEx>
        <w:trPr>
          <w:trHeight w:val="384" w:hRule="atLeast"/>
        </w:trPr>
        <w:tc>
          <w:tcPr>
            <w:tcW w:w="14071" w:type="dxa"/>
            <w:gridSpan w:val="11"/>
            <w:tcBorders>
              <w:top w:val="nil"/>
              <w:left w:val="nil"/>
              <w:bottom w:val="nil"/>
              <w:right w:val="nil"/>
            </w:tcBorders>
            <w:shd w:val="clear" w:color="auto" w:fill="FFFFFF"/>
            <w:noWrap/>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lang w:bidi="ar"/>
              </w:rPr>
              <w:t>收入决算表</w:t>
            </w:r>
          </w:p>
        </w:tc>
      </w:tr>
      <w:tr>
        <w:tblPrEx>
          <w:tblCellMar>
            <w:top w:w="0" w:type="dxa"/>
            <w:left w:w="108" w:type="dxa"/>
            <w:bottom w:w="0" w:type="dxa"/>
            <w:right w:w="108" w:type="dxa"/>
          </w:tblCellMar>
        </w:tblPrEx>
        <w:trPr>
          <w:trHeight w:val="264" w:hRule="atLeast"/>
        </w:trPr>
        <w:tc>
          <w:tcPr>
            <w:tcW w:w="329" w:type="dxa"/>
            <w:tcBorders>
              <w:top w:val="nil"/>
              <w:left w:val="nil"/>
              <w:bottom w:val="nil"/>
              <w:right w:val="nil"/>
            </w:tcBorders>
            <w:shd w:val="clear" w:color="auto" w:fill="FFFFFF"/>
            <w:noWrap/>
            <w:vAlign w:val="bottom"/>
          </w:tcPr>
          <w:p>
            <w:pPr>
              <w:rPr>
                <w:rFonts w:ascii="Arial" w:hAnsi="Arial" w:cs="Arial"/>
                <w:color w:val="auto"/>
                <w:sz w:val="18"/>
                <w:szCs w:val="18"/>
              </w:rPr>
            </w:pPr>
          </w:p>
        </w:tc>
        <w:tc>
          <w:tcPr>
            <w:tcW w:w="329" w:type="dxa"/>
            <w:tcBorders>
              <w:top w:val="nil"/>
              <w:left w:val="nil"/>
              <w:bottom w:val="nil"/>
              <w:right w:val="nil"/>
            </w:tcBorders>
            <w:shd w:val="clear" w:color="auto" w:fill="FFFFFF"/>
            <w:noWrap/>
            <w:vAlign w:val="bottom"/>
          </w:tcPr>
          <w:p>
            <w:pPr>
              <w:rPr>
                <w:rFonts w:ascii="Arial" w:hAnsi="Arial" w:cs="Arial"/>
                <w:color w:val="auto"/>
                <w:sz w:val="18"/>
                <w:szCs w:val="18"/>
              </w:rPr>
            </w:pPr>
          </w:p>
        </w:tc>
        <w:tc>
          <w:tcPr>
            <w:tcW w:w="329" w:type="dxa"/>
            <w:tcBorders>
              <w:top w:val="nil"/>
              <w:left w:val="nil"/>
              <w:bottom w:val="nil"/>
              <w:right w:val="nil"/>
            </w:tcBorders>
            <w:shd w:val="clear" w:color="auto" w:fill="FFFFFF"/>
            <w:noWrap/>
            <w:vAlign w:val="bottom"/>
          </w:tcPr>
          <w:p>
            <w:pPr>
              <w:rPr>
                <w:rFonts w:ascii="Arial" w:hAnsi="Arial" w:cs="Arial"/>
                <w:color w:val="auto"/>
                <w:sz w:val="18"/>
                <w:szCs w:val="18"/>
              </w:rPr>
            </w:pPr>
          </w:p>
        </w:tc>
        <w:tc>
          <w:tcPr>
            <w:tcW w:w="3956" w:type="dxa"/>
            <w:tcBorders>
              <w:top w:val="nil"/>
              <w:left w:val="nil"/>
              <w:bottom w:val="nil"/>
              <w:right w:val="nil"/>
            </w:tcBorders>
            <w:shd w:val="clear" w:color="auto" w:fill="FFFFFF"/>
            <w:noWrap/>
            <w:vAlign w:val="bottom"/>
          </w:tcPr>
          <w:p>
            <w:pPr>
              <w:rPr>
                <w:rFonts w:ascii="Arial" w:hAnsi="Arial" w:cs="Arial"/>
                <w:color w:val="auto"/>
                <w:sz w:val="18"/>
                <w:szCs w:val="18"/>
              </w:rPr>
            </w:pPr>
          </w:p>
        </w:tc>
        <w:tc>
          <w:tcPr>
            <w:tcW w:w="1572" w:type="dxa"/>
            <w:tcBorders>
              <w:top w:val="nil"/>
              <w:left w:val="nil"/>
              <w:bottom w:val="nil"/>
              <w:right w:val="nil"/>
            </w:tcBorders>
            <w:shd w:val="clear" w:color="auto" w:fill="FFFFFF"/>
            <w:noWrap/>
            <w:vAlign w:val="bottom"/>
          </w:tcPr>
          <w:p>
            <w:pPr>
              <w:rPr>
                <w:rFonts w:ascii="Arial" w:hAnsi="Arial" w:cs="Arial"/>
                <w:color w:val="auto"/>
                <w:sz w:val="18"/>
                <w:szCs w:val="18"/>
              </w:rPr>
            </w:pPr>
          </w:p>
        </w:tc>
        <w:tc>
          <w:tcPr>
            <w:tcW w:w="1224" w:type="dxa"/>
            <w:tcBorders>
              <w:top w:val="nil"/>
              <w:left w:val="nil"/>
              <w:bottom w:val="nil"/>
              <w:right w:val="nil"/>
            </w:tcBorders>
            <w:shd w:val="clear" w:color="auto" w:fill="FFFFFF"/>
            <w:noWrap/>
            <w:vAlign w:val="bottom"/>
          </w:tcPr>
          <w:p>
            <w:pPr>
              <w:rPr>
                <w:rFonts w:ascii="Arial" w:hAnsi="Arial" w:cs="Arial"/>
                <w:color w:val="auto"/>
                <w:sz w:val="18"/>
                <w:szCs w:val="18"/>
              </w:rPr>
            </w:pPr>
          </w:p>
        </w:tc>
        <w:tc>
          <w:tcPr>
            <w:tcW w:w="1287" w:type="dxa"/>
            <w:tcBorders>
              <w:top w:val="nil"/>
              <w:left w:val="nil"/>
              <w:bottom w:val="nil"/>
              <w:right w:val="nil"/>
            </w:tcBorders>
            <w:shd w:val="clear" w:color="auto" w:fill="FFFFFF"/>
            <w:noWrap/>
            <w:vAlign w:val="bottom"/>
          </w:tcPr>
          <w:p>
            <w:pPr>
              <w:rPr>
                <w:rFonts w:ascii="Arial" w:hAnsi="Arial" w:cs="Arial"/>
                <w:color w:val="auto"/>
                <w:sz w:val="18"/>
                <w:szCs w:val="18"/>
              </w:rPr>
            </w:pPr>
          </w:p>
        </w:tc>
        <w:tc>
          <w:tcPr>
            <w:tcW w:w="1103" w:type="dxa"/>
            <w:tcBorders>
              <w:top w:val="nil"/>
              <w:left w:val="nil"/>
              <w:bottom w:val="nil"/>
              <w:right w:val="nil"/>
            </w:tcBorders>
            <w:shd w:val="clear" w:color="auto" w:fill="FFFFFF"/>
            <w:noWrap/>
            <w:vAlign w:val="bottom"/>
          </w:tcPr>
          <w:p>
            <w:pPr>
              <w:rPr>
                <w:rFonts w:ascii="Arial" w:hAnsi="Arial" w:cs="Arial"/>
                <w:color w:val="auto"/>
                <w:sz w:val="18"/>
                <w:szCs w:val="18"/>
              </w:rPr>
            </w:pPr>
          </w:p>
        </w:tc>
        <w:tc>
          <w:tcPr>
            <w:tcW w:w="1287" w:type="dxa"/>
            <w:tcBorders>
              <w:top w:val="nil"/>
              <w:left w:val="nil"/>
              <w:bottom w:val="nil"/>
              <w:right w:val="nil"/>
            </w:tcBorders>
            <w:shd w:val="clear" w:color="auto" w:fill="FFFFFF"/>
            <w:noWrap/>
            <w:vAlign w:val="bottom"/>
          </w:tcPr>
          <w:p>
            <w:pPr>
              <w:rPr>
                <w:rFonts w:ascii="Arial" w:hAnsi="Arial" w:cs="Arial"/>
                <w:color w:val="auto"/>
                <w:sz w:val="18"/>
                <w:szCs w:val="18"/>
              </w:rPr>
            </w:pPr>
          </w:p>
        </w:tc>
        <w:tc>
          <w:tcPr>
            <w:tcW w:w="2655" w:type="dxa"/>
            <w:gridSpan w:val="2"/>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lang w:bidi="ar"/>
              </w:rPr>
              <w:t>公开02表</w:t>
            </w:r>
          </w:p>
        </w:tc>
      </w:tr>
      <w:tr>
        <w:tblPrEx>
          <w:tblCellMar>
            <w:top w:w="0" w:type="dxa"/>
            <w:left w:w="108" w:type="dxa"/>
            <w:bottom w:w="0" w:type="dxa"/>
            <w:right w:w="108" w:type="dxa"/>
          </w:tblCellMar>
        </w:tblPrEx>
        <w:trPr>
          <w:trHeight w:val="264" w:hRule="atLeast"/>
        </w:trPr>
        <w:tc>
          <w:tcPr>
            <w:tcW w:w="11416" w:type="dxa"/>
            <w:gridSpan w:val="9"/>
            <w:tcBorders>
              <w:top w:val="nil"/>
              <w:left w:val="nil"/>
              <w:bottom w:val="nil"/>
              <w:right w:val="nil"/>
            </w:tcBorders>
            <w:shd w:val="clear" w:color="auto" w:fill="FFFFFF"/>
            <w:noWrap/>
            <w:vAlign w:val="bottom"/>
          </w:tcPr>
          <w:p>
            <w:pPr>
              <w:widowControl/>
              <w:jc w:val="left"/>
              <w:textAlignment w:val="bottom"/>
              <w:rPr>
                <w:rFonts w:ascii="宋体" w:hAnsi="宋体" w:cs="宋体"/>
                <w:color w:val="auto"/>
                <w:sz w:val="18"/>
                <w:szCs w:val="18"/>
              </w:rPr>
            </w:pPr>
            <w:r>
              <w:rPr>
                <w:rFonts w:hint="eastAsia" w:ascii="宋体" w:hAnsi="宋体" w:cs="宋体"/>
                <w:color w:val="auto"/>
                <w:kern w:val="0"/>
                <w:sz w:val="18"/>
                <w:szCs w:val="18"/>
                <w:lang w:eastAsia="zh-CN" w:bidi="ar"/>
              </w:rPr>
              <w:t>单位</w:t>
            </w:r>
            <w:r>
              <w:rPr>
                <w:rFonts w:hint="eastAsia" w:ascii="宋体" w:hAnsi="宋体" w:cs="宋体"/>
                <w:color w:val="auto"/>
                <w:kern w:val="0"/>
                <w:sz w:val="18"/>
                <w:szCs w:val="18"/>
                <w:lang w:bidi="ar"/>
              </w:rPr>
              <w:t>：许昌高级中学</w:t>
            </w:r>
          </w:p>
        </w:tc>
        <w:tc>
          <w:tcPr>
            <w:tcW w:w="2655" w:type="dxa"/>
            <w:gridSpan w:val="2"/>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494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w:t>
            </w:r>
          </w:p>
        </w:tc>
        <w:tc>
          <w:tcPr>
            <w:tcW w:w="1572"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本年收入合计</w:t>
            </w:r>
          </w:p>
        </w:tc>
        <w:tc>
          <w:tcPr>
            <w:tcW w:w="1224"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财政拨款收入</w:t>
            </w:r>
          </w:p>
        </w:tc>
        <w:tc>
          <w:tcPr>
            <w:tcW w:w="1287"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上级补助收入</w:t>
            </w:r>
          </w:p>
        </w:tc>
        <w:tc>
          <w:tcPr>
            <w:tcW w:w="1103"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事业收入</w:t>
            </w:r>
          </w:p>
        </w:tc>
        <w:tc>
          <w:tcPr>
            <w:tcW w:w="1287"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经营收入</w:t>
            </w:r>
          </w:p>
        </w:tc>
        <w:tc>
          <w:tcPr>
            <w:tcW w:w="1293"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附属单位上缴收入</w:t>
            </w:r>
          </w:p>
        </w:tc>
        <w:tc>
          <w:tcPr>
            <w:tcW w:w="1362"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其他收入</w:t>
            </w:r>
          </w:p>
        </w:tc>
      </w:tr>
      <w:tr>
        <w:tblPrEx>
          <w:tblCellMar>
            <w:top w:w="0" w:type="dxa"/>
            <w:left w:w="108" w:type="dxa"/>
            <w:bottom w:w="0" w:type="dxa"/>
            <w:right w:w="108" w:type="dxa"/>
          </w:tblCellMar>
        </w:tblPrEx>
        <w:trPr>
          <w:trHeight w:val="312" w:hRule="atLeast"/>
        </w:trPr>
        <w:tc>
          <w:tcPr>
            <w:tcW w:w="987"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功能分类科目编码</w:t>
            </w:r>
          </w:p>
        </w:tc>
        <w:tc>
          <w:tcPr>
            <w:tcW w:w="395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157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22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28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10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28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29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36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395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rPr>
            </w:pPr>
          </w:p>
        </w:tc>
        <w:tc>
          <w:tcPr>
            <w:tcW w:w="157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22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28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10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28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29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36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395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rPr>
            </w:pPr>
          </w:p>
        </w:tc>
        <w:tc>
          <w:tcPr>
            <w:tcW w:w="157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22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28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10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28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29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36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943"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157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122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128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110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w:t>
            </w:r>
          </w:p>
        </w:tc>
        <w:tc>
          <w:tcPr>
            <w:tcW w:w="128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w:t>
            </w:r>
          </w:p>
        </w:tc>
        <w:tc>
          <w:tcPr>
            <w:tcW w:w="129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w:t>
            </w:r>
          </w:p>
        </w:tc>
        <w:tc>
          <w:tcPr>
            <w:tcW w:w="136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7</w:t>
            </w:r>
          </w:p>
        </w:tc>
      </w:tr>
      <w:tr>
        <w:tblPrEx>
          <w:tblCellMar>
            <w:top w:w="0" w:type="dxa"/>
            <w:left w:w="108" w:type="dxa"/>
            <w:bottom w:w="0" w:type="dxa"/>
            <w:right w:w="108" w:type="dxa"/>
          </w:tblCellMar>
        </w:tblPrEx>
        <w:trPr>
          <w:trHeight w:val="308" w:hRule="atLeast"/>
        </w:trPr>
        <w:tc>
          <w:tcPr>
            <w:tcW w:w="4943"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lang w:bidi="ar"/>
              </w:rPr>
              <w:t>8,062.64</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lang w:bidi="ar"/>
              </w:rPr>
              <w:t>6,822.64</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lang w:bidi="ar"/>
              </w:rPr>
              <w:t>1,240.00</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201</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一般公共服务支出</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20129</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群众团体事务</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2012906</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工会事务</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教育支出</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7,226.82</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5,986.82</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1,240.00</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20502</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普通教育</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7,202.82</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5,962.82</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1,240.00</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2050204</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高中教育</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7,098.22</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5,858.22</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1,240.00</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2050205</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高等教育</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0.39</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0.39</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2050299</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其他普通教育支出</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104.21</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104.21</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20599</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其他教育支出</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24.00</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24.00</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2059999</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其他教育支出</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24.00</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24.00</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社会保障和就业支出</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657.39</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657.39</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20805</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行政事业单位养老支出</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653.52</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653.52</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2080502</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事业单位离退休</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250.51</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250.51</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2080505</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机关事业单位基本养老保险缴费支出</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403.01</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403.01</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20808</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抚恤</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3.87</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3.87</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2080801</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死亡抚恤</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3.87</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3.87</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210</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卫生健康支出</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143.76</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143.76</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21011</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行政事业单位医疗</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143.76</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143.76</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2101102</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事业单位医疗</w:t>
            </w:r>
          </w:p>
        </w:tc>
        <w:tc>
          <w:tcPr>
            <w:tcW w:w="157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143.76</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143.76</w:t>
            </w: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0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8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9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62"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4071" w:type="dxa"/>
            <w:gridSpan w:val="11"/>
            <w:tcBorders>
              <w:top w:val="nil"/>
              <w:left w:val="nil"/>
              <w:bottom w:val="nil"/>
              <w:right w:val="nil"/>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注：本表反映</w:t>
            </w:r>
            <w:r>
              <w:rPr>
                <w:rFonts w:hint="eastAsia" w:ascii="宋体" w:hAnsi="宋体" w:cs="宋体"/>
                <w:color w:val="auto"/>
                <w:kern w:val="0"/>
                <w:sz w:val="22"/>
                <w:lang w:eastAsia="zh-CN" w:bidi="ar"/>
              </w:rPr>
              <w:t>单位</w:t>
            </w:r>
            <w:r>
              <w:rPr>
                <w:rFonts w:hint="eastAsia" w:ascii="宋体" w:hAnsi="宋体" w:cs="宋体"/>
                <w:color w:val="auto"/>
                <w:kern w:val="0"/>
                <w:sz w:val="22"/>
                <w:lang w:bidi="ar"/>
              </w:rPr>
              <w:t>本年度取得的各项收入情况。本表金额转换为万元时，因四舍五入可能存在尾差。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499" w:type="dxa"/>
        <w:tblInd w:w="96" w:type="dxa"/>
        <w:tblLayout w:type="fixed"/>
        <w:tblCellMar>
          <w:top w:w="0" w:type="dxa"/>
          <w:left w:w="108" w:type="dxa"/>
          <w:bottom w:w="0" w:type="dxa"/>
          <w:right w:w="108" w:type="dxa"/>
        </w:tblCellMar>
      </w:tblPr>
      <w:tblGrid>
        <w:gridCol w:w="329"/>
        <w:gridCol w:w="329"/>
        <w:gridCol w:w="329"/>
        <w:gridCol w:w="4850"/>
        <w:gridCol w:w="1642"/>
        <w:gridCol w:w="1611"/>
        <w:gridCol w:w="1811"/>
        <w:gridCol w:w="1260"/>
        <w:gridCol w:w="1157"/>
        <w:gridCol w:w="1181"/>
      </w:tblGrid>
      <w:tr>
        <w:tblPrEx>
          <w:tblCellMar>
            <w:top w:w="0" w:type="dxa"/>
            <w:left w:w="108" w:type="dxa"/>
            <w:bottom w:w="0" w:type="dxa"/>
            <w:right w:w="108" w:type="dxa"/>
          </w:tblCellMar>
        </w:tblPrEx>
        <w:trPr>
          <w:trHeight w:val="384" w:hRule="atLeast"/>
        </w:trPr>
        <w:tc>
          <w:tcPr>
            <w:tcW w:w="14499" w:type="dxa"/>
            <w:gridSpan w:val="10"/>
            <w:tcBorders>
              <w:top w:val="nil"/>
              <w:left w:val="nil"/>
              <w:bottom w:val="nil"/>
              <w:right w:val="nil"/>
            </w:tcBorders>
            <w:shd w:val="clear" w:color="auto" w:fill="FFFFFF"/>
            <w:noWrap/>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lang w:bidi="ar"/>
              </w:rPr>
              <w:t>支出决算表</w:t>
            </w:r>
          </w:p>
        </w:tc>
      </w:tr>
      <w:tr>
        <w:tblPrEx>
          <w:tblCellMar>
            <w:top w:w="0" w:type="dxa"/>
            <w:left w:w="108" w:type="dxa"/>
            <w:bottom w:w="0" w:type="dxa"/>
            <w:right w:w="108" w:type="dxa"/>
          </w:tblCellMar>
        </w:tblPrEx>
        <w:trPr>
          <w:trHeight w:val="264" w:hRule="atLeast"/>
        </w:trPr>
        <w:tc>
          <w:tcPr>
            <w:tcW w:w="329" w:type="dxa"/>
            <w:tcBorders>
              <w:top w:val="nil"/>
              <w:left w:val="nil"/>
              <w:bottom w:val="nil"/>
              <w:right w:val="nil"/>
            </w:tcBorders>
            <w:shd w:val="clear" w:color="auto" w:fill="FFFFFF"/>
            <w:noWrap/>
            <w:vAlign w:val="bottom"/>
          </w:tcPr>
          <w:p>
            <w:pPr>
              <w:rPr>
                <w:rFonts w:ascii="Arial" w:hAnsi="Arial" w:cs="Arial"/>
                <w:color w:val="auto"/>
                <w:sz w:val="20"/>
                <w:szCs w:val="20"/>
              </w:rPr>
            </w:pPr>
          </w:p>
        </w:tc>
        <w:tc>
          <w:tcPr>
            <w:tcW w:w="329" w:type="dxa"/>
            <w:tcBorders>
              <w:top w:val="nil"/>
              <w:left w:val="nil"/>
              <w:bottom w:val="nil"/>
              <w:right w:val="nil"/>
            </w:tcBorders>
            <w:shd w:val="clear" w:color="auto" w:fill="FFFFFF"/>
            <w:noWrap/>
            <w:vAlign w:val="bottom"/>
          </w:tcPr>
          <w:p>
            <w:pPr>
              <w:rPr>
                <w:rFonts w:ascii="Arial" w:hAnsi="Arial" w:cs="Arial"/>
                <w:color w:val="auto"/>
                <w:sz w:val="20"/>
                <w:szCs w:val="20"/>
              </w:rPr>
            </w:pPr>
          </w:p>
        </w:tc>
        <w:tc>
          <w:tcPr>
            <w:tcW w:w="329" w:type="dxa"/>
            <w:tcBorders>
              <w:top w:val="nil"/>
              <w:left w:val="nil"/>
              <w:bottom w:val="nil"/>
              <w:right w:val="nil"/>
            </w:tcBorders>
            <w:shd w:val="clear" w:color="auto" w:fill="FFFFFF"/>
            <w:noWrap/>
            <w:vAlign w:val="bottom"/>
          </w:tcPr>
          <w:p>
            <w:pPr>
              <w:rPr>
                <w:rFonts w:ascii="Arial" w:hAnsi="Arial" w:cs="Arial"/>
                <w:color w:val="auto"/>
                <w:sz w:val="20"/>
                <w:szCs w:val="20"/>
              </w:rPr>
            </w:pPr>
          </w:p>
        </w:tc>
        <w:tc>
          <w:tcPr>
            <w:tcW w:w="4850" w:type="dxa"/>
            <w:tcBorders>
              <w:top w:val="nil"/>
              <w:left w:val="nil"/>
              <w:bottom w:val="nil"/>
              <w:right w:val="nil"/>
            </w:tcBorders>
            <w:shd w:val="clear" w:color="auto" w:fill="FFFFFF"/>
            <w:noWrap/>
            <w:vAlign w:val="bottom"/>
          </w:tcPr>
          <w:p>
            <w:pPr>
              <w:rPr>
                <w:rFonts w:ascii="Arial" w:hAnsi="Arial" w:cs="Arial"/>
                <w:color w:val="auto"/>
                <w:sz w:val="20"/>
                <w:szCs w:val="20"/>
              </w:rPr>
            </w:pPr>
          </w:p>
        </w:tc>
        <w:tc>
          <w:tcPr>
            <w:tcW w:w="1642" w:type="dxa"/>
            <w:tcBorders>
              <w:top w:val="nil"/>
              <w:left w:val="nil"/>
              <w:bottom w:val="nil"/>
              <w:right w:val="nil"/>
            </w:tcBorders>
            <w:shd w:val="clear" w:color="auto" w:fill="FFFFFF"/>
            <w:noWrap/>
            <w:vAlign w:val="bottom"/>
          </w:tcPr>
          <w:p>
            <w:pPr>
              <w:rPr>
                <w:rFonts w:ascii="Arial" w:hAnsi="Arial" w:cs="Arial"/>
                <w:color w:val="auto"/>
                <w:sz w:val="20"/>
                <w:szCs w:val="20"/>
              </w:rPr>
            </w:pPr>
          </w:p>
        </w:tc>
        <w:tc>
          <w:tcPr>
            <w:tcW w:w="1611" w:type="dxa"/>
            <w:tcBorders>
              <w:top w:val="nil"/>
              <w:left w:val="nil"/>
              <w:bottom w:val="nil"/>
              <w:right w:val="nil"/>
            </w:tcBorders>
            <w:shd w:val="clear" w:color="auto" w:fill="FFFFFF"/>
            <w:noWrap/>
            <w:vAlign w:val="bottom"/>
          </w:tcPr>
          <w:p>
            <w:pPr>
              <w:rPr>
                <w:rFonts w:ascii="Arial" w:hAnsi="Arial" w:cs="Arial"/>
                <w:color w:val="auto"/>
                <w:sz w:val="18"/>
                <w:szCs w:val="18"/>
              </w:rPr>
            </w:pPr>
          </w:p>
        </w:tc>
        <w:tc>
          <w:tcPr>
            <w:tcW w:w="1811" w:type="dxa"/>
            <w:tcBorders>
              <w:top w:val="nil"/>
              <w:left w:val="nil"/>
              <w:bottom w:val="nil"/>
              <w:right w:val="nil"/>
            </w:tcBorders>
            <w:shd w:val="clear" w:color="auto" w:fill="FFFFFF"/>
            <w:noWrap/>
            <w:vAlign w:val="bottom"/>
          </w:tcPr>
          <w:p>
            <w:pPr>
              <w:rPr>
                <w:rFonts w:ascii="Arial" w:hAnsi="Arial" w:cs="Arial"/>
                <w:color w:val="auto"/>
                <w:sz w:val="18"/>
                <w:szCs w:val="18"/>
              </w:rPr>
            </w:pPr>
          </w:p>
        </w:tc>
        <w:tc>
          <w:tcPr>
            <w:tcW w:w="1260" w:type="dxa"/>
            <w:tcBorders>
              <w:top w:val="nil"/>
              <w:left w:val="nil"/>
              <w:bottom w:val="nil"/>
              <w:right w:val="nil"/>
            </w:tcBorders>
            <w:shd w:val="clear" w:color="auto" w:fill="FFFFFF"/>
            <w:noWrap/>
            <w:vAlign w:val="bottom"/>
          </w:tcPr>
          <w:p>
            <w:pPr>
              <w:rPr>
                <w:rFonts w:ascii="Arial" w:hAnsi="Arial" w:cs="Arial"/>
                <w:color w:val="auto"/>
                <w:sz w:val="18"/>
                <w:szCs w:val="18"/>
              </w:rPr>
            </w:pPr>
          </w:p>
        </w:tc>
        <w:tc>
          <w:tcPr>
            <w:tcW w:w="2338" w:type="dxa"/>
            <w:gridSpan w:val="2"/>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lang w:bidi="ar"/>
              </w:rPr>
              <w:t>公开03表</w:t>
            </w:r>
          </w:p>
        </w:tc>
      </w:tr>
      <w:tr>
        <w:tblPrEx>
          <w:tblCellMar>
            <w:top w:w="0" w:type="dxa"/>
            <w:left w:w="108" w:type="dxa"/>
            <w:bottom w:w="0" w:type="dxa"/>
            <w:right w:w="108" w:type="dxa"/>
          </w:tblCellMar>
        </w:tblPrEx>
        <w:trPr>
          <w:trHeight w:val="264" w:hRule="atLeast"/>
        </w:trPr>
        <w:tc>
          <w:tcPr>
            <w:tcW w:w="12161" w:type="dxa"/>
            <w:gridSpan w:val="8"/>
            <w:tcBorders>
              <w:top w:val="nil"/>
              <w:left w:val="nil"/>
              <w:bottom w:val="nil"/>
              <w:right w:val="nil"/>
            </w:tcBorders>
            <w:shd w:val="clear" w:color="auto" w:fill="FFFFFF"/>
            <w:noWrap/>
            <w:vAlign w:val="bottom"/>
          </w:tcPr>
          <w:p>
            <w:pPr>
              <w:widowControl/>
              <w:jc w:val="left"/>
              <w:textAlignment w:val="bottom"/>
              <w:rPr>
                <w:rFonts w:ascii="宋体" w:hAnsi="宋体" w:cs="宋体"/>
                <w:color w:val="auto"/>
                <w:sz w:val="18"/>
                <w:szCs w:val="18"/>
              </w:rPr>
            </w:pPr>
            <w:r>
              <w:rPr>
                <w:rFonts w:hint="eastAsia" w:ascii="宋体" w:hAnsi="宋体" w:cs="宋体"/>
                <w:color w:val="auto"/>
                <w:kern w:val="0"/>
                <w:sz w:val="18"/>
                <w:szCs w:val="18"/>
                <w:lang w:eastAsia="zh-CN" w:bidi="ar"/>
              </w:rPr>
              <w:t>单位</w:t>
            </w:r>
            <w:r>
              <w:rPr>
                <w:rFonts w:hint="eastAsia" w:ascii="宋体" w:hAnsi="宋体" w:cs="宋体"/>
                <w:color w:val="auto"/>
                <w:kern w:val="0"/>
                <w:sz w:val="18"/>
                <w:szCs w:val="18"/>
                <w:lang w:bidi="ar"/>
              </w:rPr>
              <w:t>：许昌高级中学</w:t>
            </w:r>
          </w:p>
        </w:tc>
        <w:tc>
          <w:tcPr>
            <w:tcW w:w="2338" w:type="dxa"/>
            <w:gridSpan w:val="2"/>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5837"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w:t>
            </w:r>
          </w:p>
        </w:tc>
        <w:tc>
          <w:tcPr>
            <w:tcW w:w="1642"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本年支出合计</w:t>
            </w:r>
          </w:p>
        </w:tc>
        <w:tc>
          <w:tcPr>
            <w:tcW w:w="1611"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基本支出</w:t>
            </w:r>
          </w:p>
        </w:tc>
        <w:tc>
          <w:tcPr>
            <w:tcW w:w="1811"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项目支出</w:t>
            </w:r>
          </w:p>
        </w:tc>
        <w:tc>
          <w:tcPr>
            <w:tcW w:w="126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上缴上级支出</w:t>
            </w:r>
          </w:p>
        </w:tc>
        <w:tc>
          <w:tcPr>
            <w:tcW w:w="1157"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经营支出</w:t>
            </w:r>
          </w:p>
        </w:tc>
        <w:tc>
          <w:tcPr>
            <w:tcW w:w="1181"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对附属单位补助支出</w:t>
            </w:r>
          </w:p>
        </w:tc>
      </w:tr>
      <w:tr>
        <w:tblPrEx>
          <w:tblCellMar>
            <w:top w:w="0" w:type="dxa"/>
            <w:left w:w="108" w:type="dxa"/>
            <w:bottom w:w="0" w:type="dxa"/>
            <w:right w:w="108" w:type="dxa"/>
          </w:tblCellMar>
        </w:tblPrEx>
        <w:trPr>
          <w:trHeight w:val="312" w:hRule="atLeast"/>
        </w:trPr>
        <w:tc>
          <w:tcPr>
            <w:tcW w:w="987"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功能分类科目编码</w:t>
            </w:r>
          </w:p>
        </w:tc>
        <w:tc>
          <w:tcPr>
            <w:tcW w:w="485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164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61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81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2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15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18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4850" w:type="dxa"/>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rPr>
            </w:pPr>
          </w:p>
        </w:tc>
        <w:tc>
          <w:tcPr>
            <w:tcW w:w="164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61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81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2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15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18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4850" w:type="dxa"/>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rPr>
            </w:pPr>
          </w:p>
        </w:tc>
        <w:tc>
          <w:tcPr>
            <w:tcW w:w="164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61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81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2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15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18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5837"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16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161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181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126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w:t>
            </w:r>
          </w:p>
        </w:tc>
        <w:tc>
          <w:tcPr>
            <w:tcW w:w="115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w:t>
            </w:r>
          </w:p>
        </w:tc>
        <w:tc>
          <w:tcPr>
            <w:tcW w:w="11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w:t>
            </w:r>
          </w:p>
        </w:tc>
      </w:tr>
      <w:tr>
        <w:tblPrEx>
          <w:tblCellMar>
            <w:top w:w="0" w:type="dxa"/>
            <w:left w:w="108" w:type="dxa"/>
            <w:bottom w:w="0" w:type="dxa"/>
            <w:right w:w="108" w:type="dxa"/>
          </w:tblCellMar>
        </w:tblPrEx>
        <w:trPr>
          <w:trHeight w:val="308" w:hRule="atLeast"/>
        </w:trPr>
        <w:tc>
          <w:tcPr>
            <w:tcW w:w="5837"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lang w:bidi="ar"/>
              </w:rPr>
              <w:t>10,692.36</w:t>
            </w:r>
          </w:p>
        </w:tc>
        <w:tc>
          <w:tcPr>
            <w:tcW w:w="16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lang w:bidi="ar"/>
              </w:rPr>
              <w:t>9,005.73</w:t>
            </w:r>
          </w:p>
        </w:tc>
        <w:tc>
          <w:tcPr>
            <w:tcW w:w="18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lang w:bidi="ar"/>
              </w:rPr>
              <w:t>1,686.63</w:t>
            </w: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201</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一般公共服务支出</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16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181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20129</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群众团体事务</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16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181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2012906</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工会事务</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16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181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教育支出</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9,787.77</w:t>
            </w:r>
          </w:p>
        </w:tc>
        <w:tc>
          <w:tcPr>
            <w:tcW w:w="16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8,101.15</w:t>
            </w:r>
          </w:p>
        </w:tc>
        <w:tc>
          <w:tcPr>
            <w:tcW w:w="18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1,686.63</w:t>
            </w: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20502</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普通教育</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9,759.57</w:t>
            </w:r>
          </w:p>
        </w:tc>
        <w:tc>
          <w:tcPr>
            <w:tcW w:w="16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8,101.15</w:t>
            </w:r>
          </w:p>
        </w:tc>
        <w:tc>
          <w:tcPr>
            <w:tcW w:w="18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1,658.43</w:t>
            </w: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2050204</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高中教育</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8,616.46</w:t>
            </w:r>
          </w:p>
        </w:tc>
        <w:tc>
          <w:tcPr>
            <w:tcW w:w="16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7,853.47</w:t>
            </w:r>
          </w:p>
        </w:tc>
        <w:tc>
          <w:tcPr>
            <w:tcW w:w="18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762.99</w:t>
            </w: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2050205</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高等教育</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0.39</w:t>
            </w:r>
          </w:p>
        </w:tc>
        <w:tc>
          <w:tcPr>
            <w:tcW w:w="161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8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0.39</w:t>
            </w: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2050299</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其他普通教育支出</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1,142.72</w:t>
            </w:r>
          </w:p>
        </w:tc>
        <w:tc>
          <w:tcPr>
            <w:tcW w:w="16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247.67</w:t>
            </w:r>
          </w:p>
        </w:tc>
        <w:tc>
          <w:tcPr>
            <w:tcW w:w="18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895.05</w:t>
            </w: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20507</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特殊教育</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4.20</w:t>
            </w:r>
          </w:p>
        </w:tc>
        <w:tc>
          <w:tcPr>
            <w:tcW w:w="161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8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4.20</w:t>
            </w: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2050701</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特殊学校教育</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4.20</w:t>
            </w:r>
          </w:p>
        </w:tc>
        <w:tc>
          <w:tcPr>
            <w:tcW w:w="161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8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4.20</w:t>
            </w: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20599</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其他教育支出</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24.00</w:t>
            </w:r>
          </w:p>
        </w:tc>
        <w:tc>
          <w:tcPr>
            <w:tcW w:w="161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8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24.00</w:t>
            </w: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2059999</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其他教育支出</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24.00</w:t>
            </w:r>
          </w:p>
        </w:tc>
        <w:tc>
          <w:tcPr>
            <w:tcW w:w="161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8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24.00</w:t>
            </w: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社会保障和就业支出</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693.21</w:t>
            </w:r>
          </w:p>
        </w:tc>
        <w:tc>
          <w:tcPr>
            <w:tcW w:w="16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693.21</w:t>
            </w:r>
          </w:p>
        </w:tc>
        <w:tc>
          <w:tcPr>
            <w:tcW w:w="181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20805</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行政事业单位养老支出</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689.34</w:t>
            </w:r>
          </w:p>
        </w:tc>
        <w:tc>
          <w:tcPr>
            <w:tcW w:w="16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689.34</w:t>
            </w:r>
          </w:p>
        </w:tc>
        <w:tc>
          <w:tcPr>
            <w:tcW w:w="181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2080502</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事业单位离退休</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286.33</w:t>
            </w:r>
          </w:p>
        </w:tc>
        <w:tc>
          <w:tcPr>
            <w:tcW w:w="16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286.33</w:t>
            </w:r>
          </w:p>
        </w:tc>
        <w:tc>
          <w:tcPr>
            <w:tcW w:w="181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2080505</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机关事业单位基本养老保险缴费支出</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403.01</w:t>
            </w:r>
          </w:p>
        </w:tc>
        <w:tc>
          <w:tcPr>
            <w:tcW w:w="16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403.01</w:t>
            </w:r>
          </w:p>
        </w:tc>
        <w:tc>
          <w:tcPr>
            <w:tcW w:w="181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20808</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抚恤</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3.87</w:t>
            </w:r>
          </w:p>
        </w:tc>
        <w:tc>
          <w:tcPr>
            <w:tcW w:w="16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3.87</w:t>
            </w:r>
          </w:p>
        </w:tc>
        <w:tc>
          <w:tcPr>
            <w:tcW w:w="181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2080801</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死亡抚恤</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3.87</w:t>
            </w:r>
          </w:p>
        </w:tc>
        <w:tc>
          <w:tcPr>
            <w:tcW w:w="16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3.87</w:t>
            </w:r>
          </w:p>
        </w:tc>
        <w:tc>
          <w:tcPr>
            <w:tcW w:w="181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210</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卫生健康支出</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176.70</w:t>
            </w:r>
          </w:p>
        </w:tc>
        <w:tc>
          <w:tcPr>
            <w:tcW w:w="16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176.70</w:t>
            </w:r>
          </w:p>
        </w:tc>
        <w:tc>
          <w:tcPr>
            <w:tcW w:w="181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21011</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行政事业单位医疗</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176.70</w:t>
            </w:r>
          </w:p>
        </w:tc>
        <w:tc>
          <w:tcPr>
            <w:tcW w:w="16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176.70</w:t>
            </w:r>
          </w:p>
        </w:tc>
        <w:tc>
          <w:tcPr>
            <w:tcW w:w="181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2101102</w:t>
            </w:r>
          </w:p>
        </w:tc>
        <w:tc>
          <w:tcPr>
            <w:tcW w:w="4850"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事业单位医疗</w:t>
            </w:r>
          </w:p>
        </w:tc>
        <w:tc>
          <w:tcPr>
            <w:tcW w:w="164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176.70</w:t>
            </w:r>
          </w:p>
        </w:tc>
        <w:tc>
          <w:tcPr>
            <w:tcW w:w="161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176.70</w:t>
            </w:r>
          </w:p>
        </w:tc>
        <w:tc>
          <w:tcPr>
            <w:tcW w:w="181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5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4499" w:type="dxa"/>
            <w:gridSpan w:val="10"/>
            <w:tcBorders>
              <w:top w:val="nil"/>
              <w:left w:val="nil"/>
              <w:bottom w:val="nil"/>
              <w:right w:val="nil"/>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注：本表反映</w:t>
            </w:r>
            <w:r>
              <w:rPr>
                <w:rFonts w:hint="eastAsia" w:ascii="宋体" w:hAnsi="宋体" w:cs="宋体"/>
                <w:color w:val="auto"/>
                <w:kern w:val="0"/>
                <w:sz w:val="22"/>
                <w:lang w:eastAsia="zh-CN" w:bidi="ar"/>
              </w:rPr>
              <w:t>单位</w:t>
            </w:r>
            <w:r>
              <w:rPr>
                <w:rFonts w:hint="eastAsia" w:ascii="宋体" w:hAnsi="宋体" w:cs="宋体"/>
                <w:color w:val="auto"/>
                <w:kern w:val="0"/>
                <w:sz w:val="22"/>
                <w:lang w:bidi="ar"/>
              </w:rPr>
              <w:t>本年度各项支出情况。本表金额转换为万元时，因四舍五入可能存在尾差。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32" w:type="dxa"/>
        <w:tblInd w:w="96" w:type="dxa"/>
        <w:tblLayout w:type="fixed"/>
        <w:tblCellMar>
          <w:top w:w="0" w:type="dxa"/>
          <w:left w:w="108" w:type="dxa"/>
          <w:bottom w:w="0" w:type="dxa"/>
          <w:right w:w="108" w:type="dxa"/>
        </w:tblCellMar>
      </w:tblPr>
      <w:tblGrid>
        <w:gridCol w:w="3076"/>
        <w:gridCol w:w="586"/>
        <w:gridCol w:w="1320"/>
        <w:gridCol w:w="3764"/>
        <w:gridCol w:w="586"/>
        <w:gridCol w:w="1096"/>
        <w:gridCol w:w="1224"/>
        <w:gridCol w:w="1217"/>
        <w:gridCol w:w="1163"/>
      </w:tblGrid>
      <w:tr>
        <w:tblPrEx>
          <w:tblCellMar>
            <w:top w:w="0" w:type="dxa"/>
            <w:left w:w="108" w:type="dxa"/>
            <w:bottom w:w="0" w:type="dxa"/>
            <w:right w:w="108" w:type="dxa"/>
          </w:tblCellMar>
        </w:tblPrEx>
        <w:trPr>
          <w:trHeight w:val="384" w:hRule="atLeast"/>
        </w:trPr>
        <w:tc>
          <w:tcPr>
            <w:tcW w:w="14032" w:type="dxa"/>
            <w:gridSpan w:val="9"/>
            <w:tcBorders>
              <w:top w:val="nil"/>
              <w:left w:val="nil"/>
              <w:bottom w:val="nil"/>
              <w:right w:val="nil"/>
            </w:tcBorders>
            <w:shd w:val="clear" w:color="auto" w:fill="FFFFFF"/>
            <w:noWrap/>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lang w:bidi="ar"/>
              </w:rPr>
              <w:t>财政拨款收入支出决算总表</w:t>
            </w:r>
          </w:p>
        </w:tc>
      </w:tr>
      <w:tr>
        <w:tblPrEx>
          <w:tblCellMar>
            <w:top w:w="0" w:type="dxa"/>
            <w:left w:w="108" w:type="dxa"/>
            <w:bottom w:w="0" w:type="dxa"/>
            <w:right w:w="108" w:type="dxa"/>
          </w:tblCellMar>
        </w:tblPrEx>
        <w:trPr>
          <w:trHeight w:val="264" w:hRule="atLeast"/>
        </w:trPr>
        <w:tc>
          <w:tcPr>
            <w:tcW w:w="14032" w:type="dxa"/>
            <w:gridSpan w:val="9"/>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公开04表</w:t>
            </w:r>
          </w:p>
        </w:tc>
      </w:tr>
      <w:tr>
        <w:tblPrEx>
          <w:tblCellMar>
            <w:top w:w="0" w:type="dxa"/>
            <w:left w:w="108" w:type="dxa"/>
            <w:bottom w:w="0" w:type="dxa"/>
            <w:right w:w="108" w:type="dxa"/>
          </w:tblCellMar>
        </w:tblPrEx>
        <w:trPr>
          <w:trHeight w:val="264" w:hRule="atLeast"/>
        </w:trPr>
        <w:tc>
          <w:tcPr>
            <w:tcW w:w="10428" w:type="dxa"/>
            <w:gridSpan w:val="6"/>
            <w:tcBorders>
              <w:top w:val="nil"/>
              <w:left w:val="nil"/>
              <w:bottom w:val="nil"/>
              <w:right w:val="nil"/>
            </w:tcBorders>
            <w:shd w:val="clear" w:color="auto" w:fill="FFFFFF"/>
            <w:noWrap/>
            <w:vAlign w:val="bottom"/>
          </w:tcPr>
          <w:p>
            <w:pPr>
              <w:widowControl/>
              <w:jc w:val="left"/>
              <w:textAlignment w:val="bottom"/>
              <w:rPr>
                <w:rFonts w:ascii="宋体" w:hAnsi="宋体" w:cs="宋体"/>
                <w:color w:val="auto"/>
                <w:sz w:val="20"/>
                <w:szCs w:val="20"/>
              </w:rPr>
            </w:pPr>
            <w:r>
              <w:rPr>
                <w:rFonts w:hint="eastAsia" w:ascii="宋体" w:hAnsi="宋体" w:cs="宋体"/>
                <w:color w:val="auto"/>
                <w:kern w:val="0"/>
                <w:sz w:val="20"/>
                <w:szCs w:val="20"/>
                <w:lang w:eastAsia="zh-CN" w:bidi="ar"/>
              </w:rPr>
              <w:t>单位</w:t>
            </w:r>
            <w:r>
              <w:rPr>
                <w:rFonts w:hint="eastAsia" w:ascii="宋体" w:hAnsi="宋体" w:cs="宋体"/>
                <w:color w:val="auto"/>
                <w:kern w:val="0"/>
                <w:sz w:val="20"/>
                <w:szCs w:val="20"/>
                <w:lang w:bidi="ar"/>
              </w:rPr>
              <w:t>：许昌高级中学</w:t>
            </w:r>
          </w:p>
        </w:tc>
        <w:tc>
          <w:tcPr>
            <w:tcW w:w="3604" w:type="dxa"/>
            <w:gridSpan w:val="3"/>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4982"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收     入</w:t>
            </w:r>
          </w:p>
        </w:tc>
        <w:tc>
          <w:tcPr>
            <w:tcW w:w="9050" w:type="dxa"/>
            <w:gridSpan w:val="6"/>
            <w:tcBorders>
              <w:top w:val="single" w:color="000000" w:sz="4" w:space="0"/>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支     出</w:t>
            </w:r>
          </w:p>
        </w:tc>
      </w:tr>
      <w:tr>
        <w:tblPrEx>
          <w:tblCellMar>
            <w:top w:w="0" w:type="dxa"/>
            <w:left w:w="108" w:type="dxa"/>
            <w:bottom w:w="0" w:type="dxa"/>
            <w:right w:w="108" w:type="dxa"/>
          </w:tblCellMar>
        </w:tblPrEx>
        <w:trPr>
          <w:trHeight w:val="312" w:hRule="atLeast"/>
        </w:trPr>
        <w:tc>
          <w:tcPr>
            <w:tcW w:w="3076"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w:t>
            </w:r>
          </w:p>
        </w:tc>
        <w:tc>
          <w:tcPr>
            <w:tcW w:w="58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行次</w:t>
            </w:r>
          </w:p>
        </w:tc>
        <w:tc>
          <w:tcPr>
            <w:tcW w:w="132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金额</w:t>
            </w:r>
          </w:p>
        </w:tc>
        <w:tc>
          <w:tcPr>
            <w:tcW w:w="3764"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w:t>
            </w:r>
          </w:p>
        </w:tc>
        <w:tc>
          <w:tcPr>
            <w:tcW w:w="58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行次</w:t>
            </w:r>
          </w:p>
        </w:tc>
        <w:tc>
          <w:tcPr>
            <w:tcW w:w="109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1224"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一般公共预算财政拨款</w:t>
            </w:r>
          </w:p>
        </w:tc>
        <w:tc>
          <w:tcPr>
            <w:tcW w:w="1217"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政府性基金预算财政拨款</w:t>
            </w:r>
          </w:p>
        </w:tc>
        <w:tc>
          <w:tcPr>
            <w:tcW w:w="1163"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国有资本经营预算财政拨款</w:t>
            </w:r>
          </w:p>
        </w:tc>
      </w:tr>
      <w:tr>
        <w:tblPrEx>
          <w:tblCellMar>
            <w:top w:w="0" w:type="dxa"/>
            <w:left w:w="108" w:type="dxa"/>
            <w:bottom w:w="0" w:type="dxa"/>
            <w:right w:w="108" w:type="dxa"/>
          </w:tblCellMar>
        </w:tblPrEx>
        <w:trPr>
          <w:trHeight w:val="615" w:hRule="atLeast"/>
        </w:trPr>
        <w:tc>
          <w:tcPr>
            <w:tcW w:w="3076"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586"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32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3764"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586"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09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rPr>
            </w:pPr>
          </w:p>
        </w:tc>
        <w:tc>
          <w:tcPr>
            <w:tcW w:w="1224"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217"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163"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58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rPr>
            </w:pPr>
          </w:p>
        </w:tc>
        <w:tc>
          <w:tcPr>
            <w:tcW w:w="1320"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58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rPr>
            </w:pPr>
          </w:p>
        </w:tc>
        <w:tc>
          <w:tcPr>
            <w:tcW w:w="109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1224"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1217"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w:t>
            </w:r>
          </w:p>
        </w:tc>
        <w:tc>
          <w:tcPr>
            <w:tcW w:w="1163"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w:t>
            </w: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一、一般公共预算财政拨款</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13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6,822.64</w:t>
            </w: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一、一般公共服务支出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33</w:t>
            </w:r>
          </w:p>
        </w:tc>
        <w:tc>
          <w:tcPr>
            <w:tcW w:w="109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二、政府性基金预算财政拨款</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二、外交支出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34</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三、国有资本经营财政拨款</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三、国防支出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35</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四、公共安全支出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36</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五、教育支出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37</w:t>
            </w:r>
          </w:p>
        </w:tc>
        <w:tc>
          <w:tcPr>
            <w:tcW w:w="109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8,221.11</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8,221.11</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六、科学技术支出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38</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7</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七、文化旅游体育与传媒支出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39</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8</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八、社会保障和就业支出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40</w:t>
            </w:r>
          </w:p>
        </w:tc>
        <w:tc>
          <w:tcPr>
            <w:tcW w:w="109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693.21</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693.21</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9</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九、卫生健康支出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41</w:t>
            </w:r>
          </w:p>
        </w:tc>
        <w:tc>
          <w:tcPr>
            <w:tcW w:w="109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176.70</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176.70</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10</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十、节能环保支出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42</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11</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十一、城乡社区支出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43</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12</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十二、农林水支出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44</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13</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十三、交通运输支出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45</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14</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十四、资源勘探工业信息等支出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46</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15</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十五、商业服务业等支出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47</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16</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十六、金融支出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48</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17</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十七、援助其他地区支出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49</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18</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十八、自然资源海洋气象等支出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50</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19</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十九、住房保障支出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51</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20</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二十、粮油物资储备支出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52</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21</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二十一、国有资本经营预算支出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53</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22</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二十二、灾害防治及应急管理支出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54</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23</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二十三、其他支出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55</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b/>
                <w:bCs/>
                <w:color w:val="auto"/>
                <w:sz w:val="20"/>
                <w:szCs w:val="20"/>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24</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二十四、债务还本支出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56</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0"/>
                <w:szCs w:val="20"/>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25</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二十五、债务付息支出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57</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0"/>
                <w:szCs w:val="20"/>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26</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二十六、抗疫特别国债安排的支出</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58</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lang w:bidi="ar"/>
              </w:rPr>
              <w:t>本年收入合计</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27</w:t>
            </w:r>
          </w:p>
        </w:tc>
        <w:tc>
          <w:tcPr>
            <w:tcW w:w="13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6,822.64</w:t>
            </w: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lang w:bidi="ar"/>
              </w:rPr>
              <w:t>本年支出合计</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59</w:t>
            </w:r>
          </w:p>
        </w:tc>
        <w:tc>
          <w:tcPr>
            <w:tcW w:w="109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9,125.69</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9,125.69</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年初财政拨款结转和结余</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28</w:t>
            </w:r>
          </w:p>
        </w:tc>
        <w:tc>
          <w:tcPr>
            <w:tcW w:w="13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2,303.05</w:t>
            </w: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年末财政拨款结转和结余</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60</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一般公共预算财政拨款</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29</w:t>
            </w:r>
          </w:p>
        </w:tc>
        <w:tc>
          <w:tcPr>
            <w:tcW w:w="13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2,303.05</w:t>
            </w:r>
          </w:p>
        </w:tc>
        <w:tc>
          <w:tcPr>
            <w:tcW w:w="3764"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61</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政府性基金预算财政拨款</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30</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62</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国有资本经营预算财政拨款</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31</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3764"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63</w:t>
            </w:r>
          </w:p>
        </w:tc>
        <w:tc>
          <w:tcPr>
            <w:tcW w:w="109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lang w:bidi="ar"/>
              </w:rPr>
              <w:t>总计</w:t>
            </w:r>
          </w:p>
        </w:tc>
        <w:tc>
          <w:tcPr>
            <w:tcW w:w="586" w:type="dxa"/>
            <w:tcBorders>
              <w:top w:val="nil"/>
              <w:left w:val="nil"/>
              <w:bottom w:val="single" w:color="000000" w:sz="8"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32</w:t>
            </w:r>
          </w:p>
        </w:tc>
        <w:tc>
          <w:tcPr>
            <w:tcW w:w="13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9,125.69</w:t>
            </w:r>
          </w:p>
        </w:tc>
        <w:tc>
          <w:tcPr>
            <w:tcW w:w="3764"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lang w:bidi="ar"/>
              </w:rPr>
              <w:t>总计</w:t>
            </w:r>
          </w:p>
        </w:tc>
        <w:tc>
          <w:tcPr>
            <w:tcW w:w="5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64</w:t>
            </w:r>
          </w:p>
        </w:tc>
        <w:tc>
          <w:tcPr>
            <w:tcW w:w="109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9,125.69</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9,125.69</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1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585" w:hRule="atLeast"/>
        </w:trPr>
        <w:tc>
          <w:tcPr>
            <w:tcW w:w="14032" w:type="dxa"/>
            <w:gridSpan w:val="9"/>
            <w:tcBorders>
              <w:top w:val="nil"/>
              <w:left w:val="nil"/>
              <w:bottom w:val="nil"/>
              <w:right w:val="nil"/>
            </w:tcBorders>
            <w:shd w:val="clear" w:color="auto" w:fill="FFFFFF"/>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注：本表反映</w:t>
            </w:r>
            <w:r>
              <w:rPr>
                <w:rFonts w:hint="eastAsia" w:ascii="宋体" w:hAnsi="宋体" w:cs="宋体"/>
                <w:color w:val="auto"/>
                <w:kern w:val="0"/>
                <w:sz w:val="22"/>
                <w:lang w:eastAsia="zh-CN" w:bidi="ar"/>
              </w:rPr>
              <w:t>单位</w:t>
            </w:r>
            <w:r>
              <w:rPr>
                <w:rFonts w:hint="eastAsia" w:ascii="宋体" w:hAnsi="宋体" w:cs="宋体"/>
                <w:color w:val="auto"/>
                <w:kern w:val="0"/>
                <w:sz w:val="22"/>
                <w:lang w:bidi="ar"/>
              </w:rPr>
              <w:t>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06" w:type="dxa"/>
        <w:tblInd w:w="93" w:type="dxa"/>
        <w:tblLayout w:type="fixed"/>
        <w:tblCellMar>
          <w:top w:w="0" w:type="dxa"/>
          <w:left w:w="108" w:type="dxa"/>
          <w:bottom w:w="0" w:type="dxa"/>
          <w:right w:w="108" w:type="dxa"/>
        </w:tblCellMar>
      </w:tblPr>
      <w:tblGrid>
        <w:gridCol w:w="1298"/>
        <w:gridCol w:w="3956"/>
        <w:gridCol w:w="2593"/>
        <w:gridCol w:w="2678"/>
        <w:gridCol w:w="2781"/>
      </w:tblGrid>
      <w:tr>
        <w:tblPrEx>
          <w:tblCellMar>
            <w:top w:w="0" w:type="dxa"/>
            <w:left w:w="108" w:type="dxa"/>
            <w:bottom w:w="0" w:type="dxa"/>
            <w:right w:w="108" w:type="dxa"/>
          </w:tblCellMar>
        </w:tblPrEx>
        <w:trPr>
          <w:trHeight w:val="390" w:hRule="atLeast"/>
        </w:trPr>
        <w:tc>
          <w:tcPr>
            <w:tcW w:w="13306" w:type="dxa"/>
            <w:gridSpan w:val="5"/>
            <w:tcBorders>
              <w:top w:val="nil"/>
              <w:left w:val="nil"/>
              <w:bottom w:val="nil"/>
              <w:right w:val="nil"/>
            </w:tcBorders>
            <w:shd w:val="clear" w:color="auto" w:fill="FFFFFF"/>
            <w:noWrap/>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lang w:bidi="ar"/>
              </w:rPr>
              <w:t>一般公共预算财政拨款支出决算表</w:t>
            </w:r>
          </w:p>
        </w:tc>
      </w:tr>
      <w:tr>
        <w:tblPrEx>
          <w:tblCellMar>
            <w:top w:w="0" w:type="dxa"/>
            <w:left w:w="108" w:type="dxa"/>
            <w:bottom w:w="0" w:type="dxa"/>
            <w:right w:w="108" w:type="dxa"/>
          </w:tblCellMar>
        </w:tblPrEx>
        <w:trPr>
          <w:trHeight w:val="255" w:hRule="atLeast"/>
        </w:trPr>
        <w:tc>
          <w:tcPr>
            <w:tcW w:w="13306" w:type="dxa"/>
            <w:gridSpan w:val="5"/>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公开05表</w:t>
            </w:r>
          </w:p>
        </w:tc>
      </w:tr>
      <w:tr>
        <w:tblPrEx>
          <w:tblCellMar>
            <w:top w:w="0" w:type="dxa"/>
            <w:left w:w="108" w:type="dxa"/>
            <w:bottom w:w="0" w:type="dxa"/>
            <w:right w:w="108" w:type="dxa"/>
          </w:tblCellMar>
        </w:tblPrEx>
        <w:trPr>
          <w:trHeight w:val="255" w:hRule="atLeast"/>
        </w:trPr>
        <w:tc>
          <w:tcPr>
            <w:tcW w:w="7847" w:type="dxa"/>
            <w:gridSpan w:val="3"/>
            <w:tcBorders>
              <w:top w:val="nil"/>
              <w:left w:val="nil"/>
              <w:bottom w:val="nil"/>
              <w:right w:val="nil"/>
            </w:tcBorders>
            <w:shd w:val="clear" w:color="auto" w:fill="FFFFFF"/>
            <w:noWrap/>
            <w:vAlign w:val="bottom"/>
          </w:tcPr>
          <w:p>
            <w:pPr>
              <w:widowControl/>
              <w:jc w:val="left"/>
              <w:textAlignment w:val="bottom"/>
              <w:rPr>
                <w:rFonts w:ascii="宋体" w:hAnsi="宋体" w:cs="宋体"/>
                <w:color w:val="auto"/>
                <w:sz w:val="20"/>
                <w:szCs w:val="20"/>
              </w:rPr>
            </w:pPr>
            <w:r>
              <w:rPr>
                <w:rFonts w:hint="eastAsia" w:ascii="宋体" w:hAnsi="宋体" w:cs="宋体"/>
                <w:color w:val="auto"/>
                <w:kern w:val="0"/>
                <w:sz w:val="20"/>
                <w:szCs w:val="20"/>
                <w:lang w:eastAsia="zh-CN" w:bidi="ar"/>
              </w:rPr>
              <w:t>单位</w:t>
            </w:r>
            <w:r>
              <w:rPr>
                <w:rFonts w:hint="eastAsia" w:ascii="宋体" w:hAnsi="宋体" w:cs="宋体"/>
                <w:color w:val="auto"/>
                <w:kern w:val="0"/>
                <w:sz w:val="20"/>
                <w:szCs w:val="20"/>
                <w:lang w:bidi="ar"/>
              </w:rPr>
              <w:t>：许昌高级中学</w:t>
            </w:r>
          </w:p>
        </w:tc>
        <w:tc>
          <w:tcPr>
            <w:tcW w:w="5459" w:type="dxa"/>
            <w:gridSpan w:val="2"/>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5254"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w:t>
            </w:r>
          </w:p>
        </w:tc>
        <w:tc>
          <w:tcPr>
            <w:tcW w:w="8052"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本年支出</w:t>
            </w:r>
          </w:p>
        </w:tc>
      </w:tr>
      <w:tr>
        <w:tblPrEx>
          <w:tblCellMar>
            <w:top w:w="0" w:type="dxa"/>
            <w:left w:w="108" w:type="dxa"/>
            <w:bottom w:w="0" w:type="dxa"/>
            <w:right w:w="108" w:type="dxa"/>
          </w:tblCellMar>
        </w:tblPrEx>
        <w:trPr>
          <w:trHeight w:val="312" w:hRule="atLeast"/>
        </w:trPr>
        <w:tc>
          <w:tcPr>
            <w:tcW w:w="1298"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功能分类科目编码</w:t>
            </w:r>
          </w:p>
        </w:tc>
        <w:tc>
          <w:tcPr>
            <w:tcW w:w="395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2593"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小计</w:t>
            </w:r>
          </w:p>
        </w:tc>
        <w:tc>
          <w:tcPr>
            <w:tcW w:w="2678"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基本支出</w:t>
            </w:r>
          </w:p>
        </w:tc>
        <w:tc>
          <w:tcPr>
            <w:tcW w:w="2781"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项目支出</w:t>
            </w:r>
          </w:p>
        </w:tc>
      </w:tr>
      <w:tr>
        <w:tblPrEx>
          <w:tblCellMar>
            <w:top w:w="0" w:type="dxa"/>
            <w:left w:w="108" w:type="dxa"/>
            <w:bottom w:w="0" w:type="dxa"/>
            <w:right w:w="108" w:type="dxa"/>
          </w:tblCellMar>
        </w:tblPrEx>
        <w:trPr>
          <w:trHeight w:val="312" w:hRule="atLeast"/>
        </w:trPr>
        <w:tc>
          <w:tcPr>
            <w:tcW w:w="1298"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395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rPr>
            </w:pPr>
          </w:p>
        </w:tc>
        <w:tc>
          <w:tcPr>
            <w:tcW w:w="2593"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2678"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2781"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12" w:hRule="atLeast"/>
        </w:trPr>
        <w:tc>
          <w:tcPr>
            <w:tcW w:w="1298"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395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rPr>
            </w:pPr>
          </w:p>
        </w:tc>
        <w:tc>
          <w:tcPr>
            <w:tcW w:w="2593"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2678"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2781"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5254"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2593"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2678"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2781"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r>
      <w:tr>
        <w:tblPrEx>
          <w:tblCellMar>
            <w:top w:w="0" w:type="dxa"/>
            <w:left w:w="108" w:type="dxa"/>
            <w:bottom w:w="0" w:type="dxa"/>
            <w:right w:w="108" w:type="dxa"/>
          </w:tblCellMar>
        </w:tblPrEx>
        <w:trPr>
          <w:trHeight w:val="308" w:hRule="atLeast"/>
        </w:trPr>
        <w:tc>
          <w:tcPr>
            <w:tcW w:w="5254"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lang w:bidi="ar"/>
              </w:rPr>
              <w:t>9,125.69</w:t>
            </w:r>
          </w:p>
        </w:tc>
        <w:tc>
          <w:tcPr>
            <w:tcW w:w="267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lang w:bidi="ar"/>
              </w:rPr>
              <w:t>7,441.32</w:t>
            </w:r>
          </w:p>
        </w:tc>
        <w:tc>
          <w:tcPr>
            <w:tcW w:w="278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lang w:bidi="ar"/>
              </w:rPr>
              <w:t>1,684.37</w:t>
            </w: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201</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一般公共服务支出</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267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27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20129</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群众团体事务</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267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27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2012906</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工会事务</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267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27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教育支出</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8,221.11</w:t>
            </w:r>
          </w:p>
        </w:tc>
        <w:tc>
          <w:tcPr>
            <w:tcW w:w="267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6,536.74</w:t>
            </w:r>
          </w:p>
        </w:tc>
        <w:tc>
          <w:tcPr>
            <w:tcW w:w="278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1,684.37</w:t>
            </w: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20502</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普通教育</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8,192.91</w:t>
            </w:r>
          </w:p>
        </w:tc>
        <w:tc>
          <w:tcPr>
            <w:tcW w:w="267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6,536.74</w:t>
            </w:r>
          </w:p>
        </w:tc>
        <w:tc>
          <w:tcPr>
            <w:tcW w:w="278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1,656.17</w:t>
            </w: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2050204</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高中教育</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7,049.80</w:t>
            </w:r>
          </w:p>
        </w:tc>
        <w:tc>
          <w:tcPr>
            <w:tcW w:w="267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6,289.06</w:t>
            </w:r>
          </w:p>
        </w:tc>
        <w:tc>
          <w:tcPr>
            <w:tcW w:w="278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760.73</w:t>
            </w: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2050205</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高等教育</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0.39</w:t>
            </w:r>
          </w:p>
        </w:tc>
        <w:tc>
          <w:tcPr>
            <w:tcW w:w="267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278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0.39</w:t>
            </w: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2050299</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其他普通教育支出</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1,142.72</w:t>
            </w:r>
          </w:p>
        </w:tc>
        <w:tc>
          <w:tcPr>
            <w:tcW w:w="267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247.67</w:t>
            </w:r>
          </w:p>
        </w:tc>
        <w:tc>
          <w:tcPr>
            <w:tcW w:w="278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895.05</w:t>
            </w: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20507</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特殊教育</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4.20</w:t>
            </w:r>
          </w:p>
        </w:tc>
        <w:tc>
          <w:tcPr>
            <w:tcW w:w="267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278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4.20</w:t>
            </w: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2050701</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特殊学校教育</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4.20</w:t>
            </w:r>
          </w:p>
        </w:tc>
        <w:tc>
          <w:tcPr>
            <w:tcW w:w="267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278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4.20</w:t>
            </w: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20599</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其他教育支出</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24.00</w:t>
            </w:r>
          </w:p>
        </w:tc>
        <w:tc>
          <w:tcPr>
            <w:tcW w:w="267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278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24.00</w:t>
            </w: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2059999</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其他教育支出</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24.00</w:t>
            </w:r>
          </w:p>
        </w:tc>
        <w:tc>
          <w:tcPr>
            <w:tcW w:w="267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278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24.00</w:t>
            </w: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社会保障和就业支出</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693.21</w:t>
            </w:r>
          </w:p>
        </w:tc>
        <w:tc>
          <w:tcPr>
            <w:tcW w:w="267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693.21</w:t>
            </w:r>
          </w:p>
        </w:tc>
        <w:tc>
          <w:tcPr>
            <w:tcW w:w="27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20805</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行政事业单位养老支出</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689.34</w:t>
            </w:r>
          </w:p>
        </w:tc>
        <w:tc>
          <w:tcPr>
            <w:tcW w:w="267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689.34</w:t>
            </w:r>
          </w:p>
        </w:tc>
        <w:tc>
          <w:tcPr>
            <w:tcW w:w="27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2080502</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事业单位离退休</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286.33</w:t>
            </w:r>
          </w:p>
        </w:tc>
        <w:tc>
          <w:tcPr>
            <w:tcW w:w="267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286.33</w:t>
            </w:r>
          </w:p>
        </w:tc>
        <w:tc>
          <w:tcPr>
            <w:tcW w:w="27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2080505</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机关事业单位基本养老保险缴费支出</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403.01</w:t>
            </w:r>
          </w:p>
        </w:tc>
        <w:tc>
          <w:tcPr>
            <w:tcW w:w="267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403.01</w:t>
            </w:r>
          </w:p>
        </w:tc>
        <w:tc>
          <w:tcPr>
            <w:tcW w:w="27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20808</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抚恤</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3.87</w:t>
            </w:r>
          </w:p>
        </w:tc>
        <w:tc>
          <w:tcPr>
            <w:tcW w:w="267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3.87</w:t>
            </w:r>
          </w:p>
        </w:tc>
        <w:tc>
          <w:tcPr>
            <w:tcW w:w="27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2080801</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死亡抚恤</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3.87</w:t>
            </w:r>
          </w:p>
        </w:tc>
        <w:tc>
          <w:tcPr>
            <w:tcW w:w="267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3.87</w:t>
            </w:r>
          </w:p>
        </w:tc>
        <w:tc>
          <w:tcPr>
            <w:tcW w:w="27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210</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卫生健康支出</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176.70</w:t>
            </w:r>
          </w:p>
        </w:tc>
        <w:tc>
          <w:tcPr>
            <w:tcW w:w="267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176.70</w:t>
            </w:r>
          </w:p>
        </w:tc>
        <w:tc>
          <w:tcPr>
            <w:tcW w:w="27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21011</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行政事业单位医疗</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176.70</w:t>
            </w:r>
          </w:p>
        </w:tc>
        <w:tc>
          <w:tcPr>
            <w:tcW w:w="267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176.70</w:t>
            </w:r>
          </w:p>
        </w:tc>
        <w:tc>
          <w:tcPr>
            <w:tcW w:w="27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2101102</w:t>
            </w:r>
          </w:p>
        </w:tc>
        <w:tc>
          <w:tcPr>
            <w:tcW w:w="395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事业单位医疗</w:t>
            </w:r>
          </w:p>
        </w:tc>
        <w:tc>
          <w:tcPr>
            <w:tcW w:w="259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176.70</w:t>
            </w:r>
          </w:p>
        </w:tc>
        <w:tc>
          <w:tcPr>
            <w:tcW w:w="267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176.70</w:t>
            </w:r>
          </w:p>
        </w:tc>
        <w:tc>
          <w:tcPr>
            <w:tcW w:w="278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3306" w:type="dxa"/>
            <w:gridSpan w:val="5"/>
            <w:tcBorders>
              <w:top w:val="nil"/>
              <w:left w:val="nil"/>
              <w:bottom w:val="nil"/>
              <w:right w:val="nil"/>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注：本表反映</w:t>
            </w:r>
            <w:r>
              <w:rPr>
                <w:rFonts w:hint="eastAsia" w:ascii="宋体" w:hAnsi="宋体" w:cs="宋体"/>
                <w:color w:val="auto"/>
                <w:kern w:val="0"/>
                <w:sz w:val="22"/>
                <w:lang w:eastAsia="zh-CN" w:bidi="ar"/>
              </w:rPr>
              <w:t>单位</w:t>
            </w:r>
            <w:r>
              <w:rPr>
                <w:rFonts w:hint="eastAsia" w:ascii="宋体" w:hAnsi="宋体" w:cs="宋体"/>
                <w:color w:val="auto"/>
                <w:kern w:val="0"/>
                <w:sz w:val="22"/>
                <w:lang w:bidi="ar"/>
              </w:rPr>
              <w:t>本年度一般公共预算财政拨款支出情况。本套报表金额单位转换时可能存在尾数误差。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Layout w:type="fixed"/>
        <w:tblCellMar>
          <w:top w:w="0" w:type="dxa"/>
          <w:left w:w="108" w:type="dxa"/>
          <w:bottom w:w="0" w:type="dxa"/>
          <w:right w:w="108" w:type="dxa"/>
        </w:tblCellMar>
      </w:tblPr>
      <w:tblGrid>
        <w:gridCol w:w="709"/>
        <w:gridCol w:w="3176"/>
        <w:gridCol w:w="1005"/>
        <w:gridCol w:w="709"/>
        <w:gridCol w:w="2189"/>
        <w:gridCol w:w="808"/>
        <w:gridCol w:w="709"/>
        <w:gridCol w:w="3967"/>
        <w:gridCol w:w="809"/>
      </w:tblGrid>
      <w:tr>
        <w:tblPrEx>
          <w:tblCellMar>
            <w:top w:w="0" w:type="dxa"/>
            <w:left w:w="108" w:type="dxa"/>
            <w:bottom w:w="0" w:type="dxa"/>
            <w:right w:w="108" w:type="dxa"/>
          </w:tblCellMar>
        </w:tblPrEx>
        <w:trPr>
          <w:trHeight w:val="460" w:hRule="atLeast"/>
        </w:trPr>
        <w:tc>
          <w:tcPr>
            <w:tcW w:w="14081" w:type="dxa"/>
            <w:gridSpan w:val="9"/>
            <w:tcBorders>
              <w:top w:val="nil"/>
              <w:left w:val="nil"/>
              <w:bottom w:val="nil"/>
              <w:right w:val="nil"/>
            </w:tcBorders>
            <w:shd w:val="clear" w:color="auto" w:fill="FFFFFF"/>
            <w:noWrap/>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lang w:bidi="ar"/>
              </w:rPr>
              <w:t>一般公共预算财政拨款基本支出决算表</w:t>
            </w:r>
          </w:p>
        </w:tc>
      </w:tr>
      <w:tr>
        <w:tblPrEx>
          <w:tblCellMar>
            <w:top w:w="0" w:type="dxa"/>
            <w:left w:w="108" w:type="dxa"/>
            <w:bottom w:w="0" w:type="dxa"/>
            <w:right w:w="108" w:type="dxa"/>
          </w:tblCellMar>
        </w:tblPrEx>
        <w:trPr>
          <w:trHeight w:val="240" w:hRule="atLeast"/>
        </w:trPr>
        <w:tc>
          <w:tcPr>
            <w:tcW w:w="14081" w:type="dxa"/>
            <w:gridSpan w:val="9"/>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lang w:bidi="ar"/>
              </w:rPr>
              <w:t>公开06表</w:t>
            </w:r>
          </w:p>
        </w:tc>
      </w:tr>
      <w:tr>
        <w:tblPrEx>
          <w:tblCellMar>
            <w:top w:w="0" w:type="dxa"/>
            <w:left w:w="108" w:type="dxa"/>
            <w:bottom w:w="0" w:type="dxa"/>
            <w:right w:w="108" w:type="dxa"/>
          </w:tblCellMar>
        </w:tblPrEx>
        <w:trPr>
          <w:trHeight w:val="255" w:hRule="atLeast"/>
        </w:trPr>
        <w:tc>
          <w:tcPr>
            <w:tcW w:w="9305" w:type="dxa"/>
            <w:gridSpan w:val="7"/>
            <w:tcBorders>
              <w:top w:val="nil"/>
              <w:left w:val="nil"/>
              <w:bottom w:val="nil"/>
              <w:right w:val="nil"/>
            </w:tcBorders>
            <w:shd w:val="clear" w:color="auto" w:fill="FFFFFF"/>
            <w:noWrap/>
            <w:vAlign w:val="bottom"/>
          </w:tcPr>
          <w:p>
            <w:pPr>
              <w:widowControl/>
              <w:jc w:val="left"/>
              <w:textAlignment w:val="bottom"/>
              <w:rPr>
                <w:rFonts w:ascii="宋体" w:hAnsi="宋体" w:cs="宋体"/>
                <w:color w:val="auto"/>
                <w:sz w:val="20"/>
                <w:szCs w:val="20"/>
              </w:rPr>
            </w:pPr>
            <w:r>
              <w:rPr>
                <w:rFonts w:hint="eastAsia" w:ascii="宋体" w:hAnsi="宋体" w:cs="宋体"/>
                <w:color w:val="auto"/>
                <w:kern w:val="0"/>
                <w:sz w:val="20"/>
                <w:szCs w:val="20"/>
                <w:lang w:eastAsia="zh-CN" w:bidi="ar"/>
              </w:rPr>
              <w:t>单位</w:t>
            </w:r>
            <w:r>
              <w:rPr>
                <w:rFonts w:hint="eastAsia" w:ascii="宋体" w:hAnsi="宋体" w:cs="宋体"/>
                <w:color w:val="auto"/>
                <w:kern w:val="0"/>
                <w:sz w:val="20"/>
                <w:szCs w:val="20"/>
                <w:lang w:bidi="ar"/>
              </w:rPr>
              <w:t>：许昌高级中学</w:t>
            </w:r>
          </w:p>
        </w:tc>
        <w:tc>
          <w:tcPr>
            <w:tcW w:w="4776" w:type="dxa"/>
            <w:gridSpan w:val="2"/>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4890"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人员经费</w:t>
            </w:r>
          </w:p>
        </w:tc>
        <w:tc>
          <w:tcPr>
            <w:tcW w:w="9191" w:type="dxa"/>
            <w:gridSpan w:val="6"/>
            <w:tcBorders>
              <w:top w:val="single" w:color="000000" w:sz="4" w:space="0"/>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公用经费</w:t>
            </w:r>
          </w:p>
        </w:tc>
      </w:tr>
      <w:tr>
        <w:tblPrEx>
          <w:tblCellMar>
            <w:top w:w="0" w:type="dxa"/>
            <w:left w:w="108" w:type="dxa"/>
            <w:bottom w:w="0" w:type="dxa"/>
            <w:right w:w="108" w:type="dxa"/>
          </w:tblCellMar>
        </w:tblPrEx>
        <w:trPr>
          <w:trHeight w:val="312" w:hRule="atLeast"/>
        </w:trPr>
        <w:tc>
          <w:tcPr>
            <w:tcW w:w="709"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科目编码</w:t>
            </w:r>
          </w:p>
        </w:tc>
        <w:tc>
          <w:tcPr>
            <w:tcW w:w="317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100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决算数</w:t>
            </w:r>
          </w:p>
        </w:tc>
        <w:tc>
          <w:tcPr>
            <w:tcW w:w="709"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科目编码</w:t>
            </w:r>
          </w:p>
        </w:tc>
        <w:tc>
          <w:tcPr>
            <w:tcW w:w="2189"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808"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决算数</w:t>
            </w:r>
          </w:p>
        </w:tc>
        <w:tc>
          <w:tcPr>
            <w:tcW w:w="709"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科目编码</w:t>
            </w:r>
          </w:p>
        </w:tc>
        <w:tc>
          <w:tcPr>
            <w:tcW w:w="3967"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809"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决算数</w:t>
            </w:r>
          </w:p>
        </w:tc>
      </w:tr>
      <w:tr>
        <w:tblPrEx>
          <w:tblCellMar>
            <w:top w:w="0" w:type="dxa"/>
            <w:left w:w="108" w:type="dxa"/>
            <w:bottom w:w="0" w:type="dxa"/>
            <w:right w:w="108" w:type="dxa"/>
          </w:tblCellMar>
        </w:tblPrEx>
        <w:trPr>
          <w:trHeight w:val="312" w:hRule="atLeast"/>
        </w:trPr>
        <w:tc>
          <w:tcPr>
            <w:tcW w:w="709"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3176"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005"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709"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2189"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808"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709"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3967"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809"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522"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工资福利支出</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6,465.37</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商品和服务支出</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676.36</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307</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债务利息及费用支出</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421"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30101</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基本工资</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1,829.23</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30201</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办公费</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97.93</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30701</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国内债务付息</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30102</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津贴补贴</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1,684.82</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30202</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印刷费</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6.32</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30702</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国外债务付息</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30103</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奖金</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742.91</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30203</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咨询费</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5.85</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资本性支出</w:t>
            </w:r>
          </w:p>
        </w:tc>
        <w:tc>
          <w:tcPr>
            <w:tcW w:w="80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0.63</w:t>
            </w: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30106</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伙食补助费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30204</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手续费</w:t>
            </w:r>
          </w:p>
        </w:tc>
        <w:tc>
          <w:tcPr>
            <w:tcW w:w="80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31001</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房屋建筑物购建</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30107</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绩效工资</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1,031.42</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30205</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水费</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63.87</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31002</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办公设备购置</w:t>
            </w:r>
          </w:p>
        </w:tc>
        <w:tc>
          <w:tcPr>
            <w:tcW w:w="80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0.12</w:t>
            </w: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30108</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机关事业单位基本养老保险缴费</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426.36</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30206</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电费</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62.95</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31003</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专用设备购置</w:t>
            </w:r>
          </w:p>
        </w:tc>
        <w:tc>
          <w:tcPr>
            <w:tcW w:w="80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0.51</w:t>
            </w: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30109</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职业年金缴费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30207</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邮电费</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0.79</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31005</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基础设施建设</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30110</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职工基本医疗保险缴费</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181.87</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30208</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取暖费</w:t>
            </w:r>
          </w:p>
        </w:tc>
        <w:tc>
          <w:tcPr>
            <w:tcW w:w="80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31006</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大型修缮</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30111</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公务员医疗补助缴费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30209</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物业管理费</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69.97</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31007</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信息网络及软件购置更新</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30112</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其他社会保障缴费</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23.10</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30211</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差旅费</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10.53</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31008</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物资储备</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30113</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住房公积金</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375.67</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30212</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因公出国（境）费用</w:t>
            </w:r>
          </w:p>
        </w:tc>
        <w:tc>
          <w:tcPr>
            <w:tcW w:w="80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31009</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土地补偿</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30114</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医疗费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30213</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维修（护）费</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116.66</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31010</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安置补助</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30199</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其他工资福利支出</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169.99</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30214</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租赁费</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3.07</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31011</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地上附着物和青苗补偿</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对个人和家庭的补助</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298.97</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30215</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会议费</w:t>
            </w:r>
          </w:p>
        </w:tc>
        <w:tc>
          <w:tcPr>
            <w:tcW w:w="80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31012</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拆迁补偿</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30301</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离休费</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38.32</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30216</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培训费</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27.55</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31013</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公务用车购置</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30302</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退休费</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249.34</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30217</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公务接待费</w:t>
            </w:r>
          </w:p>
        </w:tc>
        <w:tc>
          <w:tcPr>
            <w:tcW w:w="80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31019</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其他交通工具购置</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30303</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退职（役）费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30218</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专用材料费</w:t>
            </w:r>
          </w:p>
        </w:tc>
        <w:tc>
          <w:tcPr>
            <w:tcW w:w="80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31021</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文物和陈列品购置</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30304</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抚恤金</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4.23</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30224</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被装购置费</w:t>
            </w:r>
          </w:p>
        </w:tc>
        <w:tc>
          <w:tcPr>
            <w:tcW w:w="80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31022</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无形资产购置</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30305</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生活补助</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7.08</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30225</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专用燃料费</w:t>
            </w:r>
          </w:p>
        </w:tc>
        <w:tc>
          <w:tcPr>
            <w:tcW w:w="80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31099</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其他资本性支出</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30306</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救济费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30226</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劳务费</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7.06</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399</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其他支出</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30307</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医疗费补助</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30227</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委托业务费</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3.00</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39906</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赠与</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30308</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助学金</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30228</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工会经费</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34.67</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39907</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国家赔偿费用支出</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30309</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奖励金</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30229</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福利费</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60.32</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39908</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对民间非营利组织和群众性自治组织补贴</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30310</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个人农业生产补贴</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30231</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公务用车运行维护费</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0.60</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39999</w:t>
            </w:r>
          </w:p>
        </w:tc>
        <w:tc>
          <w:tcPr>
            <w:tcW w:w="3967"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其他支出</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30311</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代缴社会保险费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30239</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其他交通费用</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3.20</w:t>
            </w:r>
          </w:p>
        </w:tc>
        <w:tc>
          <w:tcPr>
            <w:tcW w:w="709"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3967"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30399</w:t>
            </w:r>
          </w:p>
        </w:tc>
        <w:tc>
          <w:tcPr>
            <w:tcW w:w="317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其他对个人和家庭的补助</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30240</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税金及附加费用</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2.08</w:t>
            </w:r>
          </w:p>
        </w:tc>
        <w:tc>
          <w:tcPr>
            <w:tcW w:w="709"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3967"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0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3176"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30299</w:t>
            </w:r>
          </w:p>
        </w:tc>
        <w:tc>
          <w:tcPr>
            <w:tcW w:w="2189"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其他商品和服务支出</w:t>
            </w:r>
          </w:p>
        </w:tc>
        <w:tc>
          <w:tcPr>
            <w:tcW w:w="808"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99.93</w:t>
            </w:r>
          </w:p>
        </w:tc>
        <w:tc>
          <w:tcPr>
            <w:tcW w:w="709"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3967"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rPr>
            </w:pP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885"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人员经费合计</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6,764.34</w:t>
            </w:r>
          </w:p>
        </w:tc>
        <w:tc>
          <w:tcPr>
            <w:tcW w:w="8382" w:type="dxa"/>
            <w:gridSpan w:val="5"/>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公用经费合计</w:t>
            </w:r>
          </w:p>
        </w:tc>
        <w:tc>
          <w:tcPr>
            <w:tcW w:w="80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676.99</w:t>
            </w:r>
          </w:p>
        </w:tc>
      </w:tr>
      <w:tr>
        <w:tblPrEx>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注：本表反映</w:t>
            </w:r>
            <w:r>
              <w:rPr>
                <w:rFonts w:hint="eastAsia" w:ascii="宋体" w:hAnsi="宋体" w:cs="宋体"/>
                <w:color w:val="auto"/>
                <w:kern w:val="0"/>
                <w:sz w:val="22"/>
                <w:lang w:eastAsia="zh-CN" w:bidi="ar"/>
              </w:rPr>
              <w:t>单位</w:t>
            </w:r>
            <w:r>
              <w:rPr>
                <w:rFonts w:hint="eastAsia" w:ascii="宋体" w:hAnsi="宋体" w:cs="宋体"/>
                <w:color w:val="auto"/>
                <w:kern w:val="0"/>
                <w:sz w:val="22"/>
                <w:lang w:bidi="ar"/>
              </w:rPr>
              <w:t>本年度一般公共预算财政拨款基本支出明细情况。本表金额转换为万元时，因四舍五入可能存在尾差。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30" w:type="dxa"/>
        <w:tblInd w:w="93" w:type="dxa"/>
        <w:tblLayout w:type="fixed"/>
        <w:tblCellMar>
          <w:top w:w="0" w:type="dxa"/>
          <w:left w:w="108" w:type="dxa"/>
          <w:bottom w:w="0" w:type="dxa"/>
          <w:right w:w="108" w:type="dxa"/>
        </w:tblCellMar>
      </w:tblPr>
      <w:tblGrid>
        <w:gridCol w:w="1200"/>
        <w:gridCol w:w="1035"/>
        <w:gridCol w:w="1260"/>
        <w:gridCol w:w="1050"/>
        <w:gridCol w:w="1065"/>
        <w:gridCol w:w="1260"/>
        <w:gridCol w:w="1305"/>
        <w:gridCol w:w="1095"/>
        <w:gridCol w:w="1215"/>
        <w:gridCol w:w="1140"/>
        <w:gridCol w:w="1095"/>
        <w:gridCol w:w="1110"/>
      </w:tblGrid>
      <w:tr>
        <w:tblPrEx>
          <w:tblCellMar>
            <w:top w:w="0" w:type="dxa"/>
            <w:left w:w="108" w:type="dxa"/>
            <w:bottom w:w="0" w:type="dxa"/>
            <w:right w:w="108" w:type="dxa"/>
          </w:tblCellMar>
        </w:tblPrEx>
        <w:trPr>
          <w:trHeight w:val="540" w:hRule="atLeast"/>
        </w:trPr>
        <w:tc>
          <w:tcPr>
            <w:tcW w:w="13830" w:type="dxa"/>
            <w:gridSpan w:val="12"/>
            <w:tcBorders>
              <w:top w:val="nil"/>
              <w:left w:val="nil"/>
              <w:bottom w:val="nil"/>
              <w:right w:val="nil"/>
            </w:tcBorders>
            <w:shd w:val="clear" w:color="auto" w:fill="FFFFFF"/>
            <w:noWrap/>
            <w:vAlign w:val="bottom"/>
          </w:tcPr>
          <w:p>
            <w:pPr>
              <w:widowControl/>
              <w:jc w:val="center"/>
              <w:textAlignment w:val="bottom"/>
              <w:rPr>
                <w:rFonts w:ascii="宋体" w:hAnsi="宋体" w:cs="宋体"/>
                <w:color w:val="auto"/>
                <w:sz w:val="44"/>
                <w:szCs w:val="44"/>
              </w:rPr>
            </w:pPr>
            <w:r>
              <w:rPr>
                <w:rFonts w:hint="eastAsia" w:ascii="宋体" w:hAnsi="宋体" w:cs="宋体"/>
                <w:color w:val="auto"/>
                <w:kern w:val="0"/>
                <w:sz w:val="44"/>
                <w:szCs w:val="44"/>
                <w:lang w:bidi="ar"/>
              </w:rPr>
              <w:t>一般公共预算财政拨款“三公”经费支出决算表</w:t>
            </w:r>
          </w:p>
        </w:tc>
      </w:tr>
      <w:tr>
        <w:tblPrEx>
          <w:tblCellMar>
            <w:top w:w="0" w:type="dxa"/>
            <w:left w:w="108" w:type="dxa"/>
            <w:bottom w:w="0" w:type="dxa"/>
            <w:right w:w="108" w:type="dxa"/>
          </w:tblCellMar>
        </w:tblPrEx>
        <w:trPr>
          <w:trHeight w:val="255" w:hRule="atLeast"/>
        </w:trPr>
        <w:tc>
          <w:tcPr>
            <w:tcW w:w="13830" w:type="dxa"/>
            <w:gridSpan w:val="12"/>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公开07表</w:t>
            </w:r>
          </w:p>
        </w:tc>
      </w:tr>
      <w:tr>
        <w:tblPrEx>
          <w:tblCellMar>
            <w:top w:w="0" w:type="dxa"/>
            <w:left w:w="108" w:type="dxa"/>
            <w:bottom w:w="0" w:type="dxa"/>
            <w:right w:w="108" w:type="dxa"/>
          </w:tblCellMar>
        </w:tblPrEx>
        <w:trPr>
          <w:trHeight w:val="255" w:hRule="atLeast"/>
        </w:trPr>
        <w:tc>
          <w:tcPr>
            <w:tcW w:w="10485" w:type="dxa"/>
            <w:gridSpan w:val="9"/>
            <w:tcBorders>
              <w:top w:val="nil"/>
              <w:left w:val="nil"/>
              <w:bottom w:val="nil"/>
              <w:right w:val="nil"/>
            </w:tcBorders>
            <w:shd w:val="clear" w:color="auto" w:fill="FFFFFF"/>
            <w:noWrap/>
            <w:vAlign w:val="bottom"/>
          </w:tcPr>
          <w:p>
            <w:pPr>
              <w:widowControl/>
              <w:jc w:val="left"/>
              <w:textAlignment w:val="bottom"/>
              <w:rPr>
                <w:rFonts w:ascii="宋体" w:hAnsi="宋体" w:cs="宋体"/>
                <w:color w:val="auto"/>
                <w:sz w:val="20"/>
                <w:szCs w:val="20"/>
              </w:rPr>
            </w:pPr>
            <w:r>
              <w:rPr>
                <w:rFonts w:hint="eastAsia" w:ascii="宋体" w:hAnsi="宋体" w:cs="宋体"/>
                <w:color w:val="auto"/>
                <w:kern w:val="0"/>
                <w:sz w:val="20"/>
                <w:szCs w:val="20"/>
                <w:lang w:eastAsia="zh-CN" w:bidi="ar"/>
              </w:rPr>
              <w:t>单位</w:t>
            </w:r>
            <w:r>
              <w:rPr>
                <w:rFonts w:hint="eastAsia" w:ascii="宋体" w:hAnsi="宋体" w:cs="宋体"/>
                <w:color w:val="auto"/>
                <w:kern w:val="0"/>
                <w:sz w:val="20"/>
                <w:szCs w:val="20"/>
                <w:lang w:bidi="ar"/>
              </w:rPr>
              <w:t>：许昌高级中学</w:t>
            </w:r>
          </w:p>
        </w:tc>
        <w:tc>
          <w:tcPr>
            <w:tcW w:w="3345" w:type="dxa"/>
            <w:gridSpan w:val="3"/>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687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预算数</w:t>
            </w:r>
          </w:p>
        </w:tc>
        <w:tc>
          <w:tcPr>
            <w:tcW w:w="6960"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决算数</w:t>
            </w:r>
          </w:p>
        </w:tc>
      </w:tr>
      <w:tr>
        <w:tblPrEx>
          <w:tblCellMar>
            <w:top w:w="0" w:type="dxa"/>
            <w:left w:w="108" w:type="dxa"/>
            <w:bottom w:w="0" w:type="dxa"/>
            <w:right w:w="108" w:type="dxa"/>
          </w:tblCellMar>
        </w:tblPrEx>
        <w:trPr>
          <w:trHeight w:val="308" w:hRule="atLeast"/>
        </w:trPr>
        <w:tc>
          <w:tcPr>
            <w:tcW w:w="120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103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因公出国（境）费</w:t>
            </w:r>
          </w:p>
        </w:tc>
        <w:tc>
          <w:tcPr>
            <w:tcW w:w="3375" w:type="dxa"/>
            <w:gridSpan w:val="3"/>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公务用车购置及运行费</w:t>
            </w:r>
          </w:p>
        </w:tc>
        <w:tc>
          <w:tcPr>
            <w:tcW w:w="126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公务接待费</w:t>
            </w:r>
          </w:p>
        </w:tc>
        <w:tc>
          <w:tcPr>
            <w:tcW w:w="130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109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因公出国（境）费</w:t>
            </w:r>
          </w:p>
        </w:tc>
        <w:tc>
          <w:tcPr>
            <w:tcW w:w="3450" w:type="dxa"/>
            <w:gridSpan w:val="3"/>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公务用车购置及运行费</w:t>
            </w:r>
          </w:p>
        </w:tc>
        <w:tc>
          <w:tcPr>
            <w:tcW w:w="111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公务接待费</w:t>
            </w:r>
          </w:p>
        </w:tc>
      </w:tr>
      <w:tr>
        <w:tblPrEx>
          <w:tblCellMar>
            <w:top w:w="0" w:type="dxa"/>
            <w:left w:w="108" w:type="dxa"/>
            <w:bottom w:w="0" w:type="dxa"/>
            <w:right w:w="108" w:type="dxa"/>
          </w:tblCellMar>
        </w:tblPrEx>
        <w:trPr>
          <w:trHeight w:val="615" w:hRule="atLeast"/>
        </w:trPr>
        <w:tc>
          <w:tcPr>
            <w:tcW w:w="120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035"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26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小计</w:t>
            </w:r>
          </w:p>
        </w:tc>
        <w:tc>
          <w:tcPr>
            <w:tcW w:w="10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公务用车购置费</w:t>
            </w:r>
          </w:p>
        </w:tc>
        <w:tc>
          <w:tcPr>
            <w:tcW w:w="106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公务用车运行费</w:t>
            </w:r>
          </w:p>
        </w:tc>
        <w:tc>
          <w:tcPr>
            <w:tcW w:w="126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305"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095"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21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小计</w:t>
            </w:r>
          </w:p>
        </w:tc>
        <w:tc>
          <w:tcPr>
            <w:tcW w:w="114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公务用车购置费</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公务用车运行费</w:t>
            </w:r>
          </w:p>
        </w:tc>
        <w:tc>
          <w:tcPr>
            <w:tcW w:w="111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200"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103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126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10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w:t>
            </w:r>
          </w:p>
        </w:tc>
        <w:tc>
          <w:tcPr>
            <w:tcW w:w="106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w:t>
            </w:r>
          </w:p>
        </w:tc>
        <w:tc>
          <w:tcPr>
            <w:tcW w:w="126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w:t>
            </w:r>
          </w:p>
        </w:tc>
        <w:tc>
          <w:tcPr>
            <w:tcW w:w="130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7</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8</w:t>
            </w:r>
          </w:p>
        </w:tc>
        <w:tc>
          <w:tcPr>
            <w:tcW w:w="121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9</w:t>
            </w:r>
          </w:p>
        </w:tc>
        <w:tc>
          <w:tcPr>
            <w:tcW w:w="114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10</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11</w:t>
            </w:r>
          </w:p>
        </w:tc>
        <w:tc>
          <w:tcPr>
            <w:tcW w:w="111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12</w:t>
            </w:r>
          </w:p>
        </w:tc>
      </w:tr>
      <w:tr>
        <w:tblPrEx>
          <w:tblCellMar>
            <w:top w:w="0" w:type="dxa"/>
            <w:left w:w="108" w:type="dxa"/>
            <w:bottom w:w="0" w:type="dxa"/>
            <w:right w:w="108" w:type="dxa"/>
          </w:tblCellMar>
        </w:tblPrEx>
        <w:trPr>
          <w:trHeight w:val="308" w:hRule="atLeast"/>
        </w:trPr>
        <w:tc>
          <w:tcPr>
            <w:tcW w:w="1200" w:type="dxa"/>
            <w:tcBorders>
              <w:top w:val="nil"/>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1.00</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6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1.00</w:t>
            </w:r>
          </w:p>
        </w:tc>
        <w:tc>
          <w:tcPr>
            <w:tcW w:w="105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1.00</w:t>
            </w:r>
          </w:p>
        </w:tc>
        <w:tc>
          <w:tcPr>
            <w:tcW w:w="12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3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0.60</w:t>
            </w:r>
          </w:p>
        </w:tc>
        <w:tc>
          <w:tcPr>
            <w:tcW w:w="109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2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0.60</w:t>
            </w:r>
          </w:p>
        </w:tc>
        <w:tc>
          <w:tcPr>
            <w:tcW w:w="114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0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0.60</w:t>
            </w:r>
          </w:p>
        </w:tc>
        <w:tc>
          <w:tcPr>
            <w:tcW w:w="111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615" w:hRule="atLeast"/>
        </w:trPr>
        <w:tc>
          <w:tcPr>
            <w:tcW w:w="13830" w:type="dxa"/>
            <w:gridSpan w:val="12"/>
            <w:tcBorders>
              <w:top w:val="nil"/>
              <w:left w:val="nil"/>
              <w:bottom w:val="nil"/>
              <w:right w:val="nil"/>
            </w:tcBorders>
            <w:shd w:val="clear" w:color="auto" w:fill="FFFFFF"/>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注：本表反映</w:t>
            </w:r>
            <w:r>
              <w:rPr>
                <w:rFonts w:hint="eastAsia" w:ascii="宋体" w:hAnsi="宋体" w:cs="宋体"/>
                <w:color w:val="auto"/>
                <w:kern w:val="0"/>
                <w:sz w:val="22"/>
                <w:lang w:eastAsia="zh-CN" w:bidi="ar"/>
              </w:rPr>
              <w:t>单位</w:t>
            </w:r>
            <w:r>
              <w:rPr>
                <w:rFonts w:hint="eastAsia" w:ascii="宋体" w:hAnsi="宋体" w:cs="宋体"/>
                <w:color w:val="auto"/>
                <w:kern w:val="0"/>
                <w:sz w:val="22"/>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212" w:type="dxa"/>
        <w:tblInd w:w="93" w:type="dxa"/>
        <w:tblLayout w:type="fixed"/>
        <w:tblCellMar>
          <w:top w:w="0" w:type="dxa"/>
          <w:left w:w="108" w:type="dxa"/>
          <w:bottom w:w="0" w:type="dxa"/>
          <w:right w:w="108" w:type="dxa"/>
        </w:tblCellMar>
      </w:tblPr>
      <w:tblGrid>
        <w:gridCol w:w="1141"/>
        <w:gridCol w:w="1756"/>
        <w:gridCol w:w="1863"/>
        <w:gridCol w:w="1924"/>
        <w:gridCol w:w="1695"/>
        <w:gridCol w:w="1588"/>
        <w:gridCol w:w="1551"/>
        <w:gridCol w:w="1694"/>
      </w:tblGrid>
      <w:tr>
        <w:tblPrEx>
          <w:tblCellMar>
            <w:top w:w="0" w:type="dxa"/>
            <w:left w:w="108" w:type="dxa"/>
            <w:bottom w:w="0" w:type="dxa"/>
            <w:right w:w="108" w:type="dxa"/>
          </w:tblCellMar>
        </w:tblPrEx>
        <w:trPr>
          <w:trHeight w:val="390" w:hRule="atLeast"/>
        </w:trPr>
        <w:tc>
          <w:tcPr>
            <w:tcW w:w="13212" w:type="dxa"/>
            <w:gridSpan w:val="8"/>
            <w:tcBorders>
              <w:top w:val="nil"/>
              <w:left w:val="nil"/>
              <w:bottom w:val="nil"/>
              <w:right w:val="nil"/>
            </w:tcBorders>
            <w:shd w:val="clear" w:color="auto" w:fill="FFFFFF"/>
            <w:noWrap/>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lang w:bidi="ar"/>
              </w:rPr>
              <w:t>政府性基金预算财政拨款收入支出决算表</w:t>
            </w:r>
          </w:p>
        </w:tc>
      </w:tr>
      <w:tr>
        <w:tblPrEx>
          <w:tblCellMar>
            <w:top w:w="0" w:type="dxa"/>
            <w:left w:w="108" w:type="dxa"/>
            <w:bottom w:w="0" w:type="dxa"/>
            <w:right w:w="108" w:type="dxa"/>
          </w:tblCellMar>
        </w:tblPrEx>
        <w:trPr>
          <w:trHeight w:val="255" w:hRule="atLeast"/>
        </w:trPr>
        <w:tc>
          <w:tcPr>
            <w:tcW w:w="13212" w:type="dxa"/>
            <w:gridSpan w:val="8"/>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公开08表</w:t>
            </w:r>
          </w:p>
        </w:tc>
      </w:tr>
      <w:tr>
        <w:tblPrEx>
          <w:tblCellMar>
            <w:top w:w="0" w:type="dxa"/>
            <w:left w:w="108" w:type="dxa"/>
            <w:bottom w:w="0" w:type="dxa"/>
            <w:right w:w="108" w:type="dxa"/>
          </w:tblCellMar>
        </w:tblPrEx>
        <w:trPr>
          <w:trHeight w:val="255" w:hRule="atLeast"/>
        </w:trPr>
        <w:tc>
          <w:tcPr>
            <w:tcW w:w="9967" w:type="dxa"/>
            <w:gridSpan w:val="6"/>
            <w:tcBorders>
              <w:top w:val="nil"/>
              <w:left w:val="nil"/>
              <w:bottom w:val="nil"/>
              <w:right w:val="nil"/>
            </w:tcBorders>
            <w:shd w:val="clear" w:color="auto" w:fill="FFFFFF"/>
            <w:noWrap/>
            <w:vAlign w:val="bottom"/>
          </w:tcPr>
          <w:p>
            <w:pPr>
              <w:widowControl/>
              <w:jc w:val="left"/>
              <w:textAlignment w:val="bottom"/>
              <w:rPr>
                <w:rFonts w:ascii="宋体" w:hAnsi="宋体" w:cs="宋体"/>
                <w:color w:val="auto"/>
                <w:sz w:val="20"/>
                <w:szCs w:val="20"/>
              </w:rPr>
            </w:pPr>
            <w:r>
              <w:rPr>
                <w:rFonts w:hint="eastAsia" w:ascii="宋体" w:hAnsi="宋体" w:cs="宋体"/>
                <w:color w:val="auto"/>
                <w:kern w:val="0"/>
                <w:sz w:val="20"/>
                <w:szCs w:val="20"/>
                <w:lang w:eastAsia="zh-CN" w:bidi="ar"/>
              </w:rPr>
              <w:t>单位</w:t>
            </w:r>
            <w:r>
              <w:rPr>
                <w:rFonts w:hint="eastAsia" w:ascii="宋体" w:hAnsi="宋体" w:cs="宋体"/>
                <w:color w:val="auto"/>
                <w:kern w:val="0"/>
                <w:sz w:val="20"/>
                <w:szCs w:val="20"/>
                <w:lang w:bidi="ar"/>
              </w:rPr>
              <w:t>：许昌高级中学</w:t>
            </w:r>
          </w:p>
        </w:tc>
        <w:tc>
          <w:tcPr>
            <w:tcW w:w="3245" w:type="dxa"/>
            <w:gridSpan w:val="2"/>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2897"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w:t>
            </w:r>
          </w:p>
        </w:tc>
        <w:tc>
          <w:tcPr>
            <w:tcW w:w="1863"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年初结转和结余</w:t>
            </w:r>
          </w:p>
        </w:tc>
        <w:tc>
          <w:tcPr>
            <w:tcW w:w="1924"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本年收入</w:t>
            </w:r>
          </w:p>
        </w:tc>
        <w:tc>
          <w:tcPr>
            <w:tcW w:w="4834"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本年支出</w:t>
            </w:r>
          </w:p>
        </w:tc>
        <w:tc>
          <w:tcPr>
            <w:tcW w:w="1694"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年末结转和结余</w:t>
            </w:r>
          </w:p>
        </w:tc>
      </w:tr>
      <w:tr>
        <w:tblPrEx>
          <w:tblCellMar>
            <w:top w:w="0" w:type="dxa"/>
            <w:left w:w="108" w:type="dxa"/>
            <w:bottom w:w="0" w:type="dxa"/>
            <w:right w:w="108" w:type="dxa"/>
          </w:tblCellMar>
        </w:tblPrEx>
        <w:trPr>
          <w:trHeight w:val="312" w:hRule="atLeast"/>
        </w:trPr>
        <w:tc>
          <w:tcPr>
            <w:tcW w:w="1141"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功能分类科目编码</w:t>
            </w:r>
          </w:p>
        </w:tc>
        <w:tc>
          <w:tcPr>
            <w:tcW w:w="175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186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92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69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小计</w:t>
            </w:r>
          </w:p>
        </w:tc>
        <w:tc>
          <w:tcPr>
            <w:tcW w:w="1588"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基本支出</w:t>
            </w:r>
          </w:p>
        </w:tc>
        <w:tc>
          <w:tcPr>
            <w:tcW w:w="1551"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项目支出</w:t>
            </w:r>
          </w:p>
        </w:tc>
        <w:tc>
          <w:tcPr>
            <w:tcW w:w="169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12" w:hRule="atLeast"/>
        </w:trPr>
        <w:tc>
          <w:tcPr>
            <w:tcW w:w="1141"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75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rPr>
            </w:pPr>
          </w:p>
        </w:tc>
        <w:tc>
          <w:tcPr>
            <w:tcW w:w="186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92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695"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588"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551"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69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12" w:hRule="atLeast"/>
        </w:trPr>
        <w:tc>
          <w:tcPr>
            <w:tcW w:w="1141"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75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rPr>
            </w:pPr>
          </w:p>
        </w:tc>
        <w:tc>
          <w:tcPr>
            <w:tcW w:w="186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92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695"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588"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551"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c>
          <w:tcPr>
            <w:tcW w:w="169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2897"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1863"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1924"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1695"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1588"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w:t>
            </w:r>
          </w:p>
        </w:tc>
        <w:tc>
          <w:tcPr>
            <w:tcW w:w="1551"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w:t>
            </w:r>
          </w:p>
        </w:tc>
        <w:tc>
          <w:tcPr>
            <w:tcW w:w="1694"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w:t>
            </w:r>
          </w:p>
        </w:tc>
      </w:tr>
      <w:tr>
        <w:tblPrEx>
          <w:tblCellMar>
            <w:top w:w="0" w:type="dxa"/>
            <w:left w:w="108" w:type="dxa"/>
            <w:bottom w:w="0" w:type="dxa"/>
            <w:right w:w="108" w:type="dxa"/>
          </w:tblCellMar>
        </w:tblPrEx>
        <w:trPr>
          <w:trHeight w:val="308" w:hRule="atLeast"/>
        </w:trPr>
        <w:tc>
          <w:tcPr>
            <w:tcW w:w="2897"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18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rPr>
            </w:pPr>
          </w:p>
        </w:tc>
        <w:tc>
          <w:tcPr>
            <w:tcW w:w="19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rPr>
            </w:pPr>
          </w:p>
        </w:tc>
        <w:tc>
          <w:tcPr>
            <w:tcW w:w="169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rPr>
            </w:pPr>
          </w:p>
        </w:tc>
        <w:tc>
          <w:tcPr>
            <w:tcW w:w="158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rPr>
            </w:pPr>
          </w:p>
        </w:tc>
        <w:tc>
          <w:tcPr>
            <w:tcW w:w="155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rPr>
            </w:pPr>
          </w:p>
        </w:tc>
        <w:tc>
          <w:tcPr>
            <w:tcW w:w="169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rPr>
            </w:pPr>
          </w:p>
        </w:tc>
      </w:tr>
      <w:tr>
        <w:tblPrEx>
          <w:tblCellMar>
            <w:top w:w="0" w:type="dxa"/>
            <w:left w:w="108" w:type="dxa"/>
            <w:bottom w:w="0" w:type="dxa"/>
            <w:right w:w="108" w:type="dxa"/>
          </w:tblCellMar>
        </w:tblPrEx>
        <w:trPr>
          <w:trHeight w:val="308" w:hRule="atLeast"/>
        </w:trPr>
        <w:tc>
          <w:tcPr>
            <w:tcW w:w="114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auto"/>
                <w:sz w:val="22"/>
              </w:rPr>
            </w:pPr>
          </w:p>
        </w:tc>
        <w:tc>
          <w:tcPr>
            <w:tcW w:w="1756" w:type="dxa"/>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auto"/>
                <w:sz w:val="22"/>
              </w:rPr>
            </w:pPr>
          </w:p>
        </w:tc>
        <w:tc>
          <w:tcPr>
            <w:tcW w:w="18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9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69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58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55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69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4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auto"/>
                <w:sz w:val="22"/>
              </w:rPr>
            </w:pPr>
          </w:p>
        </w:tc>
        <w:tc>
          <w:tcPr>
            <w:tcW w:w="1756" w:type="dxa"/>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auto"/>
                <w:sz w:val="22"/>
              </w:rPr>
            </w:pPr>
          </w:p>
        </w:tc>
        <w:tc>
          <w:tcPr>
            <w:tcW w:w="18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9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69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58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55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69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4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auto"/>
                <w:sz w:val="22"/>
              </w:rPr>
            </w:pPr>
          </w:p>
        </w:tc>
        <w:tc>
          <w:tcPr>
            <w:tcW w:w="1756" w:type="dxa"/>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auto"/>
                <w:sz w:val="22"/>
              </w:rPr>
            </w:pPr>
          </w:p>
        </w:tc>
        <w:tc>
          <w:tcPr>
            <w:tcW w:w="18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9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69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58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55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69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4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auto"/>
                <w:sz w:val="22"/>
              </w:rPr>
            </w:pPr>
          </w:p>
        </w:tc>
        <w:tc>
          <w:tcPr>
            <w:tcW w:w="1756" w:type="dxa"/>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auto"/>
                <w:sz w:val="22"/>
              </w:rPr>
            </w:pPr>
          </w:p>
        </w:tc>
        <w:tc>
          <w:tcPr>
            <w:tcW w:w="18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9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69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58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55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69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4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auto"/>
                <w:sz w:val="22"/>
              </w:rPr>
            </w:pPr>
          </w:p>
        </w:tc>
        <w:tc>
          <w:tcPr>
            <w:tcW w:w="1756" w:type="dxa"/>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auto"/>
                <w:sz w:val="22"/>
              </w:rPr>
            </w:pPr>
          </w:p>
        </w:tc>
        <w:tc>
          <w:tcPr>
            <w:tcW w:w="18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9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69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58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55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69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4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auto"/>
                <w:sz w:val="22"/>
              </w:rPr>
            </w:pPr>
          </w:p>
        </w:tc>
        <w:tc>
          <w:tcPr>
            <w:tcW w:w="1756" w:type="dxa"/>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auto"/>
                <w:sz w:val="22"/>
              </w:rPr>
            </w:pPr>
          </w:p>
        </w:tc>
        <w:tc>
          <w:tcPr>
            <w:tcW w:w="1863"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92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69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58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55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c>
          <w:tcPr>
            <w:tcW w:w="169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3212" w:type="dxa"/>
            <w:gridSpan w:val="8"/>
            <w:tcBorders>
              <w:top w:val="nil"/>
              <w:left w:val="nil"/>
              <w:bottom w:val="nil"/>
              <w:right w:val="nil"/>
            </w:tcBorders>
            <w:shd w:val="clear" w:color="auto" w:fill="FFFFFF"/>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注：本表反映</w:t>
            </w:r>
            <w:r>
              <w:rPr>
                <w:rFonts w:hint="eastAsia" w:ascii="宋体" w:hAnsi="宋体" w:cs="宋体"/>
                <w:color w:val="auto"/>
                <w:kern w:val="0"/>
                <w:sz w:val="22"/>
                <w:lang w:eastAsia="zh-CN" w:bidi="ar"/>
              </w:rPr>
              <w:t>单位</w:t>
            </w:r>
            <w:r>
              <w:rPr>
                <w:rFonts w:hint="eastAsia" w:ascii="宋体" w:hAnsi="宋体" w:cs="宋体"/>
                <w:color w:val="auto"/>
                <w:kern w:val="0"/>
                <w:sz w:val="22"/>
                <w:lang w:bidi="ar"/>
              </w:rPr>
              <w:t>本年度政府性基金预算财政拨款收入、支出及结转和结余情况。本表金额转换为万元时，因四舍五入可能存在尾差。</w:t>
            </w:r>
          </w:p>
        </w:tc>
      </w:tr>
    </w:tbl>
    <w:p>
      <w:pPr>
        <w:widowControl/>
        <w:ind w:firstLine="480" w:firstLineChars="200"/>
        <w:jc w:val="left"/>
        <w:textAlignment w:val="center"/>
        <w:rPr>
          <w:rFonts w:ascii="宋体" w:hAnsi="宋体" w:cs="宋体"/>
          <w:color w:val="auto"/>
          <w:sz w:val="24"/>
          <w:szCs w:val="24"/>
        </w:rPr>
      </w:pPr>
      <w:r>
        <w:rPr>
          <w:rFonts w:hint="eastAsia" w:ascii="宋体" w:hAnsi="宋体" w:cs="宋体"/>
          <w:color w:val="auto"/>
          <w:sz w:val="24"/>
          <w:szCs w:val="24"/>
        </w:rPr>
        <w:t>说明：我单位没有政府性基金收入，也没有使用政府性基金安排的支出，故本表无数据。</w:t>
      </w:r>
    </w:p>
    <w:p>
      <w:pPr>
        <w:widowControl/>
        <w:spacing w:line="590" w:lineRule="exact"/>
        <w:jc w:val="left"/>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第三部分 2021年度单位决算情况说明</w:t>
      </w:r>
    </w:p>
    <w:p>
      <w:pPr>
        <w:widowControl/>
        <w:jc w:val="left"/>
        <w:rPr>
          <w:rFonts w:ascii="黑体" w:hAnsi="黑体" w:eastAsia="黑体" w:cs="黑体"/>
          <w:color w:val="auto"/>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一、收入支出决算总体情况说明</w:t>
      </w:r>
    </w:p>
    <w:p>
      <w:pPr>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olor w:val="auto"/>
          <w:sz w:val="32"/>
          <w:szCs w:val="24"/>
        </w:rPr>
        <w:t>2021年度收、支总计均为10806.14万元。与上年度相比，收、支总计各减少951.97万元，下降8.10%。主要原因是2021年度国际班学费分三年收，上年度一次性收。</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二、收入决算情况说明</w:t>
      </w:r>
    </w:p>
    <w:p>
      <w:pPr>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olor w:val="auto"/>
          <w:sz w:val="32"/>
          <w:szCs w:val="24"/>
        </w:rPr>
        <w:t>2021年度收入合计8062.64万元，其中：财政拨款收入6822.64万元，占84.62%；上级补助收入0.00万元，占0.00%；事业收入1240.00万元，占15.38%；经营收入0.00万元，占0.00%；附属单位上缴收入0.00万元，占0.00%；其他收入0.00万元，占0.00%。</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三、支出决算情况说明</w:t>
      </w:r>
    </w:p>
    <w:p>
      <w:pPr>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olor w:val="auto"/>
          <w:sz w:val="32"/>
          <w:szCs w:val="24"/>
        </w:rPr>
        <w:t>2021年度支出合计10692.36万元，其中：基本支出9005.73万元，占84.23%；项目支出1686.63万元，占15.77%；上缴上级支出0.00万元，占0.00%；经营支出0.00万元，占0.00%；对附属单位补助支出0.00万元，占0.00%。</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四、财政拨款收入支出决算总体情况说明</w:t>
      </w:r>
    </w:p>
    <w:p>
      <w:pPr>
        <w:spacing w:line="590" w:lineRule="exact"/>
        <w:ind w:firstLine="640" w:firstLineChars="200"/>
        <w:rPr>
          <w:rFonts w:eastAsia="Times New Roman"/>
          <w:color w:val="auto"/>
          <w:kern w:val="0"/>
          <w:sz w:val="18"/>
          <w:szCs w:val="24"/>
          <w:lang w:val="zh-CN"/>
        </w:rPr>
      </w:pPr>
      <w:r>
        <w:rPr>
          <w:rFonts w:hint="eastAsia" w:ascii="仿宋_GB2312" w:hAnsi="仿宋_GB2312" w:eastAsia="仿宋_GB2312"/>
          <w:color w:val="auto"/>
          <w:sz w:val="32"/>
          <w:szCs w:val="24"/>
        </w:rPr>
        <w:t>2021年度财政拨款收、支总计均为9125.69万元。与上年度相比，财政拨款收、支总计各减少822.33万元，下降8.27%。主要原因是压缩财政经费支出。</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（一）总体情况。</w:t>
      </w:r>
    </w:p>
    <w:p>
      <w:pPr>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olor w:val="auto"/>
          <w:sz w:val="32"/>
          <w:szCs w:val="24"/>
        </w:rPr>
        <w:t>2021年度一般公共预算财政拨款支出9125.69万元，占支出合计的85.35%。与上年度相比，一般公共预算财政拨款支出增加1171.04万元，增长14.72%。主要原因是教育教学投入增加。</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（二）结构情况。</w:t>
      </w:r>
    </w:p>
    <w:p>
      <w:pPr>
        <w:widowControl/>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24"/>
        </w:rPr>
        <w:t>2021年度一般公共预算财政拨款支出9125.69万元，主要用于以下方面：一般公共服务（类）支出34.67万元，占0.38%；</w:t>
      </w:r>
      <w:r>
        <w:rPr>
          <w:rFonts w:hint="eastAsia" w:ascii="仿宋_GB2312" w:hAnsi="仿宋_GB2312" w:eastAsia="仿宋_GB2312" w:cs="仿宋_GB2312"/>
          <w:color w:val="auto"/>
          <w:sz w:val="32"/>
          <w:szCs w:val="32"/>
        </w:rPr>
        <w:t>教育（类）</w:t>
      </w:r>
      <w:r>
        <w:rPr>
          <w:rFonts w:hint="eastAsia" w:ascii="仿宋_GB2312" w:hAnsi="仿宋_GB2312" w:eastAsia="仿宋_GB2312" w:cs="仿宋_GB2312"/>
          <w:color w:val="auto"/>
          <w:sz w:val="32"/>
          <w:szCs w:val="32"/>
          <w:lang w:val="zh-CN"/>
        </w:rPr>
        <w:t>支出</w:t>
      </w:r>
      <w:r>
        <w:rPr>
          <w:rFonts w:hint="eastAsia" w:ascii="仿宋_GB2312" w:hAnsi="仿宋_GB2312" w:eastAsia="仿宋_GB2312" w:cs="仿宋_GB2312"/>
          <w:color w:val="auto"/>
          <w:sz w:val="32"/>
          <w:szCs w:val="32"/>
          <w:lang w:val="en-US" w:eastAsia="zh-CN"/>
        </w:rPr>
        <w:t>8221.11</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rPr>
        <w:t>90.09</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rPr>
        <w:t>社会保障和就业（类）支出693.21万元，占7.60%；卫生健康（类）支出176.70万元，占1.93%。</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（三）具体情况。</w:t>
      </w:r>
    </w:p>
    <w:p>
      <w:pPr>
        <w:spacing w:line="590" w:lineRule="exact"/>
        <w:ind w:firstLine="640" w:firstLineChars="200"/>
        <w:rPr>
          <w:rFonts w:eastAsia="Times New Roman"/>
          <w:color w:val="auto"/>
          <w:sz w:val="32"/>
          <w:szCs w:val="24"/>
        </w:rPr>
      </w:pPr>
      <w:r>
        <w:rPr>
          <w:rFonts w:hint="eastAsia" w:ascii="仿宋_GB2312" w:hAnsi="仿宋_GB2312" w:eastAsia="仿宋_GB2312"/>
          <w:color w:val="auto"/>
          <w:sz w:val="32"/>
          <w:szCs w:val="24"/>
        </w:rPr>
        <w:t>2021年度一般公共预算财政拨款支出年初预算为6839.99万元，支出决算为9125.69万元，完成年初预算的133.42%。其中：</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 w:hAnsi="仿宋" w:eastAsia="仿宋" w:cs="仿宋"/>
          <w:b/>
          <w:bCs/>
          <w:color w:val="auto"/>
          <w:sz w:val="32"/>
          <w:szCs w:val="32"/>
          <w:lang w:val="zh-CN"/>
        </w:rPr>
        <w:t>1．</w:t>
      </w:r>
      <w:r>
        <w:rPr>
          <w:rFonts w:hint="eastAsia" w:ascii="仿宋" w:hAnsi="仿宋" w:eastAsia="仿宋" w:cs="仿宋"/>
          <w:b/>
          <w:bCs/>
          <w:color w:val="auto"/>
          <w:sz w:val="32"/>
          <w:szCs w:val="32"/>
        </w:rPr>
        <w:t>一般公共服务支出（类）群众团体事务</w:t>
      </w:r>
      <w:r>
        <w:rPr>
          <w:rFonts w:hint="eastAsia" w:ascii="仿宋" w:hAnsi="仿宋" w:eastAsia="仿宋" w:cs="仿宋"/>
          <w:b/>
          <w:bCs/>
          <w:color w:val="auto"/>
          <w:sz w:val="32"/>
          <w:szCs w:val="32"/>
          <w:lang w:val="zh-CN"/>
        </w:rPr>
        <w:t>（款）</w:t>
      </w:r>
      <w:r>
        <w:rPr>
          <w:rFonts w:hint="eastAsia" w:ascii="仿宋" w:hAnsi="仿宋" w:eastAsia="仿宋" w:cs="仿宋"/>
          <w:b/>
          <w:bCs/>
          <w:color w:val="auto"/>
          <w:sz w:val="32"/>
          <w:szCs w:val="32"/>
        </w:rPr>
        <w:t>工会事务</w:t>
      </w:r>
      <w:r>
        <w:rPr>
          <w:rFonts w:hint="eastAsia" w:ascii="仿宋" w:hAnsi="仿宋" w:eastAsia="仿宋" w:cs="仿宋"/>
          <w:b/>
          <w:bCs/>
          <w:color w:val="auto"/>
          <w:sz w:val="32"/>
          <w:szCs w:val="32"/>
          <w:lang w:val="zh-CN"/>
        </w:rPr>
        <w:t>（项）。</w:t>
      </w:r>
      <w:r>
        <w:rPr>
          <w:rFonts w:hint="eastAsia" w:ascii="仿宋_GB2312" w:hAnsi="仿宋_GB2312" w:eastAsia="仿宋_GB2312" w:cs="仿宋_GB2312"/>
          <w:color w:val="auto"/>
          <w:sz w:val="32"/>
          <w:szCs w:val="32"/>
          <w:lang w:val="zh-CN"/>
        </w:rPr>
        <w:t>年初预算为</w:t>
      </w:r>
      <w:r>
        <w:rPr>
          <w:rFonts w:hint="eastAsia" w:ascii="仿宋_GB2312" w:hAnsi="仿宋_GB2312" w:eastAsia="仿宋_GB2312" w:cs="仿宋_GB2312"/>
          <w:color w:val="auto"/>
          <w:sz w:val="32"/>
          <w:szCs w:val="32"/>
        </w:rPr>
        <w:t>34.67</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rPr>
        <w:t>34.67</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rPr>
        <w:t>决算数与年初预算数不存在差异。</w:t>
      </w:r>
    </w:p>
    <w:p>
      <w:pPr>
        <w:ind w:firstLine="643" w:firstLineChars="200"/>
        <w:jc w:val="left"/>
        <w:rPr>
          <w:rFonts w:hint="eastAsia" w:ascii="仿宋_GB2312" w:hAnsi="仿宋_GB2312" w:eastAsia="仿宋_GB2312" w:cs="仿宋_GB2312"/>
          <w:color w:val="auto"/>
          <w:sz w:val="32"/>
          <w:szCs w:val="32"/>
          <w:lang w:val="zh-CN"/>
        </w:rPr>
      </w:pPr>
      <w:r>
        <w:rPr>
          <w:rFonts w:hint="eastAsia" w:ascii="仿宋" w:hAnsi="仿宋" w:eastAsia="仿宋" w:cs="仿宋"/>
          <w:b/>
          <w:bCs/>
          <w:color w:val="auto"/>
          <w:sz w:val="32"/>
          <w:szCs w:val="32"/>
          <w:lang w:val="zh-CN"/>
        </w:rPr>
        <w:t>2．</w:t>
      </w:r>
      <w:r>
        <w:rPr>
          <w:rFonts w:hint="eastAsia" w:ascii="仿宋" w:hAnsi="仿宋" w:eastAsia="仿宋" w:cs="仿宋"/>
          <w:b/>
          <w:bCs/>
          <w:color w:val="auto"/>
          <w:sz w:val="32"/>
          <w:szCs w:val="32"/>
        </w:rPr>
        <w:t>教育支出</w:t>
      </w:r>
      <w:r>
        <w:rPr>
          <w:rFonts w:hint="eastAsia" w:ascii="仿宋" w:hAnsi="仿宋" w:eastAsia="仿宋" w:cs="仿宋"/>
          <w:b/>
          <w:bCs/>
          <w:color w:val="auto"/>
          <w:sz w:val="32"/>
          <w:szCs w:val="32"/>
          <w:lang w:val="zh-CN"/>
        </w:rPr>
        <w:t>（类）</w:t>
      </w:r>
      <w:r>
        <w:rPr>
          <w:rFonts w:hint="eastAsia" w:ascii="仿宋" w:hAnsi="仿宋" w:eastAsia="仿宋" w:cs="仿宋"/>
          <w:b/>
          <w:bCs/>
          <w:color w:val="auto"/>
          <w:sz w:val="32"/>
          <w:szCs w:val="32"/>
        </w:rPr>
        <w:t>普通教育</w:t>
      </w:r>
      <w:r>
        <w:rPr>
          <w:rFonts w:hint="eastAsia" w:ascii="仿宋" w:hAnsi="仿宋" w:eastAsia="仿宋" w:cs="仿宋"/>
          <w:b/>
          <w:bCs/>
          <w:color w:val="auto"/>
          <w:sz w:val="32"/>
          <w:szCs w:val="32"/>
          <w:lang w:val="zh-CN"/>
        </w:rPr>
        <w:t>（款）</w:t>
      </w:r>
      <w:r>
        <w:rPr>
          <w:rFonts w:hint="eastAsia" w:ascii="仿宋" w:hAnsi="仿宋" w:eastAsia="仿宋" w:cs="仿宋"/>
          <w:b/>
          <w:bCs/>
          <w:color w:val="auto"/>
          <w:sz w:val="32"/>
          <w:szCs w:val="32"/>
        </w:rPr>
        <w:t>高中教育</w:t>
      </w:r>
      <w:r>
        <w:rPr>
          <w:rFonts w:hint="eastAsia" w:ascii="仿宋" w:hAnsi="仿宋" w:eastAsia="仿宋" w:cs="仿宋"/>
          <w:b/>
          <w:bCs/>
          <w:color w:val="auto"/>
          <w:sz w:val="32"/>
          <w:szCs w:val="32"/>
          <w:lang w:val="zh-CN"/>
        </w:rPr>
        <w:t>（项）。</w:t>
      </w:r>
      <w:r>
        <w:rPr>
          <w:rFonts w:hint="eastAsia" w:ascii="仿宋_GB2312" w:hAnsi="仿宋_GB2312" w:eastAsia="仿宋_GB2312" w:cs="仿宋_GB2312"/>
          <w:color w:val="auto"/>
          <w:sz w:val="32"/>
          <w:szCs w:val="32"/>
          <w:lang w:val="zh-CN"/>
        </w:rPr>
        <w:t>年初预算为</w:t>
      </w:r>
      <w:r>
        <w:rPr>
          <w:rFonts w:hint="eastAsia" w:ascii="仿宋_GB2312" w:hAnsi="仿宋_GB2312" w:eastAsia="仿宋_GB2312" w:cs="仿宋_GB2312"/>
          <w:color w:val="auto"/>
          <w:sz w:val="32"/>
          <w:szCs w:val="32"/>
        </w:rPr>
        <w:t>5925.94</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rPr>
        <w:t>7049.80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rPr>
        <w:t>118.96</w:t>
      </w:r>
      <w:r>
        <w:rPr>
          <w:rFonts w:hint="eastAsia" w:ascii="仿宋_GB2312" w:hAnsi="仿宋_GB2312" w:eastAsia="仿宋_GB2312" w:cs="仿宋_GB2312"/>
          <w:color w:val="auto"/>
          <w:sz w:val="32"/>
          <w:szCs w:val="32"/>
          <w:lang w:val="zh-CN"/>
        </w:rPr>
        <w:t>%。决算数与年初预算数存在差异的主要原因是教育教学投入增加。</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w:t>
      </w:r>
      <w:r>
        <w:rPr>
          <w:rFonts w:hint="eastAsia" w:ascii="仿宋" w:hAnsi="仿宋" w:eastAsia="仿宋" w:cs="仿宋"/>
          <w:b/>
          <w:bCs/>
          <w:color w:val="auto"/>
          <w:sz w:val="32"/>
          <w:szCs w:val="32"/>
        </w:rPr>
        <w:t>教育支出</w:t>
      </w:r>
      <w:r>
        <w:rPr>
          <w:rFonts w:hint="eastAsia" w:ascii="仿宋" w:hAnsi="仿宋" w:eastAsia="仿宋" w:cs="仿宋"/>
          <w:b/>
          <w:bCs/>
          <w:color w:val="auto"/>
          <w:sz w:val="32"/>
          <w:szCs w:val="32"/>
          <w:lang w:val="zh-CN"/>
        </w:rPr>
        <w:t>（类）</w:t>
      </w:r>
      <w:r>
        <w:rPr>
          <w:rFonts w:hint="eastAsia" w:ascii="仿宋" w:hAnsi="仿宋" w:eastAsia="仿宋" w:cs="仿宋"/>
          <w:b/>
          <w:bCs/>
          <w:color w:val="auto"/>
          <w:sz w:val="32"/>
          <w:szCs w:val="32"/>
        </w:rPr>
        <w:t>普通教育</w:t>
      </w:r>
      <w:r>
        <w:rPr>
          <w:rFonts w:hint="eastAsia" w:ascii="仿宋" w:hAnsi="仿宋" w:eastAsia="仿宋" w:cs="仿宋"/>
          <w:b/>
          <w:bCs/>
          <w:color w:val="auto"/>
          <w:sz w:val="32"/>
          <w:szCs w:val="32"/>
          <w:lang w:val="zh-CN"/>
        </w:rPr>
        <w:t>（款）</w:t>
      </w:r>
      <w:r>
        <w:rPr>
          <w:rFonts w:hint="eastAsia" w:ascii="仿宋_GB2312" w:hAnsi="仿宋_GB2312" w:eastAsia="仿宋_GB2312" w:cs="仿宋_GB2312"/>
          <w:b/>
          <w:bCs/>
          <w:color w:val="auto"/>
          <w:sz w:val="32"/>
          <w:szCs w:val="32"/>
        </w:rPr>
        <w:t>高等教育（项）。</w:t>
      </w:r>
      <w:r>
        <w:rPr>
          <w:rFonts w:hint="eastAsia" w:ascii="仿宋_GB2312" w:hAnsi="仿宋_GB2312" w:eastAsia="仿宋_GB2312" w:cs="仿宋_GB2312"/>
          <w:color w:val="auto"/>
          <w:sz w:val="32"/>
          <w:szCs w:val="32"/>
        </w:rPr>
        <w:t>年初预算为0.00万元，支出决算为0.39万元。决算数与年初预算数存在差异的主要原因是年初未安排预算数。</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w:t>
      </w:r>
      <w:r>
        <w:rPr>
          <w:rFonts w:hint="eastAsia" w:ascii="仿宋" w:hAnsi="仿宋" w:eastAsia="仿宋" w:cs="仿宋"/>
          <w:b/>
          <w:bCs/>
          <w:color w:val="auto"/>
          <w:sz w:val="32"/>
          <w:szCs w:val="32"/>
        </w:rPr>
        <w:t>教育支出</w:t>
      </w:r>
      <w:r>
        <w:rPr>
          <w:rFonts w:hint="eastAsia" w:ascii="仿宋" w:hAnsi="仿宋" w:eastAsia="仿宋" w:cs="仿宋"/>
          <w:b/>
          <w:bCs/>
          <w:color w:val="auto"/>
          <w:sz w:val="32"/>
          <w:szCs w:val="32"/>
          <w:lang w:val="zh-CN"/>
        </w:rPr>
        <w:t>（类）</w:t>
      </w:r>
      <w:r>
        <w:rPr>
          <w:rFonts w:hint="eastAsia" w:ascii="仿宋" w:hAnsi="仿宋" w:eastAsia="仿宋" w:cs="仿宋"/>
          <w:b/>
          <w:bCs/>
          <w:color w:val="auto"/>
          <w:sz w:val="32"/>
          <w:szCs w:val="32"/>
        </w:rPr>
        <w:t>普通教育</w:t>
      </w:r>
      <w:r>
        <w:rPr>
          <w:rFonts w:hint="eastAsia" w:ascii="仿宋" w:hAnsi="仿宋" w:eastAsia="仿宋" w:cs="仿宋"/>
          <w:b/>
          <w:bCs/>
          <w:color w:val="auto"/>
          <w:sz w:val="32"/>
          <w:szCs w:val="32"/>
          <w:lang w:val="zh-CN"/>
        </w:rPr>
        <w:t>（款）</w:t>
      </w:r>
      <w:r>
        <w:rPr>
          <w:rFonts w:hint="eastAsia" w:ascii="仿宋_GB2312" w:hAnsi="仿宋_GB2312" w:eastAsia="仿宋_GB2312" w:cs="仿宋_GB2312"/>
          <w:b/>
          <w:bCs/>
          <w:color w:val="auto"/>
          <w:sz w:val="32"/>
          <w:szCs w:val="32"/>
        </w:rPr>
        <w:t>其他普通教育支出（项）。</w:t>
      </w:r>
      <w:r>
        <w:rPr>
          <w:rFonts w:hint="eastAsia" w:ascii="仿宋_GB2312" w:hAnsi="仿宋_GB2312" w:eastAsia="仿宋_GB2312" w:cs="仿宋_GB2312"/>
          <w:color w:val="auto"/>
          <w:sz w:val="32"/>
          <w:szCs w:val="32"/>
        </w:rPr>
        <w:t>年初预算为0.00万元，支出决算为1142.72万元。决算数与年初预算数存在差异的主要原因是年初未安排预算数。</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w:t>
      </w:r>
      <w:r>
        <w:rPr>
          <w:rFonts w:hint="eastAsia" w:ascii="仿宋" w:hAnsi="仿宋" w:eastAsia="仿宋" w:cs="仿宋"/>
          <w:b/>
          <w:bCs/>
          <w:color w:val="auto"/>
          <w:sz w:val="32"/>
          <w:szCs w:val="32"/>
        </w:rPr>
        <w:t>教育支出</w:t>
      </w:r>
      <w:r>
        <w:rPr>
          <w:rFonts w:hint="eastAsia" w:ascii="仿宋" w:hAnsi="仿宋" w:eastAsia="仿宋" w:cs="仿宋"/>
          <w:b/>
          <w:bCs/>
          <w:color w:val="auto"/>
          <w:sz w:val="32"/>
          <w:szCs w:val="32"/>
          <w:lang w:val="zh-CN"/>
        </w:rPr>
        <w:t>（类）</w:t>
      </w:r>
      <w:r>
        <w:rPr>
          <w:rFonts w:hint="eastAsia" w:ascii="仿宋" w:hAnsi="仿宋" w:eastAsia="仿宋" w:cs="仿宋"/>
          <w:b/>
          <w:bCs/>
          <w:color w:val="auto"/>
          <w:sz w:val="32"/>
          <w:szCs w:val="32"/>
        </w:rPr>
        <w:t>特殊教育</w:t>
      </w:r>
      <w:r>
        <w:rPr>
          <w:rFonts w:hint="eastAsia" w:ascii="仿宋" w:hAnsi="仿宋" w:eastAsia="仿宋" w:cs="仿宋"/>
          <w:b/>
          <w:bCs/>
          <w:color w:val="auto"/>
          <w:sz w:val="32"/>
          <w:szCs w:val="32"/>
          <w:lang w:val="zh-CN"/>
        </w:rPr>
        <w:t>（款）</w:t>
      </w:r>
      <w:r>
        <w:rPr>
          <w:rFonts w:hint="eastAsia" w:ascii="仿宋_GB2312" w:hAnsi="仿宋_GB2312" w:eastAsia="仿宋_GB2312" w:cs="仿宋_GB2312"/>
          <w:b/>
          <w:bCs/>
          <w:color w:val="auto"/>
          <w:sz w:val="32"/>
          <w:szCs w:val="32"/>
        </w:rPr>
        <w:t>特殊学校教育（项）。</w:t>
      </w:r>
      <w:r>
        <w:rPr>
          <w:rFonts w:hint="eastAsia" w:ascii="仿宋_GB2312" w:hAnsi="仿宋_GB2312" w:eastAsia="仿宋_GB2312" w:cs="仿宋_GB2312"/>
          <w:color w:val="auto"/>
          <w:sz w:val="32"/>
          <w:szCs w:val="32"/>
        </w:rPr>
        <w:t>年初预算为0.00万元，支出决算为4.20万元。决算数与年初预算数存在差异的主要原因是年初未安排预算数。</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6．教育支出（类）其他教育支出（款）其他教育支出（项）。</w:t>
      </w:r>
      <w:r>
        <w:rPr>
          <w:rFonts w:hint="eastAsia" w:ascii="仿宋_GB2312" w:hAnsi="仿宋_GB2312" w:eastAsia="仿宋_GB2312" w:cs="仿宋_GB2312"/>
          <w:color w:val="auto"/>
          <w:sz w:val="32"/>
          <w:szCs w:val="32"/>
        </w:rPr>
        <w:t>年初预算为0.00万元，支出决算为24.00万元。决算数与年初预算数存在差异的主要原因是年初未安排预算数。</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7．社会保障和就业支出（类）行政事业单位养老支出（款）事业单位离退休（项）。</w:t>
      </w:r>
      <w:r>
        <w:rPr>
          <w:rFonts w:hint="eastAsia" w:ascii="仿宋_GB2312" w:hAnsi="仿宋_GB2312" w:eastAsia="仿宋_GB2312" w:cs="仿宋_GB2312"/>
          <w:color w:val="auto"/>
          <w:sz w:val="32"/>
          <w:szCs w:val="32"/>
        </w:rPr>
        <w:t>年初预算为282.76万元，支出决算为286.33万元，完成年初预算的10</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.26%。决算数与年初预算数存在差异的主要原因是本年度在职人员转退休。</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8．社会保障和就业支出（类）行政事业单位养老支出（款）机关事业单位基本养老保险缴费支出（项）。</w:t>
      </w:r>
      <w:r>
        <w:rPr>
          <w:rFonts w:hint="eastAsia" w:ascii="仿宋_GB2312" w:hAnsi="仿宋_GB2312" w:eastAsia="仿宋_GB2312" w:cs="仿宋_GB2312"/>
          <w:color w:val="auto"/>
          <w:sz w:val="32"/>
          <w:szCs w:val="32"/>
        </w:rPr>
        <w:t>年初预算为403.01万元，支出决算为403.01万元，完成年初预算的100%。决算数与年初预算数不存在差异。</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9．社会保障和就业支出（类）抚恤（款）死亡抚恤（项）。</w:t>
      </w:r>
      <w:r>
        <w:rPr>
          <w:rFonts w:hint="eastAsia" w:ascii="仿宋_GB2312" w:hAnsi="仿宋_GB2312" w:eastAsia="仿宋_GB2312" w:cs="仿宋_GB2312"/>
          <w:color w:val="auto"/>
          <w:sz w:val="32"/>
          <w:szCs w:val="32"/>
        </w:rPr>
        <w:t>年初预算为0.00万元，支出决算为3.87万元。决算数与年初预算数存在差异的主要原因是本年度追加死亡人员抚恤金。</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10．卫生健康支出（类）行政事业单位医疗（款）事业单位医疗（项）。</w:t>
      </w:r>
      <w:r>
        <w:rPr>
          <w:rFonts w:hint="eastAsia" w:ascii="仿宋_GB2312" w:hAnsi="仿宋_GB2312" w:eastAsia="仿宋_GB2312" w:cs="仿宋_GB2312"/>
          <w:color w:val="auto"/>
          <w:sz w:val="32"/>
          <w:szCs w:val="32"/>
        </w:rPr>
        <w:t>年初预算为193.61万元，支出决算为176.70万元，完成年初预算的91.27%。决算数与年初预算数存在差异的主要原因是本年度在职人员转退休。</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年度一般公共预算财政拨款基本支出7441.3</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万元。其中：人员经费6764.3</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万元，主要包括：基本工资、津贴补贴、奖金、绩效工资、机关事业单位基本养老保险缴费、职工基本医疗保险缴费、其他社会保障缴费、住房公积金、其他工资福利支出、离休费、退休费、抚恤金、生活补助；公用经费676.9</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万元，主要包括：办公费、印刷费、咨询费、水费、电费、邮电费、物业管理费、差旅费、维修（护）费、租赁费、培训费、劳务费、委托业务费、工会经费、福利费、公务用车运行维护费、其他交通费用、税金及附加费用、其他商品和服务支出、办公设备购置、专用设备购置。</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（一）“三公”经费财政拨款支出决算总体情况说明。</w:t>
      </w:r>
    </w:p>
    <w:p>
      <w:pPr>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olor w:val="auto"/>
          <w:sz w:val="32"/>
          <w:szCs w:val="24"/>
        </w:rPr>
        <w:t>2021年度</w:t>
      </w:r>
      <w:r>
        <w:rPr>
          <w:rFonts w:eastAsia="Times New Roman"/>
          <w:color w:val="auto"/>
          <w:sz w:val="32"/>
          <w:szCs w:val="24"/>
        </w:rPr>
        <w:t>“</w:t>
      </w:r>
      <w:r>
        <w:rPr>
          <w:rFonts w:hint="eastAsia" w:ascii="仿宋_GB2312" w:hAnsi="仿宋_GB2312" w:eastAsia="仿宋_GB2312"/>
          <w:color w:val="auto"/>
          <w:sz w:val="32"/>
          <w:szCs w:val="24"/>
        </w:rPr>
        <w:t>三公</w:t>
      </w:r>
      <w:r>
        <w:rPr>
          <w:rFonts w:eastAsia="Times New Roman"/>
          <w:color w:val="auto"/>
          <w:sz w:val="32"/>
          <w:szCs w:val="24"/>
        </w:rPr>
        <w:t>”</w:t>
      </w:r>
      <w:r>
        <w:rPr>
          <w:rFonts w:hint="eastAsia" w:ascii="仿宋_GB2312" w:hAnsi="仿宋_GB2312" w:eastAsia="仿宋_GB2312"/>
          <w:color w:val="auto"/>
          <w:sz w:val="32"/>
          <w:szCs w:val="24"/>
        </w:rPr>
        <w:t>经费财政拨款支出预算为1.00万元，支出决算为0.60万元，完成预算的60.00%。2021年度</w:t>
      </w:r>
      <w:r>
        <w:rPr>
          <w:rFonts w:eastAsia="Times New Roman"/>
          <w:color w:val="auto"/>
          <w:sz w:val="32"/>
          <w:szCs w:val="24"/>
        </w:rPr>
        <w:t>“</w:t>
      </w:r>
      <w:r>
        <w:rPr>
          <w:rFonts w:hint="eastAsia" w:ascii="仿宋_GB2312" w:hAnsi="仿宋_GB2312" w:eastAsia="仿宋_GB2312"/>
          <w:color w:val="auto"/>
          <w:sz w:val="32"/>
          <w:szCs w:val="24"/>
        </w:rPr>
        <w:t>三公</w:t>
      </w:r>
      <w:r>
        <w:rPr>
          <w:rFonts w:eastAsia="Times New Roman"/>
          <w:color w:val="auto"/>
          <w:sz w:val="32"/>
          <w:szCs w:val="24"/>
        </w:rPr>
        <w:t>”</w:t>
      </w:r>
      <w:r>
        <w:rPr>
          <w:rFonts w:hint="eastAsia" w:ascii="仿宋_GB2312" w:hAnsi="仿宋_GB2312" w:eastAsia="仿宋_GB2312"/>
          <w:color w:val="auto"/>
          <w:sz w:val="32"/>
          <w:szCs w:val="24"/>
        </w:rPr>
        <w:t>经费支出决算数与预算数存在差异的主要原因是本年度压缩三公经费支出。</w:t>
      </w:r>
    </w:p>
    <w:p>
      <w:pPr>
        <w:widowControl/>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年度“三公”经费财政拨款支出决算中，因公出国（境）费支出决算0.00万元；公务用车购置及运行费支出决算</w:t>
      </w:r>
      <w:r>
        <w:rPr>
          <w:rFonts w:hint="eastAsia" w:ascii="仿宋_GB2312" w:hAnsi="仿宋_GB2312" w:eastAsia="仿宋_GB2312"/>
          <w:color w:val="auto"/>
          <w:sz w:val="32"/>
          <w:szCs w:val="24"/>
        </w:rPr>
        <w:t>0.60</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olor w:val="auto"/>
          <w:sz w:val="32"/>
          <w:szCs w:val="24"/>
        </w:rPr>
        <w:t>60.00</w:t>
      </w:r>
      <w:r>
        <w:rPr>
          <w:rFonts w:hint="eastAsia" w:ascii="仿宋_GB2312" w:hAnsi="仿宋_GB2312" w:eastAsia="仿宋_GB2312" w:cs="仿宋_GB2312"/>
          <w:color w:val="auto"/>
          <w:sz w:val="32"/>
          <w:szCs w:val="32"/>
        </w:rPr>
        <w:t>%，占“三公”经费财政拨款支出的</w:t>
      </w:r>
      <w:r>
        <w:rPr>
          <w:rFonts w:ascii="仿宋_GB2312" w:hAnsi="仿宋_GB2312" w:eastAsia="仿宋_GB2312"/>
          <w:color w:val="auto"/>
          <w:sz w:val="32"/>
          <w:szCs w:val="24"/>
        </w:rPr>
        <w:t>100</w:t>
      </w:r>
      <w:r>
        <w:rPr>
          <w:rFonts w:hint="eastAsia" w:ascii="仿宋_GB2312" w:hAnsi="仿宋_GB2312" w:eastAsia="仿宋_GB2312"/>
          <w:color w:val="auto"/>
          <w:sz w:val="32"/>
          <w:szCs w:val="24"/>
        </w:rPr>
        <w:t>.00</w:t>
      </w:r>
      <w:r>
        <w:rPr>
          <w:rFonts w:hint="eastAsia" w:ascii="仿宋_GB2312" w:hAnsi="仿宋_GB2312" w:eastAsia="仿宋_GB2312" w:cs="仿宋_GB2312"/>
          <w:color w:val="auto"/>
          <w:sz w:val="32"/>
          <w:szCs w:val="32"/>
        </w:rPr>
        <w:t>%；公务接待费支出决算0.00万元。具体情况如下：</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1.因公出国（境）费</w:t>
      </w:r>
      <w:r>
        <w:rPr>
          <w:rFonts w:hint="eastAsia" w:ascii="仿宋_GB2312" w:hAnsi="仿宋_GB2312" w:eastAsia="仿宋_GB2312" w:cs="仿宋_GB2312"/>
          <w:color w:val="auto"/>
          <w:sz w:val="32"/>
          <w:szCs w:val="32"/>
        </w:rPr>
        <w:t>预算为0.00万元，支出决算为0.00万元，2021年度“三公”经费支出决算数与预算数不存在差异。</w:t>
      </w:r>
      <w:r>
        <w:rPr>
          <w:rFonts w:hint="eastAsia" w:ascii="仿宋_GB2312" w:hAnsi="仿宋_GB2312" w:eastAsia="仿宋_GB2312"/>
          <w:color w:val="auto"/>
          <w:sz w:val="32"/>
          <w:szCs w:val="24"/>
        </w:rPr>
        <w:t>因公出国（境）团组数0个，因公出国（境）人次数0人。</w:t>
      </w:r>
    </w:p>
    <w:p>
      <w:pPr>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2.公务用车购置及运行费</w:t>
      </w:r>
      <w:r>
        <w:rPr>
          <w:rFonts w:hint="eastAsia" w:ascii="仿宋_GB2312" w:hAnsi="仿宋_GB2312" w:eastAsia="仿宋_GB2312" w:cs="仿宋_GB2312"/>
          <w:color w:val="auto"/>
          <w:sz w:val="32"/>
          <w:szCs w:val="32"/>
        </w:rPr>
        <w:t>预算为</w:t>
      </w:r>
      <w:r>
        <w:rPr>
          <w:rFonts w:hint="eastAsia" w:ascii="仿宋_GB2312" w:hAnsi="仿宋_GB2312" w:eastAsia="仿宋_GB2312"/>
          <w:color w:val="auto"/>
          <w:sz w:val="32"/>
          <w:szCs w:val="24"/>
        </w:rPr>
        <w:t>1.00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olor w:val="auto"/>
          <w:sz w:val="32"/>
          <w:szCs w:val="24"/>
        </w:rPr>
        <w:t>0.60</w:t>
      </w:r>
      <w:r>
        <w:rPr>
          <w:rFonts w:hint="eastAsia" w:ascii="仿宋_GB2312" w:hAnsi="仿宋_GB2312" w:eastAsia="仿宋_GB2312" w:cs="仿宋_GB2312"/>
          <w:color w:val="auto"/>
          <w:sz w:val="32"/>
          <w:szCs w:val="32"/>
        </w:rPr>
        <w:t>万元，完成预算的60%。决算数与预算数存在差异的主要原因是</w:t>
      </w:r>
      <w:r>
        <w:rPr>
          <w:rFonts w:hint="eastAsia" w:ascii="仿宋_GB2312" w:hAnsi="仿宋_GB2312" w:eastAsia="仿宋_GB2312"/>
          <w:color w:val="auto"/>
          <w:sz w:val="32"/>
          <w:szCs w:val="24"/>
        </w:rPr>
        <w:t>本年度压缩三公经费支出。</w:t>
      </w:r>
      <w:r>
        <w:rPr>
          <w:rFonts w:hint="eastAsia" w:ascii="仿宋_GB2312" w:hAnsi="仿宋_GB2312" w:eastAsia="仿宋_GB2312" w:cs="仿宋_GB2312"/>
          <w:color w:val="auto"/>
          <w:sz w:val="32"/>
          <w:szCs w:val="32"/>
        </w:rPr>
        <w:t>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公务用车购置支出</w:t>
      </w:r>
      <w:r>
        <w:rPr>
          <w:rFonts w:hint="eastAsia" w:ascii="仿宋_GB2312" w:hAnsi="仿宋_GB2312" w:eastAsia="仿宋_GB2312" w:cs="仿宋_GB2312"/>
          <w:color w:val="auto"/>
          <w:sz w:val="32"/>
          <w:szCs w:val="32"/>
        </w:rPr>
        <w:t>为0.00万元，购置车辆0台。</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公务用车运行支出</w:t>
      </w:r>
      <w:r>
        <w:rPr>
          <w:rFonts w:hint="eastAsia" w:ascii="仿宋_GB2312" w:hAnsi="仿宋_GB2312" w:eastAsia="仿宋_GB2312" w:cs="仿宋_GB2312"/>
          <w:color w:val="auto"/>
          <w:sz w:val="32"/>
          <w:szCs w:val="32"/>
        </w:rPr>
        <w:t>0.60万元。主要用于</w:t>
      </w:r>
      <w:r>
        <w:rPr>
          <w:rFonts w:hint="eastAsia" w:ascii="仿宋" w:hAnsi="仿宋" w:eastAsia="仿宋" w:cs="仿宋"/>
          <w:color w:val="auto"/>
          <w:sz w:val="32"/>
          <w:szCs w:val="32"/>
          <w:lang w:val="zh-CN"/>
        </w:rPr>
        <w:t>日常维修，公车运行费</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年期末，单位开支财政拨款的公务用车保有量为1辆。</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3.公务接待费</w:t>
      </w:r>
      <w:r>
        <w:rPr>
          <w:rFonts w:hint="eastAsia" w:ascii="仿宋_GB2312" w:hAnsi="仿宋_GB2312" w:eastAsia="仿宋_GB2312" w:cs="仿宋_GB2312"/>
          <w:color w:val="auto"/>
          <w:sz w:val="32"/>
          <w:szCs w:val="32"/>
        </w:rPr>
        <w:t>预算为0.00万元，支出决算为0.00万元。2021年度“三公”经费支出决算数与预算数不存在差异</w:t>
      </w:r>
      <w:r>
        <w:rPr>
          <w:rFonts w:hint="eastAsia" w:ascii="仿宋" w:hAnsi="仿宋" w:eastAsia="仿宋" w:cs="仿宋"/>
          <w:color w:val="auto"/>
          <w:sz w:val="32"/>
          <w:szCs w:val="32"/>
          <w:lang w:val="zh-CN"/>
        </w:rPr>
        <w:t>。</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外宾接待支出</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rPr>
        <w:t>万元。2021年共接待国（境）外来访团组</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rPr>
        <w:t>个、来访外宾</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rPr>
        <w:t>人次（不包括陪同人员）。</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其他国内公务接待支出</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rPr>
        <w:t>万元。2021年共接待国内来访团组</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rPr>
        <w:t>个、来宾</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rPr>
        <w:t>人次（不包括陪同人员）。</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2021年度政府性基金预算财政拨款支出年初预算为0.00万元，支出决算为0.00万元。不存在项目年末结转和结余资金数额较大，情况说明：我单位2021年度没有政府性基金收入，也没有使用政府性基金安排的支出。</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九、机关运行经费支出情况说明</w:t>
      </w:r>
    </w:p>
    <w:p>
      <w:pPr>
        <w:widowControl/>
        <w:spacing w:line="59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十、政府采购支出情况说明</w:t>
      </w:r>
    </w:p>
    <w:p>
      <w:pPr>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olor w:val="auto"/>
          <w:sz w:val="32"/>
          <w:szCs w:val="24"/>
        </w:rPr>
        <w:t>2021年度政府采购支出总额749.13万元，其中：政府采购货物支出280.29万元、政府采购工程支出468.84万元、政府采购服务支出0.00万元。授予中小企业合同金额0.00万元，占政府采购支出总额的0.00%,其中：授予小微企业合同金额0.00万元，占政府采购支出总额的0.00%。</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十一、国有资产占用情况说明</w:t>
      </w:r>
    </w:p>
    <w:p>
      <w:pPr>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olor w:val="auto"/>
          <w:sz w:val="32"/>
          <w:szCs w:val="24"/>
        </w:rPr>
        <w:t>2021年期末，我单位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十二、预算绩效情况说明</w:t>
      </w:r>
    </w:p>
    <w:p>
      <w:pPr>
        <w:widowControl/>
        <w:spacing w:line="360" w:lineRule="auto"/>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（一）绩效管理工作开展情况。</w:t>
      </w:r>
    </w:p>
    <w:p>
      <w:pPr>
        <w:widowControl/>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我单位按照《中共许昌市委 许昌市人民政府关于全面实施预算绩效管理的实施意见》（许发〔2021〕13号）文件要求，对本单位整体支出和项目支出开展全过程预算绩效管理。2021年度我单位纳入预算绩效管理的支出总额为9349.99万元，其中：基本支出9049.99万元；项目支出金额300.00万元。开展项目绩效自评项目2个，自评金额300万元。</w:t>
      </w:r>
    </w:p>
    <w:p>
      <w:pPr>
        <w:widowControl/>
        <w:spacing w:line="360" w:lineRule="auto"/>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（二）单位整体和项目绩效自评结果。</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按照《许昌市财政局关于开展2021年度市级预算绩效自评工作的通知》（许财效〔202</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〕1号）等文件精神，我单位对本单位整体绩效目标和项目支出绩效目标进行了自评。一是单位</w:t>
      </w:r>
      <w:r>
        <w:rPr>
          <w:rFonts w:hint="eastAsia" w:ascii="仿宋" w:hAnsi="仿宋" w:eastAsia="仿宋" w:cs="仿宋"/>
          <w:color w:val="auto"/>
          <w:sz w:val="32"/>
          <w:szCs w:val="32"/>
        </w:rPr>
        <w:t>绩效自评情况：本年度我</w:t>
      </w:r>
      <w:r>
        <w:rPr>
          <w:rFonts w:hint="eastAsia" w:ascii="仿宋_GB2312" w:hAnsi="仿宋_GB2312" w:eastAsia="仿宋_GB2312" w:cs="仿宋_GB2312"/>
          <w:color w:val="auto"/>
          <w:sz w:val="32"/>
          <w:szCs w:val="32"/>
        </w:rPr>
        <w:t>单位整体绩效执行率为99%，自评</w:t>
      </w:r>
      <w:r>
        <w:rPr>
          <w:rFonts w:hint="eastAsia" w:ascii="仿宋" w:hAnsi="仿宋" w:eastAsia="仿宋" w:cs="仿宋"/>
          <w:color w:val="auto"/>
          <w:sz w:val="32"/>
          <w:szCs w:val="32"/>
        </w:rPr>
        <w:t>得分97.6分。</w:t>
      </w:r>
      <w:r>
        <w:rPr>
          <w:rFonts w:hint="eastAsia" w:ascii="仿宋_GB2312" w:hAnsi="仿宋_GB2312" w:eastAsia="仿宋_GB2312" w:cs="仿宋_GB2312"/>
          <w:color w:val="auto"/>
          <w:sz w:val="32"/>
          <w:szCs w:val="32"/>
        </w:rPr>
        <w:t>二是项目绩效自评情况。我单位共有2个项目批复了绩效目标。</w:t>
      </w:r>
      <w:r>
        <w:rPr>
          <w:rFonts w:hint="eastAsia" w:ascii="仿宋" w:hAnsi="仿宋" w:eastAsia="仿宋" w:cs="仿宋"/>
          <w:bCs/>
          <w:color w:val="auto"/>
          <w:sz w:val="32"/>
          <w:szCs w:val="32"/>
        </w:rPr>
        <w:t>2021年我校项目资金预算是校园运行维护费和史馆建设费，年初预算300.00万元，</w:t>
      </w:r>
      <w:r>
        <w:rPr>
          <w:rFonts w:hint="eastAsia" w:ascii="仿宋" w:hAnsi="仿宋" w:eastAsia="仿宋" w:cs="仿宋"/>
          <w:color w:val="auto"/>
          <w:sz w:val="32"/>
          <w:szCs w:val="32"/>
        </w:rPr>
        <w:t>项目资金实际拨付0万元，支出0万元。</w:t>
      </w:r>
    </w:p>
    <w:p>
      <w:pPr>
        <w:widowControl/>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基于项目预期目标的实现程度，对2021年度项目支出绩效进行自评，绩效自评平均得分为0.00分。其中：0个项目评价等级为“优”、0个项目评价等级为“良”、0个项目评价等级为“中”、0个项目评价等级为“差”。</w:t>
      </w:r>
    </w:p>
    <w:p>
      <w:pPr>
        <w:widowControl/>
        <w:spacing w:line="360" w:lineRule="auto"/>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（三）重点绩效评价结果。</w:t>
      </w:r>
    </w:p>
    <w:p>
      <w:pPr>
        <w:widowControl/>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2021年度我单位没有开展重点绩效评价的项目。</w:t>
      </w:r>
    </w:p>
    <w:p>
      <w:pPr>
        <w:widowControl/>
        <w:ind w:firstLine="560" w:firstLineChars="200"/>
        <w:jc w:val="left"/>
        <w:rPr>
          <w:rFonts w:ascii="黑体" w:hAnsi="宋体" w:eastAsia="黑体" w:cs="宋体"/>
          <w:color w:val="auto"/>
          <w:kern w:val="0"/>
          <w:sz w:val="28"/>
          <w:szCs w:val="28"/>
        </w:rPr>
      </w:pPr>
    </w:p>
    <w:p>
      <w:pPr>
        <w:widowControl/>
        <w:ind w:firstLine="560" w:firstLineChars="200"/>
        <w:jc w:val="left"/>
        <w:rPr>
          <w:rFonts w:ascii="黑体" w:hAnsi="宋体" w:eastAsia="黑体" w:cs="宋体"/>
          <w:color w:val="auto"/>
          <w:kern w:val="0"/>
          <w:sz w:val="28"/>
          <w:szCs w:val="28"/>
        </w:rPr>
      </w:pPr>
    </w:p>
    <w:p>
      <w:pPr>
        <w:widowControl/>
        <w:ind w:firstLine="560" w:firstLineChars="200"/>
        <w:jc w:val="left"/>
        <w:rPr>
          <w:rFonts w:ascii="黑体" w:hAnsi="宋体" w:eastAsia="黑体" w:cs="宋体"/>
          <w:color w:val="auto"/>
          <w:kern w:val="0"/>
          <w:sz w:val="28"/>
          <w:szCs w:val="28"/>
        </w:rPr>
      </w:pPr>
    </w:p>
    <w:p>
      <w:pPr>
        <w:widowControl/>
        <w:ind w:firstLine="560" w:firstLineChars="200"/>
        <w:jc w:val="left"/>
        <w:rPr>
          <w:rFonts w:ascii="黑体" w:hAnsi="宋体" w:eastAsia="黑体" w:cs="宋体"/>
          <w:color w:val="auto"/>
          <w:kern w:val="0"/>
          <w:sz w:val="28"/>
          <w:szCs w:val="28"/>
        </w:rPr>
      </w:pPr>
    </w:p>
    <w:p>
      <w:pPr>
        <w:widowControl/>
        <w:ind w:firstLine="560" w:firstLineChars="200"/>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第四部分  名词解释</w:t>
      </w:r>
    </w:p>
    <w:p>
      <w:pPr>
        <w:jc w:val="center"/>
        <w:rPr>
          <w:rFonts w:ascii="黑体" w:hAnsi="黑体" w:eastAsia="黑体" w:cs="黑体"/>
          <w:color w:val="auto"/>
          <w:sz w:val="48"/>
          <w:szCs w:val="48"/>
        </w:rPr>
      </w:pPr>
    </w:p>
    <w:p>
      <w:pPr>
        <w:jc w:val="center"/>
        <w:outlineLvl w:val="0"/>
        <w:rPr>
          <w:rFonts w:ascii="黑体" w:hAnsi="黑体" w:eastAsia="黑体" w:cs="黑体"/>
          <w:color w:val="auto"/>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一、财政拨款收入：单位从同级政府财政</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取得的财政预算资金。</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三、上级补助收入：事业单位从主管</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和上级单位取得的非财政补助收入。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5896944"/>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1608250"/>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 w:name="KSO_WPS_MARK_KEY" w:val="0b3de6a6-08f5-4c7c-9c55-9698783792a9"/>
  </w:docVars>
  <w:rsids>
    <w:rsidRoot w:val="000270E8"/>
    <w:rsid w:val="00005402"/>
    <w:rsid w:val="000270E8"/>
    <w:rsid w:val="000335B5"/>
    <w:rsid w:val="00057AFD"/>
    <w:rsid w:val="00076410"/>
    <w:rsid w:val="00081835"/>
    <w:rsid w:val="000904B3"/>
    <w:rsid w:val="000B7768"/>
    <w:rsid w:val="000C073B"/>
    <w:rsid w:val="000C1142"/>
    <w:rsid w:val="001003F8"/>
    <w:rsid w:val="00144159"/>
    <w:rsid w:val="001718A8"/>
    <w:rsid w:val="00176B4F"/>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3237DC"/>
    <w:rsid w:val="00352921"/>
    <w:rsid w:val="00375210"/>
    <w:rsid w:val="0041489C"/>
    <w:rsid w:val="0042585F"/>
    <w:rsid w:val="00445CAC"/>
    <w:rsid w:val="00472E19"/>
    <w:rsid w:val="00487869"/>
    <w:rsid w:val="004D5275"/>
    <w:rsid w:val="004F63DB"/>
    <w:rsid w:val="00505190"/>
    <w:rsid w:val="00507364"/>
    <w:rsid w:val="00515C5E"/>
    <w:rsid w:val="00546F7C"/>
    <w:rsid w:val="005710B1"/>
    <w:rsid w:val="00595E6A"/>
    <w:rsid w:val="005A0C2F"/>
    <w:rsid w:val="005B1AE2"/>
    <w:rsid w:val="005E3397"/>
    <w:rsid w:val="006061EB"/>
    <w:rsid w:val="006068C0"/>
    <w:rsid w:val="00607D67"/>
    <w:rsid w:val="00613FEF"/>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31F1"/>
    <w:rsid w:val="007C7F49"/>
    <w:rsid w:val="007D2A21"/>
    <w:rsid w:val="007E4578"/>
    <w:rsid w:val="00843461"/>
    <w:rsid w:val="008651E7"/>
    <w:rsid w:val="00872946"/>
    <w:rsid w:val="0088023A"/>
    <w:rsid w:val="008858FB"/>
    <w:rsid w:val="00894B41"/>
    <w:rsid w:val="00896473"/>
    <w:rsid w:val="008B5427"/>
    <w:rsid w:val="008C7CD0"/>
    <w:rsid w:val="00903F6B"/>
    <w:rsid w:val="009173F9"/>
    <w:rsid w:val="009308CB"/>
    <w:rsid w:val="00950270"/>
    <w:rsid w:val="00962F58"/>
    <w:rsid w:val="00975A04"/>
    <w:rsid w:val="00987E71"/>
    <w:rsid w:val="009F0FBB"/>
    <w:rsid w:val="009F546E"/>
    <w:rsid w:val="00A079F0"/>
    <w:rsid w:val="00A11F02"/>
    <w:rsid w:val="00A4050B"/>
    <w:rsid w:val="00A42F43"/>
    <w:rsid w:val="00A51982"/>
    <w:rsid w:val="00A57BF7"/>
    <w:rsid w:val="00A71DC1"/>
    <w:rsid w:val="00A83D8A"/>
    <w:rsid w:val="00A86B57"/>
    <w:rsid w:val="00A93E7D"/>
    <w:rsid w:val="00AA260E"/>
    <w:rsid w:val="00AA33A8"/>
    <w:rsid w:val="00AA44CB"/>
    <w:rsid w:val="00AA67CD"/>
    <w:rsid w:val="00AD6761"/>
    <w:rsid w:val="00AE2FEA"/>
    <w:rsid w:val="00AE600E"/>
    <w:rsid w:val="00B0083B"/>
    <w:rsid w:val="00B040BC"/>
    <w:rsid w:val="00B13968"/>
    <w:rsid w:val="00B13A20"/>
    <w:rsid w:val="00B209B8"/>
    <w:rsid w:val="00B20BBC"/>
    <w:rsid w:val="00B249F3"/>
    <w:rsid w:val="00B649BE"/>
    <w:rsid w:val="00B653A5"/>
    <w:rsid w:val="00B710DD"/>
    <w:rsid w:val="00BE5A85"/>
    <w:rsid w:val="00BF4E6A"/>
    <w:rsid w:val="00BF5718"/>
    <w:rsid w:val="00C13474"/>
    <w:rsid w:val="00C3106E"/>
    <w:rsid w:val="00C55460"/>
    <w:rsid w:val="00C60609"/>
    <w:rsid w:val="00C614DC"/>
    <w:rsid w:val="00C95CC1"/>
    <w:rsid w:val="00CA3F44"/>
    <w:rsid w:val="00CB03ED"/>
    <w:rsid w:val="00CD1060"/>
    <w:rsid w:val="00CE212D"/>
    <w:rsid w:val="00CE4B38"/>
    <w:rsid w:val="00D066EF"/>
    <w:rsid w:val="00D1321A"/>
    <w:rsid w:val="00D30ADF"/>
    <w:rsid w:val="00D33CF8"/>
    <w:rsid w:val="00D55D8A"/>
    <w:rsid w:val="00D6315E"/>
    <w:rsid w:val="00D652C2"/>
    <w:rsid w:val="00D74EE2"/>
    <w:rsid w:val="00D83E19"/>
    <w:rsid w:val="00D86CAD"/>
    <w:rsid w:val="00DA00C9"/>
    <w:rsid w:val="00DB200E"/>
    <w:rsid w:val="00DB65F5"/>
    <w:rsid w:val="00DC4EB7"/>
    <w:rsid w:val="00E01C3E"/>
    <w:rsid w:val="00E13099"/>
    <w:rsid w:val="00E4339F"/>
    <w:rsid w:val="00E60B05"/>
    <w:rsid w:val="00E629EA"/>
    <w:rsid w:val="00E6777C"/>
    <w:rsid w:val="00EB05A3"/>
    <w:rsid w:val="00ED38B7"/>
    <w:rsid w:val="00EE051D"/>
    <w:rsid w:val="00F0131A"/>
    <w:rsid w:val="00F13794"/>
    <w:rsid w:val="00F14C17"/>
    <w:rsid w:val="00F17041"/>
    <w:rsid w:val="00F218CF"/>
    <w:rsid w:val="00F30E32"/>
    <w:rsid w:val="00F44937"/>
    <w:rsid w:val="00F61A47"/>
    <w:rsid w:val="00F84422"/>
    <w:rsid w:val="00F90521"/>
    <w:rsid w:val="00F95455"/>
    <w:rsid w:val="00FA574D"/>
    <w:rsid w:val="00FC2588"/>
    <w:rsid w:val="00FE7AD9"/>
    <w:rsid w:val="01322275"/>
    <w:rsid w:val="01AC472D"/>
    <w:rsid w:val="01D54D98"/>
    <w:rsid w:val="01DC6F05"/>
    <w:rsid w:val="021434AA"/>
    <w:rsid w:val="029727A8"/>
    <w:rsid w:val="02A3489A"/>
    <w:rsid w:val="02CA138D"/>
    <w:rsid w:val="031418F0"/>
    <w:rsid w:val="033646FC"/>
    <w:rsid w:val="03C75F80"/>
    <w:rsid w:val="0478364D"/>
    <w:rsid w:val="04CB2483"/>
    <w:rsid w:val="053D4C0D"/>
    <w:rsid w:val="0557532E"/>
    <w:rsid w:val="06F7130D"/>
    <w:rsid w:val="0799329C"/>
    <w:rsid w:val="07B471FE"/>
    <w:rsid w:val="080B2B96"/>
    <w:rsid w:val="08397436"/>
    <w:rsid w:val="086F16A7"/>
    <w:rsid w:val="0A0F7225"/>
    <w:rsid w:val="0A2B7D82"/>
    <w:rsid w:val="0ADC40E9"/>
    <w:rsid w:val="0AE607F4"/>
    <w:rsid w:val="0B386127"/>
    <w:rsid w:val="0B451598"/>
    <w:rsid w:val="0B760D02"/>
    <w:rsid w:val="0BB41284"/>
    <w:rsid w:val="0BEC73F4"/>
    <w:rsid w:val="0C392698"/>
    <w:rsid w:val="0D2D02A8"/>
    <w:rsid w:val="0D3930E9"/>
    <w:rsid w:val="0EAE0E4B"/>
    <w:rsid w:val="0F751B65"/>
    <w:rsid w:val="10611EED"/>
    <w:rsid w:val="10BD36F6"/>
    <w:rsid w:val="113B1005"/>
    <w:rsid w:val="11BF0649"/>
    <w:rsid w:val="123E3E08"/>
    <w:rsid w:val="133212F4"/>
    <w:rsid w:val="13D22E22"/>
    <w:rsid w:val="14343230"/>
    <w:rsid w:val="147625F2"/>
    <w:rsid w:val="148F07DC"/>
    <w:rsid w:val="161C2DFF"/>
    <w:rsid w:val="16373578"/>
    <w:rsid w:val="165F6ECF"/>
    <w:rsid w:val="16D3336B"/>
    <w:rsid w:val="17200028"/>
    <w:rsid w:val="17806C36"/>
    <w:rsid w:val="17A74F62"/>
    <w:rsid w:val="18A47774"/>
    <w:rsid w:val="18BA4824"/>
    <w:rsid w:val="18E831AB"/>
    <w:rsid w:val="18EC16E1"/>
    <w:rsid w:val="19092D3B"/>
    <w:rsid w:val="196F11D7"/>
    <w:rsid w:val="1A5B5BFF"/>
    <w:rsid w:val="1A8D28EB"/>
    <w:rsid w:val="1A8E1B30"/>
    <w:rsid w:val="1A9F2D78"/>
    <w:rsid w:val="1B2E6FD8"/>
    <w:rsid w:val="1B877D21"/>
    <w:rsid w:val="1BAA3BFF"/>
    <w:rsid w:val="1C4319A9"/>
    <w:rsid w:val="1CD9195F"/>
    <w:rsid w:val="1DC3343E"/>
    <w:rsid w:val="1E443B4B"/>
    <w:rsid w:val="1E994F4A"/>
    <w:rsid w:val="1EAF0224"/>
    <w:rsid w:val="1F2230A4"/>
    <w:rsid w:val="1FAB6CE1"/>
    <w:rsid w:val="1FD62436"/>
    <w:rsid w:val="20210932"/>
    <w:rsid w:val="202448E0"/>
    <w:rsid w:val="205C7FDB"/>
    <w:rsid w:val="20F614FE"/>
    <w:rsid w:val="2113166B"/>
    <w:rsid w:val="21302EEA"/>
    <w:rsid w:val="21505D5D"/>
    <w:rsid w:val="21BA0DCC"/>
    <w:rsid w:val="22376FB5"/>
    <w:rsid w:val="22F51381"/>
    <w:rsid w:val="23E152D7"/>
    <w:rsid w:val="23EE2489"/>
    <w:rsid w:val="245A2A83"/>
    <w:rsid w:val="24AF1021"/>
    <w:rsid w:val="24E46AE5"/>
    <w:rsid w:val="255D43C8"/>
    <w:rsid w:val="261C389E"/>
    <w:rsid w:val="26714EF8"/>
    <w:rsid w:val="26876BDD"/>
    <w:rsid w:val="26ED605B"/>
    <w:rsid w:val="2714632A"/>
    <w:rsid w:val="27541E73"/>
    <w:rsid w:val="27B0539E"/>
    <w:rsid w:val="285C326E"/>
    <w:rsid w:val="286202B9"/>
    <w:rsid w:val="28E54E2C"/>
    <w:rsid w:val="29365CF8"/>
    <w:rsid w:val="299469B3"/>
    <w:rsid w:val="29EE439A"/>
    <w:rsid w:val="2A805789"/>
    <w:rsid w:val="2ADC0D75"/>
    <w:rsid w:val="2B4A0E52"/>
    <w:rsid w:val="2BCC5548"/>
    <w:rsid w:val="2C975890"/>
    <w:rsid w:val="2C9E0AED"/>
    <w:rsid w:val="2DA76FD8"/>
    <w:rsid w:val="2DB24881"/>
    <w:rsid w:val="2DEE1C39"/>
    <w:rsid w:val="2DEF21BB"/>
    <w:rsid w:val="2E0C3040"/>
    <w:rsid w:val="2E2B563D"/>
    <w:rsid w:val="2E4A2F05"/>
    <w:rsid w:val="2E4A52A2"/>
    <w:rsid w:val="2EB536D8"/>
    <w:rsid w:val="2ECC1061"/>
    <w:rsid w:val="2ECF1843"/>
    <w:rsid w:val="2F063F34"/>
    <w:rsid w:val="2F432A92"/>
    <w:rsid w:val="2FA476AD"/>
    <w:rsid w:val="2FC5794B"/>
    <w:rsid w:val="303F7540"/>
    <w:rsid w:val="31DD00BF"/>
    <w:rsid w:val="3293174C"/>
    <w:rsid w:val="32B36180"/>
    <w:rsid w:val="32BB38D4"/>
    <w:rsid w:val="32C9376D"/>
    <w:rsid w:val="32DA370D"/>
    <w:rsid w:val="32EE0F67"/>
    <w:rsid w:val="33780472"/>
    <w:rsid w:val="33AF0905"/>
    <w:rsid w:val="34C46423"/>
    <w:rsid w:val="34D128EE"/>
    <w:rsid w:val="34F6417E"/>
    <w:rsid w:val="355932F4"/>
    <w:rsid w:val="35611882"/>
    <w:rsid w:val="35D9482A"/>
    <w:rsid w:val="35F9566F"/>
    <w:rsid w:val="36746FC3"/>
    <w:rsid w:val="368763AE"/>
    <w:rsid w:val="36EF6323"/>
    <w:rsid w:val="36F01751"/>
    <w:rsid w:val="372025AB"/>
    <w:rsid w:val="3843357E"/>
    <w:rsid w:val="38E277E7"/>
    <w:rsid w:val="390F1C37"/>
    <w:rsid w:val="39512D51"/>
    <w:rsid w:val="395D59E7"/>
    <w:rsid w:val="39A93932"/>
    <w:rsid w:val="39F74BA5"/>
    <w:rsid w:val="3A3556CD"/>
    <w:rsid w:val="3A915562"/>
    <w:rsid w:val="3AAD1707"/>
    <w:rsid w:val="3B8A2FCA"/>
    <w:rsid w:val="3B8D4765"/>
    <w:rsid w:val="3C000DBA"/>
    <w:rsid w:val="3C4C7AA3"/>
    <w:rsid w:val="3DC045D3"/>
    <w:rsid w:val="3E504FFB"/>
    <w:rsid w:val="3E615CD0"/>
    <w:rsid w:val="3E66054B"/>
    <w:rsid w:val="3E9C47F6"/>
    <w:rsid w:val="3EC27CA4"/>
    <w:rsid w:val="3F88629F"/>
    <w:rsid w:val="3F8B0112"/>
    <w:rsid w:val="3FAB3095"/>
    <w:rsid w:val="3FE45947"/>
    <w:rsid w:val="407E7DCE"/>
    <w:rsid w:val="41242965"/>
    <w:rsid w:val="425C5EED"/>
    <w:rsid w:val="435671EA"/>
    <w:rsid w:val="43992BE7"/>
    <w:rsid w:val="43CA3B70"/>
    <w:rsid w:val="43F95D14"/>
    <w:rsid w:val="440809E9"/>
    <w:rsid w:val="442407A6"/>
    <w:rsid w:val="4473751E"/>
    <w:rsid w:val="44805EA1"/>
    <w:rsid w:val="44B17A9C"/>
    <w:rsid w:val="44F3240C"/>
    <w:rsid w:val="45710696"/>
    <w:rsid w:val="457C4AF8"/>
    <w:rsid w:val="459B4F7E"/>
    <w:rsid w:val="45C2075D"/>
    <w:rsid w:val="460A5462"/>
    <w:rsid w:val="46142B1B"/>
    <w:rsid w:val="462E7BA0"/>
    <w:rsid w:val="46F84072"/>
    <w:rsid w:val="478163F5"/>
    <w:rsid w:val="47E60DD0"/>
    <w:rsid w:val="48147269"/>
    <w:rsid w:val="48735039"/>
    <w:rsid w:val="48FB078F"/>
    <w:rsid w:val="492C684B"/>
    <w:rsid w:val="49500594"/>
    <w:rsid w:val="49E7604E"/>
    <w:rsid w:val="4B15132F"/>
    <w:rsid w:val="4B977762"/>
    <w:rsid w:val="4BCE543F"/>
    <w:rsid w:val="4BF67CDD"/>
    <w:rsid w:val="4C2C4B82"/>
    <w:rsid w:val="4C314651"/>
    <w:rsid w:val="4D173441"/>
    <w:rsid w:val="4D1A78C4"/>
    <w:rsid w:val="4D603DD6"/>
    <w:rsid w:val="4DE726A0"/>
    <w:rsid w:val="4EA84D2F"/>
    <w:rsid w:val="4EBF010F"/>
    <w:rsid w:val="4EDE412D"/>
    <w:rsid w:val="4F471EB0"/>
    <w:rsid w:val="4F9C201E"/>
    <w:rsid w:val="50461F8A"/>
    <w:rsid w:val="50642410"/>
    <w:rsid w:val="51331326"/>
    <w:rsid w:val="51740A7F"/>
    <w:rsid w:val="518B234A"/>
    <w:rsid w:val="51A5541E"/>
    <w:rsid w:val="51C96242"/>
    <w:rsid w:val="51F53C68"/>
    <w:rsid w:val="521610C7"/>
    <w:rsid w:val="521750FF"/>
    <w:rsid w:val="5257347B"/>
    <w:rsid w:val="53906AE1"/>
    <w:rsid w:val="5426635A"/>
    <w:rsid w:val="54F46F60"/>
    <w:rsid w:val="550C4CD1"/>
    <w:rsid w:val="55A37BEA"/>
    <w:rsid w:val="560666B2"/>
    <w:rsid w:val="56362CD2"/>
    <w:rsid w:val="566405AC"/>
    <w:rsid w:val="56736CB2"/>
    <w:rsid w:val="577F10D0"/>
    <w:rsid w:val="5784687B"/>
    <w:rsid w:val="57846959"/>
    <w:rsid w:val="578E6A87"/>
    <w:rsid w:val="57A3077B"/>
    <w:rsid w:val="58ED5699"/>
    <w:rsid w:val="592C76EF"/>
    <w:rsid w:val="597C2425"/>
    <w:rsid w:val="5A113609"/>
    <w:rsid w:val="5A13112F"/>
    <w:rsid w:val="5AC2203A"/>
    <w:rsid w:val="5B664EAA"/>
    <w:rsid w:val="5BE2525D"/>
    <w:rsid w:val="5CBB3334"/>
    <w:rsid w:val="5CD259C8"/>
    <w:rsid w:val="5D115FAF"/>
    <w:rsid w:val="5D9A128F"/>
    <w:rsid w:val="5DA16A52"/>
    <w:rsid w:val="5DDC3DB1"/>
    <w:rsid w:val="5E9B7945"/>
    <w:rsid w:val="5F683CCB"/>
    <w:rsid w:val="621E17AD"/>
    <w:rsid w:val="62811722"/>
    <w:rsid w:val="62E75A72"/>
    <w:rsid w:val="63246C7B"/>
    <w:rsid w:val="6347009B"/>
    <w:rsid w:val="63955031"/>
    <w:rsid w:val="64571880"/>
    <w:rsid w:val="649125B6"/>
    <w:rsid w:val="650224CC"/>
    <w:rsid w:val="652F4C1A"/>
    <w:rsid w:val="654D549A"/>
    <w:rsid w:val="658E4B37"/>
    <w:rsid w:val="66065FEC"/>
    <w:rsid w:val="666D37F1"/>
    <w:rsid w:val="67087D8F"/>
    <w:rsid w:val="671F687E"/>
    <w:rsid w:val="67F415F8"/>
    <w:rsid w:val="67F81964"/>
    <w:rsid w:val="682640D1"/>
    <w:rsid w:val="684B73E5"/>
    <w:rsid w:val="694330B3"/>
    <w:rsid w:val="6A047A2A"/>
    <w:rsid w:val="6A793230"/>
    <w:rsid w:val="6B376495"/>
    <w:rsid w:val="6B5B0B88"/>
    <w:rsid w:val="6DCE03F4"/>
    <w:rsid w:val="6DD01EC2"/>
    <w:rsid w:val="6E427DDD"/>
    <w:rsid w:val="6EFB7548"/>
    <w:rsid w:val="6F3831C3"/>
    <w:rsid w:val="6F8B71C1"/>
    <w:rsid w:val="70753482"/>
    <w:rsid w:val="707B522A"/>
    <w:rsid w:val="70F92155"/>
    <w:rsid w:val="73194D05"/>
    <w:rsid w:val="734E0859"/>
    <w:rsid w:val="73A83B0E"/>
    <w:rsid w:val="73B21561"/>
    <w:rsid w:val="73C117A4"/>
    <w:rsid w:val="744D3EF9"/>
    <w:rsid w:val="74794411"/>
    <w:rsid w:val="74D32942"/>
    <w:rsid w:val="75867C40"/>
    <w:rsid w:val="75B10B26"/>
    <w:rsid w:val="76432199"/>
    <w:rsid w:val="76C6CC82"/>
    <w:rsid w:val="76F44829"/>
    <w:rsid w:val="77A267C0"/>
    <w:rsid w:val="781E0F73"/>
    <w:rsid w:val="78882278"/>
    <w:rsid w:val="78B118A6"/>
    <w:rsid w:val="79135044"/>
    <w:rsid w:val="79D5067E"/>
    <w:rsid w:val="7A3686AC"/>
    <w:rsid w:val="7A7D0F99"/>
    <w:rsid w:val="7A8D0632"/>
    <w:rsid w:val="7BC471B9"/>
    <w:rsid w:val="7BF5D1D6"/>
    <w:rsid w:val="7D2B07EB"/>
    <w:rsid w:val="7E4A0E7C"/>
    <w:rsid w:val="7E750068"/>
    <w:rsid w:val="7EF03063"/>
    <w:rsid w:val="7EFD449D"/>
    <w:rsid w:val="7EFE1AFE"/>
    <w:rsid w:val="7F095899"/>
    <w:rsid w:val="7F605169"/>
    <w:rsid w:val="7FF25E5B"/>
    <w:rsid w:val="DFFF86B2"/>
    <w:rsid w:val="F3DE919D"/>
    <w:rsid w:val="FDCD0D1E"/>
    <w:rsid w:val="FEAF2825"/>
    <w:rsid w:val="FFB3F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字符"/>
    <w:link w:val="2"/>
    <w:semiHidden/>
    <w:qFormat/>
    <w:uiPriority w:val="99"/>
    <w:rPr>
      <w:kern w:val="2"/>
      <w:sz w:val="18"/>
      <w:szCs w:val="18"/>
    </w:rPr>
  </w:style>
  <w:style w:type="character" w:customStyle="1" w:styleId="11">
    <w:name w:val="页脚 字符"/>
    <w:link w:val="3"/>
    <w:qFormat/>
    <w:uiPriority w:val="99"/>
    <w:rPr>
      <w:kern w:val="2"/>
      <w:sz w:val="18"/>
      <w:szCs w:val="18"/>
    </w:rPr>
  </w:style>
  <w:style w:type="character" w:customStyle="1" w:styleId="12">
    <w:name w:val="页眉 字符"/>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 User</Company>
  <Pages>33</Pages>
  <Words>1908</Words>
  <Characters>10880</Characters>
  <Lines>90</Lines>
  <Paragraphs>25</Paragraphs>
  <TotalTime>144</TotalTime>
  <ScaleCrop>false</ScaleCrop>
  <LinksUpToDate>false</LinksUpToDate>
  <CharactersWithSpaces>12763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2018-07-24T18:50:00Z</cp:lastPrinted>
  <dcterms:modified xsi:type="dcterms:W3CDTF">2023-09-17T11:21:48Z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E1F4F6E7656E4BEA961119BBA36F9B3A</vt:lpwstr>
  </property>
</Properties>
</file>