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许昌市规划设计院单位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许昌市规划设计院</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许昌市规划设计院</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eastAsia="仿宋_GB2312"/>
          <w:color w:val="auto"/>
          <w:sz w:val="32"/>
          <w:szCs w:val="32"/>
          <w:highlight w:val="none"/>
        </w:rPr>
        <w:t>承担全市城市规划设计，直接为城市规划管理服务。为城乡规划设计与咨询、市政工程规划与施工设计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工业与民用建筑工程规划与设计、工程测绘、国家基本比例尺地形图测绘等相关工程服务。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许昌市规划设计院内设机构6个，包括:办公室、生产科、规划室、市政室、测绘队、建筑结构室。</w:t>
      </w:r>
    </w:p>
    <w:p>
      <w:pPr>
        <w:widowControl/>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从决算单位构成看，许昌市规划设计院单位决算包括：本级决算（</w:t>
      </w:r>
      <w:r>
        <w:rPr>
          <w:rFonts w:hint="eastAsia" w:ascii="仿宋_GB2312" w:hAnsi="仿宋_GB2312" w:eastAsia="仿宋_GB2312" w:cs="仿宋_GB2312"/>
          <w:color w:val="auto"/>
          <w:sz w:val="32"/>
          <w:szCs w:val="32"/>
          <w:highlight w:val="none"/>
          <w:lang w:eastAsia="zh-CN"/>
        </w:rPr>
        <w:t>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许昌市规划设计院</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5"/>
        <w:gridCol w:w="885"/>
        <w:gridCol w:w="2205"/>
        <w:gridCol w:w="3671"/>
        <w:gridCol w:w="1"/>
        <w:gridCol w:w="447"/>
        <w:gridCol w:w="331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8"/>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trPr>
        <w:tc>
          <w:tcPr>
            <w:tcW w:w="364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8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20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671"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44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319" w:type="dxa"/>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trPr>
        <w:tc>
          <w:tcPr>
            <w:tcW w:w="3645" w:type="dxa"/>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：许昌市规划设计院</w:t>
            </w:r>
          </w:p>
        </w:tc>
        <w:tc>
          <w:tcPr>
            <w:tcW w:w="88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20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671"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44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319" w:type="dxa"/>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6735"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收入</w:t>
            </w:r>
          </w:p>
        </w:tc>
        <w:tc>
          <w:tcPr>
            <w:tcW w:w="7438"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行次</w:t>
            </w:r>
          </w:p>
        </w:tc>
        <w:tc>
          <w:tcPr>
            <w:tcW w:w="220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金额</w:t>
            </w:r>
          </w:p>
        </w:tc>
        <w:tc>
          <w:tcPr>
            <w:tcW w:w="3672"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行次</w:t>
            </w:r>
          </w:p>
        </w:tc>
        <w:tc>
          <w:tcPr>
            <w:tcW w:w="331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220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3672"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331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一、一般公共预算财政拨款收入</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165.26</w:t>
            </w: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一、一般公共服务支出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32</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二、政府性基金预算财政拨款收入</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二、外交支出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33</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三、国有资本经营预算财政拨款收入</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三、国防支出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34</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四、上级补助收入</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四、公共安全支出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35</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五、事业收入</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五、教育支出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36</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六、经营收入</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585.29</w:t>
            </w: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六、科学技术支出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37</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七、附属单位上缴收入</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七、文化旅游体育与传媒支出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38</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八、其他收入</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八、社会保障和就业支出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39</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9</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九、卫生健康支出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40</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10</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十、节能环保支出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41</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11</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十一、城乡社区支出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42</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1,137.34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12</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十二、农林水支出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43</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13</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十三、交通运输支出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44</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14</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十四、资源勘探工业信息等支出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45</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15</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十五、商业服务业等支出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46</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十六、金融支出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47</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17</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十七、援助其他地区支出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48</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18</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十八、自然资源海洋气象等支出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49</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19</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十九、住房保障支出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50</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二十、粮油物资储备支出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51</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二十一、国有资本经营预算支出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52</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22</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二十二、灾害防治及应急管理支出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53</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23</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二十三、其他支出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54</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0"/>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24</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二十四、债务还本支出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55</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25</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二十五、债务付息支出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56</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26</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0"/>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二十六、抗疫特别国债安排的支出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57</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本年收入合计</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27</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750.55</w:t>
            </w:r>
          </w:p>
        </w:tc>
        <w:tc>
          <w:tcPr>
            <w:tcW w:w="3672"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本年支出合计</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58</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1,137.34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使用非财政拨款结余</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28</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结余分配</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59</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年初结转和结余</w:t>
            </w: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29</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959.57</w:t>
            </w: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年末结转和结余</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60</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516.42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672"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61</w:t>
            </w:r>
          </w:p>
        </w:tc>
        <w:tc>
          <w:tcPr>
            <w:tcW w:w="331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64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总计</w:t>
            </w:r>
          </w:p>
        </w:tc>
        <w:tc>
          <w:tcPr>
            <w:tcW w:w="885" w:type="dxa"/>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w:t>
            </w:r>
          </w:p>
        </w:tc>
        <w:tc>
          <w:tcPr>
            <w:tcW w:w="220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1,710.12</w:t>
            </w:r>
          </w:p>
        </w:tc>
        <w:tc>
          <w:tcPr>
            <w:tcW w:w="3672"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总计</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62</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1,710.12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8"/>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pPr w:leftFromText="180" w:rightFromText="180" w:vertAnchor="text" w:horzAnchor="page" w:tblpX="1561" w:tblpY="-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
        <w:gridCol w:w="642"/>
        <w:gridCol w:w="643"/>
        <w:gridCol w:w="2"/>
        <w:gridCol w:w="2631"/>
        <w:gridCol w:w="2"/>
        <w:gridCol w:w="1"/>
        <w:gridCol w:w="1203"/>
        <w:gridCol w:w="1"/>
        <w:gridCol w:w="1"/>
        <w:gridCol w:w="2209"/>
        <w:gridCol w:w="2"/>
        <w:gridCol w:w="1"/>
        <w:gridCol w:w="1203"/>
        <w:gridCol w:w="1"/>
        <w:gridCol w:w="1"/>
        <w:gridCol w:w="1572"/>
        <w:gridCol w:w="236"/>
        <w:gridCol w:w="904"/>
        <w:gridCol w:w="1628"/>
        <w:gridCol w:w="1"/>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55" w:type="dxa"/>
            <w:gridSpan w:val="22"/>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42"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43"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633"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06"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211"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06"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574"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36"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384" w:type="dxa"/>
            <w:gridSpan w:val="4"/>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955" w:type="dxa"/>
            <w:gridSpan w:val="22"/>
            <w:noWrap w:val="0"/>
            <w:vAlign w:val="bottom"/>
          </w:tcPr>
          <w:p>
            <w:pPr>
              <w:kinsoku/>
              <w:autoSpaceDE/>
              <w:autoSpaceDN w:val="0"/>
              <w:jc w:val="both"/>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：许昌市规划设计院</w:t>
            </w:r>
            <w:r>
              <w:rPr>
                <w:rFonts w:hint="eastAsia" w:ascii="宋体" w:hAnsi="宋体" w:eastAsia="宋体"/>
                <w:b w:val="0"/>
                <w:i w:val="0"/>
                <w:snapToGrid/>
                <w:color w:val="auto"/>
                <w:sz w:val="20"/>
                <w:highlight w:val="none"/>
                <w:u w:val="none"/>
                <w:lang w:val="en-US" w:eastAsia="zh-CN"/>
              </w:rPr>
              <w:t xml:space="preserve">                                                                                                      </w:t>
            </w: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1" w:type="dxa"/>
            <w:gridSpan w:val="7"/>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1205" w:type="dxa"/>
            <w:gridSpan w:val="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本年收入合计</w:t>
            </w:r>
          </w:p>
        </w:tc>
        <w:tc>
          <w:tcPr>
            <w:tcW w:w="2212" w:type="dxa"/>
            <w:gridSpan w:val="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财政拨款收入</w:t>
            </w:r>
          </w:p>
        </w:tc>
        <w:tc>
          <w:tcPr>
            <w:tcW w:w="1205" w:type="dxa"/>
            <w:gridSpan w:val="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上级补助收入</w:t>
            </w:r>
          </w:p>
        </w:tc>
        <w:tc>
          <w:tcPr>
            <w:tcW w:w="1572"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事业收入</w:t>
            </w:r>
          </w:p>
        </w:tc>
        <w:tc>
          <w:tcPr>
            <w:tcW w:w="1140" w:type="dxa"/>
            <w:gridSpan w:val="2"/>
            <w:tcBorders>
              <w:top w:val="single" w:color="000000" w:sz="4" w:space="0"/>
              <w:bottom w:val="nil"/>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1629" w:type="dxa"/>
            <w:gridSpan w:val="2"/>
            <w:tcBorders>
              <w:top w:val="single" w:color="000000" w:sz="4" w:space="0"/>
              <w:bottom w:val="nil"/>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851" w:type="dxa"/>
            <w:tcBorders>
              <w:top w:val="single" w:color="000000" w:sz="4" w:space="0"/>
              <w:bottom w:val="nil"/>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507" w:type="dxa"/>
            <w:gridSpan w:val="4"/>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功能分类科目编码</w:t>
            </w:r>
          </w:p>
        </w:tc>
        <w:tc>
          <w:tcPr>
            <w:tcW w:w="263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科目名称</w:t>
            </w:r>
          </w:p>
        </w:tc>
        <w:tc>
          <w:tcPr>
            <w:tcW w:w="1205" w:type="dxa"/>
            <w:gridSpan w:val="3"/>
            <w:tcBorders>
              <w:top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212" w:type="dxa"/>
            <w:gridSpan w:val="3"/>
            <w:tcBorders>
              <w:top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205" w:type="dxa"/>
            <w:gridSpan w:val="3"/>
            <w:tcBorders>
              <w:top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573" w:type="dxa"/>
            <w:gridSpan w:val="2"/>
            <w:tcBorders>
              <w:top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40" w:type="dxa"/>
            <w:gridSpan w:val="2"/>
            <w:tcBorders>
              <w:top w:val="nil"/>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r>
              <w:rPr>
                <w:rFonts w:hint="default" w:ascii="宋体" w:hAnsi="宋体" w:eastAsia="宋体"/>
                <w:b w:val="0"/>
                <w:i w:val="0"/>
                <w:snapToGrid/>
                <w:color w:val="auto"/>
                <w:sz w:val="22"/>
                <w:highlight w:val="none"/>
                <w:u w:val="none"/>
                <w:lang w:eastAsia="zh-CN"/>
              </w:rPr>
              <w:t>经营收入</w:t>
            </w:r>
          </w:p>
        </w:tc>
        <w:tc>
          <w:tcPr>
            <w:tcW w:w="1628" w:type="dxa"/>
            <w:tcBorders>
              <w:top w:val="nil"/>
              <w:bottom w:val="single" w:color="auto"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r>
              <w:rPr>
                <w:rFonts w:hint="default" w:ascii="宋体" w:hAnsi="宋体" w:eastAsia="宋体"/>
                <w:b w:val="0"/>
                <w:i w:val="0"/>
                <w:snapToGrid/>
                <w:color w:val="auto"/>
                <w:sz w:val="22"/>
                <w:highlight w:val="none"/>
                <w:u w:val="none"/>
                <w:lang w:eastAsia="zh-CN"/>
              </w:rPr>
              <w:t>附属单位上缴收入</w:t>
            </w:r>
          </w:p>
        </w:tc>
        <w:tc>
          <w:tcPr>
            <w:tcW w:w="852" w:type="dxa"/>
            <w:gridSpan w:val="2"/>
            <w:tcBorders>
              <w:top w:val="nil"/>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r>
              <w:rPr>
                <w:rFonts w:hint="default" w:ascii="宋体" w:hAnsi="宋体" w:eastAsia="宋体"/>
                <w:b w:val="0"/>
                <w:i w:val="0"/>
                <w:snapToGrid/>
                <w:color w:val="auto"/>
                <w:sz w:val="22"/>
                <w:highlight w:val="none"/>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1" w:type="dxa"/>
            <w:gridSpan w:val="7"/>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1205"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2212"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1205"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c>
          <w:tcPr>
            <w:tcW w:w="157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w:t>
            </w:r>
          </w:p>
        </w:tc>
        <w:tc>
          <w:tcPr>
            <w:tcW w:w="1140" w:type="dxa"/>
            <w:gridSpan w:val="2"/>
            <w:tcBorders>
              <w:top w:val="single" w:color="auto"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w:t>
            </w:r>
          </w:p>
        </w:tc>
        <w:tc>
          <w:tcPr>
            <w:tcW w:w="162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w:t>
            </w:r>
          </w:p>
        </w:tc>
        <w:tc>
          <w:tcPr>
            <w:tcW w:w="85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1" w:type="dxa"/>
            <w:gridSpan w:val="7"/>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合计</w:t>
            </w:r>
          </w:p>
        </w:tc>
        <w:tc>
          <w:tcPr>
            <w:tcW w:w="12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750.55</w:t>
            </w:r>
          </w:p>
        </w:tc>
        <w:tc>
          <w:tcPr>
            <w:tcW w:w="2212"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165.26</w:t>
            </w:r>
          </w:p>
        </w:tc>
        <w:tc>
          <w:tcPr>
            <w:tcW w:w="12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157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11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585.29</w:t>
            </w:r>
          </w:p>
        </w:tc>
        <w:tc>
          <w:tcPr>
            <w:tcW w:w="162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85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7"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w:t>
            </w:r>
          </w:p>
        </w:tc>
        <w:tc>
          <w:tcPr>
            <w:tcW w:w="26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城乡社区支出</w:t>
            </w:r>
          </w:p>
        </w:tc>
        <w:tc>
          <w:tcPr>
            <w:tcW w:w="12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750.55</w:t>
            </w:r>
          </w:p>
        </w:tc>
        <w:tc>
          <w:tcPr>
            <w:tcW w:w="2212"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165.26</w:t>
            </w:r>
          </w:p>
        </w:tc>
        <w:tc>
          <w:tcPr>
            <w:tcW w:w="12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585.29</w:t>
            </w:r>
          </w:p>
        </w:tc>
        <w:tc>
          <w:tcPr>
            <w:tcW w:w="162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85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7"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21202</w:t>
            </w:r>
          </w:p>
        </w:tc>
        <w:tc>
          <w:tcPr>
            <w:tcW w:w="26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城乡社区规划与管理</w:t>
            </w:r>
          </w:p>
        </w:tc>
        <w:tc>
          <w:tcPr>
            <w:tcW w:w="12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750.55</w:t>
            </w:r>
          </w:p>
        </w:tc>
        <w:tc>
          <w:tcPr>
            <w:tcW w:w="2212"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165.26</w:t>
            </w:r>
          </w:p>
        </w:tc>
        <w:tc>
          <w:tcPr>
            <w:tcW w:w="12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585.29</w:t>
            </w:r>
          </w:p>
        </w:tc>
        <w:tc>
          <w:tcPr>
            <w:tcW w:w="162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85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7"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2120201</w:t>
            </w:r>
          </w:p>
        </w:tc>
        <w:tc>
          <w:tcPr>
            <w:tcW w:w="26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城乡社区规划与管理</w:t>
            </w:r>
          </w:p>
        </w:tc>
        <w:tc>
          <w:tcPr>
            <w:tcW w:w="12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750.55</w:t>
            </w:r>
          </w:p>
        </w:tc>
        <w:tc>
          <w:tcPr>
            <w:tcW w:w="2212"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165.26</w:t>
            </w:r>
          </w:p>
        </w:tc>
        <w:tc>
          <w:tcPr>
            <w:tcW w:w="12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7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4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585.29</w:t>
            </w:r>
          </w:p>
        </w:tc>
        <w:tc>
          <w:tcPr>
            <w:tcW w:w="162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85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955" w:type="dxa"/>
            <w:gridSpan w:val="22"/>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
        <w:gridCol w:w="665"/>
        <w:gridCol w:w="674"/>
        <w:gridCol w:w="2759"/>
        <w:gridCol w:w="1"/>
        <w:gridCol w:w="1261"/>
        <w:gridCol w:w="1"/>
        <w:gridCol w:w="2315"/>
        <w:gridCol w:w="1"/>
        <w:gridCol w:w="1261"/>
        <w:gridCol w:w="2"/>
        <w:gridCol w:w="820"/>
        <w:gridCol w:w="1"/>
        <w:gridCol w:w="3053"/>
        <w:gridCol w:w="1"/>
        <w:gridCol w:w="1115"/>
        <w:gridCol w:w="1"/>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8"/>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285" w:hRule="atLeast"/>
        </w:trPr>
        <w:tc>
          <w:tcPr>
            <w:tcW w:w="24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6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7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759"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6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316"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6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2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054"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16"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285" w:hRule="atLeast"/>
        </w:trPr>
        <w:tc>
          <w:tcPr>
            <w:tcW w:w="14170" w:type="dxa"/>
            <w:gridSpan w:val="16"/>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：许昌市规划设计院</w:t>
            </w:r>
            <w:r>
              <w:rPr>
                <w:rFonts w:hint="eastAsia" w:ascii="宋体" w:hAnsi="宋体"/>
                <w:b w:val="0"/>
                <w:i w:val="0"/>
                <w:snapToGrid/>
                <w:color w:val="auto"/>
                <w:sz w:val="20"/>
                <w:highlight w:val="none"/>
                <w:u w:val="none"/>
                <w:lang w:val="en-US" w:eastAsia="zh-CN"/>
              </w:rPr>
              <w:t xml:space="preserve">                                                                                                        </w:t>
            </w: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300" w:hRule="atLeast"/>
        </w:trPr>
        <w:tc>
          <w:tcPr>
            <w:tcW w:w="4339" w:type="dxa"/>
            <w:gridSpan w:val="5"/>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1262"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本年支出合计</w:t>
            </w:r>
          </w:p>
        </w:tc>
        <w:tc>
          <w:tcPr>
            <w:tcW w:w="2316"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基本支出</w:t>
            </w:r>
          </w:p>
        </w:tc>
        <w:tc>
          <w:tcPr>
            <w:tcW w:w="1263"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项目支出</w:t>
            </w:r>
          </w:p>
        </w:tc>
        <w:tc>
          <w:tcPr>
            <w:tcW w:w="821"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上缴上级支出</w:t>
            </w:r>
          </w:p>
        </w:tc>
        <w:tc>
          <w:tcPr>
            <w:tcW w:w="3054"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经营支出</w:t>
            </w:r>
          </w:p>
        </w:tc>
        <w:tc>
          <w:tcPr>
            <w:tcW w:w="1116"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579"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功能分类科目编码</w:t>
            </w:r>
          </w:p>
        </w:tc>
        <w:tc>
          <w:tcPr>
            <w:tcW w:w="275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科目名称</w:t>
            </w:r>
          </w:p>
        </w:tc>
        <w:tc>
          <w:tcPr>
            <w:tcW w:w="1262"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316"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262"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822"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05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16"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579"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759"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262"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316"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262"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822"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05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16"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579"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759"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262"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316"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262"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822"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05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16"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300" w:hRule="atLeast"/>
        </w:trPr>
        <w:tc>
          <w:tcPr>
            <w:tcW w:w="4339"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1262"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231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126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c>
          <w:tcPr>
            <w:tcW w:w="82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w:t>
            </w:r>
          </w:p>
        </w:tc>
        <w:tc>
          <w:tcPr>
            <w:tcW w:w="305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w:t>
            </w:r>
          </w:p>
        </w:tc>
        <w:tc>
          <w:tcPr>
            <w:tcW w:w="111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300" w:hRule="atLeast"/>
        </w:trPr>
        <w:tc>
          <w:tcPr>
            <w:tcW w:w="4339"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合计</w:t>
            </w:r>
          </w:p>
        </w:tc>
        <w:tc>
          <w:tcPr>
            <w:tcW w:w="126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1,137.34</w:t>
            </w:r>
          </w:p>
        </w:tc>
        <w:tc>
          <w:tcPr>
            <w:tcW w:w="23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807.14</w:t>
            </w:r>
          </w:p>
        </w:tc>
        <w:tc>
          <w:tcPr>
            <w:tcW w:w="126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821"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30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330.20</w:t>
            </w:r>
          </w:p>
        </w:tc>
        <w:tc>
          <w:tcPr>
            <w:tcW w:w="11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57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w:t>
            </w:r>
          </w:p>
        </w:tc>
        <w:tc>
          <w:tcPr>
            <w:tcW w:w="275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城乡社区支出</w:t>
            </w:r>
          </w:p>
        </w:tc>
        <w:tc>
          <w:tcPr>
            <w:tcW w:w="126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1,137.34</w:t>
            </w:r>
          </w:p>
        </w:tc>
        <w:tc>
          <w:tcPr>
            <w:tcW w:w="23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26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82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0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330.20</w:t>
            </w:r>
          </w:p>
        </w:tc>
        <w:tc>
          <w:tcPr>
            <w:tcW w:w="11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57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21202</w:t>
            </w:r>
          </w:p>
        </w:tc>
        <w:tc>
          <w:tcPr>
            <w:tcW w:w="275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城乡社区规划与管理</w:t>
            </w:r>
          </w:p>
        </w:tc>
        <w:tc>
          <w:tcPr>
            <w:tcW w:w="126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1,137.34</w:t>
            </w:r>
          </w:p>
        </w:tc>
        <w:tc>
          <w:tcPr>
            <w:tcW w:w="23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26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82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0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330.20</w:t>
            </w:r>
          </w:p>
        </w:tc>
        <w:tc>
          <w:tcPr>
            <w:tcW w:w="11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00" w:hRule="atLeast"/>
        </w:trPr>
        <w:tc>
          <w:tcPr>
            <w:tcW w:w="1579"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2120201</w:t>
            </w:r>
          </w:p>
        </w:tc>
        <w:tc>
          <w:tcPr>
            <w:tcW w:w="275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城乡社区规划与管理</w:t>
            </w:r>
          </w:p>
        </w:tc>
        <w:tc>
          <w:tcPr>
            <w:tcW w:w="126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1,137.34</w:t>
            </w:r>
          </w:p>
        </w:tc>
        <w:tc>
          <w:tcPr>
            <w:tcW w:w="23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26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82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0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330.20</w:t>
            </w:r>
          </w:p>
        </w:tc>
        <w:tc>
          <w:tcPr>
            <w:tcW w:w="111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18"/>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2"/>
        <w:gridCol w:w="434"/>
        <w:gridCol w:w="145"/>
        <w:gridCol w:w="1116"/>
        <w:gridCol w:w="3750"/>
        <w:gridCol w:w="703"/>
        <w:gridCol w:w="1"/>
        <w:gridCol w:w="1079"/>
        <w:gridCol w:w="201"/>
        <w:gridCol w:w="731"/>
        <w:gridCol w:w="385"/>
        <w:gridCol w:w="346"/>
        <w:gridCol w:w="1220"/>
        <w:gridCol w:w="1568"/>
        <w:gridCol w:w="2"/>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6"/>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5" w:hRule="atLeast"/>
        </w:trPr>
        <w:tc>
          <w:tcPr>
            <w:tcW w:w="2492"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43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61"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75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03"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81"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31"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31"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788"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5" w:hRule="atLeast"/>
        </w:trPr>
        <w:tc>
          <w:tcPr>
            <w:tcW w:w="2492" w:type="dxa"/>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：许昌市规划设计院</w:t>
            </w:r>
          </w:p>
        </w:tc>
        <w:tc>
          <w:tcPr>
            <w:tcW w:w="43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61"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75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03"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81"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31"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731"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788"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4187"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收     入</w:t>
            </w:r>
          </w:p>
        </w:tc>
        <w:tc>
          <w:tcPr>
            <w:tcW w:w="9986" w:type="dxa"/>
            <w:gridSpan w:val="11"/>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5" w:hRule="atLeast"/>
        </w:trPr>
        <w:tc>
          <w:tcPr>
            <w:tcW w:w="2492"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579"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行次</w:t>
            </w:r>
          </w:p>
        </w:tc>
        <w:tc>
          <w:tcPr>
            <w:tcW w:w="1116"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金额</w:t>
            </w:r>
          </w:p>
        </w:tc>
        <w:tc>
          <w:tcPr>
            <w:tcW w:w="375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704"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行次</w:t>
            </w:r>
          </w:p>
        </w:tc>
        <w:tc>
          <w:tcPr>
            <w:tcW w:w="107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合计</w:t>
            </w:r>
          </w:p>
        </w:tc>
        <w:tc>
          <w:tcPr>
            <w:tcW w:w="1317"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一般公共预算财政拨款</w:t>
            </w:r>
          </w:p>
        </w:tc>
        <w:tc>
          <w:tcPr>
            <w:tcW w:w="1566"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政府性基金预算财政拨款</w:t>
            </w:r>
          </w:p>
        </w:tc>
        <w:tc>
          <w:tcPr>
            <w:tcW w:w="1568"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12" w:hRule="atLeast"/>
        </w:trPr>
        <w:tc>
          <w:tcPr>
            <w:tcW w:w="2492"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579"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16"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750"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704"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079"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317" w:type="dxa"/>
            <w:gridSpan w:val="3"/>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566"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568"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1116"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375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107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1317"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c>
          <w:tcPr>
            <w:tcW w:w="1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w:t>
            </w:r>
          </w:p>
        </w:tc>
        <w:tc>
          <w:tcPr>
            <w:tcW w:w="156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454"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一、一般公共预算财政拨款</w:t>
            </w: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165.26</w:t>
            </w: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一、一般公共服务支出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33</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454"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二、政府性基金预算财政拨款</w:t>
            </w: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二、外交支出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34</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454"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三、国有资本经营财政拨款</w:t>
            </w: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三、国防支出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35</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四、公共安全支出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36</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五、教育支出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37</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六、科学技术支出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38</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七、文化旅游体育与传媒支出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39</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八、社会保障和就业支出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40</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9</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九、卫生健康支出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41</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10</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十、节能环保支出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42</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11</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十一、城乡社区支出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43</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12</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十二、农林水支出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44</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13</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十三、交通运输支出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45</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14</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十四、资源勘探工业信息等支出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46</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15</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十五、商业服务业等支出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47</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十六、金融支出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48</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17</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十七、援助其他地区支出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49</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18</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十八、自然资源海洋气象等支出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50</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19</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十九、住房保障支出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51</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二十、粮油物资储备支出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52</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二十一、国有资本经营预算支出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53</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22</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二十二、灾害防治及应急管理支出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54</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23</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二十三、其他支出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55</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0"/>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24</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二十四、债务还本支出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56</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25</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二十五、债务付息支出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57</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3"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0"/>
                <w:highlight w:val="none"/>
                <w:u w:val="none"/>
                <w:lang w:eastAsia="zh-CN"/>
              </w:rPr>
            </w:pP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二十六、抗疫特别国债安排的支出</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58</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本年收入合计</w:t>
            </w: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27</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165.26</w:t>
            </w:r>
          </w:p>
        </w:tc>
        <w:tc>
          <w:tcPr>
            <w:tcW w:w="375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本年支出合计</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59</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年初财政拨款结转和结余</w:t>
            </w: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28</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905.13</w:t>
            </w: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年末财政拨款结转和结余</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60</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263.24</w:t>
            </w: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263.24</w:t>
            </w: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一般公共预算财政拨款</w:t>
            </w: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29</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905.13</w:t>
            </w: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61</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政府性基金预算财政拨款</w:t>
            </w: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62</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国有资本经营预算财政拨款</w:t>
            </w:r>
          </w:p>
        </w:tc>
        <w:tc>
          <w:tcPr>
            <w:tcW w:w="579"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75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63</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2492"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总计</w:t>
            </w:r>
          </w:p>
        </w:tc>
        <w:tc>
          <w:tcPr>
            <w:tcW w:w="579" w:type="dxa"/>
            <w:gridSpan w:val="2"/>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32</w:t>
            </w:r>
          </w:p>
        </w:tc>
        <w:tc>
          <w:tcPr>
            <w:tcW w:w="111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1,070.39</w:t>
            </w:r>
          </w:p>
        </w:tc>
        <w:tc>
          <w:tcPr>
            <w:tcW w:w="375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总计</w:t>
            </w:r>
          </w:p>
        </w:tc>
        <w:tc>
          <w:tcPr>
            <w:tcW w:w="70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64</w:t>
            </w:r>
          </w:p>
        </w:tc>
        <w:tc>
          <w:tcPr>
            <w:tcW w:w="107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1,070.39</w:t>
            </w:r>
          </w:p>
        </w:tc>
        <w:tc>
          <w:tcPr>
            <w:tcW w:w="131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1,070.39</w:t>
            </w:r>
          </w:p>
        </w:tc>
        <w:tc>
          <w:tcPr>
            <w:tcW w:w="1566"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6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74" w:type="dxa"/>
            <w:gridSpan w:val="16"/>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
        <w:gridCol w:w="976"/>
        <w:gridCol w:w="975"/>
        <w:gridCol w:w="3994"/>
        <w:gridCol w:w="1"/>
        <w:gridCol w:w="2284"/>
        <w:gridCol w:w="1"/>
        <w:gridCol w:w="3992"/>
        <w:gridCol w:w="1"/>
        <w:gridCol w:w="1614"/>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2"/>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285" w:hRule="atLeast"/>
        </w:trPr>
        <w:tc>
          <w:tcPr>
            <w:tcW w:w="33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976"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97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99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285"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993"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615"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285" w:hRule="atLeast"/>
        </w:trPr>
        <w:tc>
          <w:tcPr>
            <w:tcW w:w="14172" w:type="dxa"/>
            <w:gridSpan w:val="10"/>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：许昌市规划设计院</w:t>
            </w:r>
            <w:r>
              <w:rPr>
                <w:rFonts w:hint="eastAsia" w:ascii="宋体" w:hAnsi="宋体"/>
                <w:b w:val="0"/>
                <w:i w:val="0"/>
                <w:snapToGrid/>
                <w:color w:val="auto"/>
                <w:sz w:val="20"/>
                <w:highlight w:val="none"/>
                <w:u w:val="none"/>
                <w:lang w:val="en-US" w:eastAsia="zh-CN"/>
              </w:rPr>
              <w:t xml:space="preserve">                                                                                                        </w:t>
            </w: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80" w:type="dxa"/>
            <w:gridSpan w:val="5"/>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7894" w:type="dxa"/>
            <w:gridSpan w:val="7"/>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功能分类科目编码</w:t>
            </w:r>
          </w:p>
        </w:tc>
        <w:tc>
          <w:tcPr>
            <w:tcW w:w="399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科目名称</w:t>
            </w:r>
          </w:p>
        </w:tc>
        <w:tc>
          <w:tcPr>
            <w:tcW w:w="2285"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小计</w:t>
            </w:r>
          </w:p>
        </w:tc>
        <w:tc>
          <w:tcPr>
            <w:tcW w:w="3993"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基本支出</w:t>
            </w:r>
          </w:p>
        </w:tc>
        <w:tc>
          <w:tcPr>
            <w:tcW w:w="1615"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270" w:hRule="atLeast"/>
        </w:trPr>
        <w:tc>
          <w:tcPr>
            <w:tcW w:w="2285"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994"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28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993"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61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994"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28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993"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61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6280"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228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399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161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6280"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合计</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807.14</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807.14</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城乡社区支出</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21202</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城乡社区规划与管理</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2120201</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城乡社区规划与管理</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807.14</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12"/>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655"/>
        <w:gridCol w:w="2204"/>
        <w:gridCol w:w="887"/>
        <w:gridCol w:w="1"/>
        <w:gridCol w:w="516"/>
        <w:gridCol w:w="659"/>
        <w:gridCol w:w="1293"/>
        <w:gridCol w:w="990"/>
        <w:gridCol w:w="275"/>
        <w:gridCol w:w="517"/>
        <w:gridCol w:w="508"/>
        <w:gridCol w:w="1431"/>
        <w:gridCol w:w="2"/>
        <w:gridCol w:w="2671"/>
        <w:gridCol w:w="1045"/>
        <w:gridCol w:w="2"/>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9"/>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一般公共预算财政拨款基本支出决算</w:t>
            </w:r>
            <w:r>
              <w:rPr>
                <w:rFonts w:hint="eastAsia" w:ascii="宋体" w:hAnsi="宋体"/>
                <w:b w:val="0"/>
                <w:i w:val="0"/>
                <w:snapToGrid/>
                <w:color w:val="auto"/>
                <w:sz w:val="30"/>
                <w:highlight w:val="none"/>
                <w:u w:val="none"/>
                <w:lang w:eastAsia="zh-CN"/>
              </w:rPr>
              <w:t>明细</w:t>
            </w:r>
            <w:r>
              <w:rPr>
                <w:rFonts w:hint="default" w:ascii="宋体" w:hAnsi="宋体" w:eastAsia="宋体"/>
                <w:b w:val="0"/>
                <w:i w:val="0"/>
                <w:snapToGrid/>
                <w:color w:val="auto"/>
                <w:sz w:val="30"/>
                <w:highlight w:val="none"/>
                <w:u w:val="none"/>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285" w:hRule="atLeast"/>
        </w:trPr>
        <w:tc>
          <w:tcPr>
            <w:tcW w:w="516"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859"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87"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517"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95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65"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517"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939"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718" w:type="dxa"/>
            <w:gridSpan w:val="3"/>
            <w:noWrap w:val="0"/>
            <w:vAlign w:val="bottom"/>
          </w:tcPr>
          <w:p>
            <w:pPr>
              <w:kinsoku/>
              <w:autoSpaceDE/>
              <w:autoSpaceDN w:val="0"/>
              <w:jc w:val="right"/>
              <w:textAlignment w:val="bottom"/>
              <w:rPr>
                <w:rFonts w:hint="default" w:ascii="宋体" w:hAnsi="宋体" w:eastAsia="宋体"/>
                <w:b w:val="0"/>
                <w:i w:val="0"/>
                <w:snapToGrid/>
                <w:color w:val="auto"/>
                <w:sz w:val="18"/>
                <w:highlight w:val="none"/>
                <w:u w:val="none"/>
                <w:lang w:eastAsia="zh-CN"/>
              </w:rPr>
            </w:pPr>
            <w:r>
              <w:rPr>
                <w:rFonts w:hint="default" w:ascii="宋体" w:hAnsi="宋体" w:eastAsia="宋体"/>
                <w:b w:val="0"/>
                <w:i w:val="0"/>
                <w:snapToGrid/>
                <w:color w:val="auto"/>
                <w:sz w:val="18"/>
                <w:highlight w:val="none"/>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285" w:hRule="atLeast"/>
        </w:trPr>
        <w:tc>
          <w:tcPr>
            <w:tcW w:w="14170" w:type="dxa"/>
            <w:gridSpan w:val="16"/>
            <w:noWrap w:val="0"/>
            <w:vAlign w:val="bottom"/>
          </w:tcPr>
          <w:p>
            <w:pPr>
              <w:kinsoku/>
              <w:autoSpaceDE/>
              <w:autoSpaceDN w:val="0"/>
              <w:jc w:val="left"/>
              <w:textAlignment w:val="bottom"/>
              <w:rPr>
                <w:rFonts w:hint="default" w:ascii="宋体" w:hAnsi="宋体" w:eastAsia="宋体"/>
                <w:b w:val="0"/>
                <w:i w:val="0"/>
                <w:snapToGrid/>
                <w:color w:val="auto"/>
                <w:sz w:val="18"/>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：许昌市规划设计院</w:t>
            </w:r>
            <w:r>
              <w:rPr>
                <w:rFonts w:hint="eastAsia" w:ascii="宋体" w:hAnsi="宋体"/>
                <w:b w:val="0"/>
                <w:i w:val="0"/>
                <w:snapToGrid/>
                <w:color w:val="auto"/>
                <w:sz w:val="20"/>
                <w:highlight w:val="none"/>
                <w:u w:val="none"/>
                <w:lang w:val="en-US" w:eastAsia="zh-CN"/>
              </w:rPr>
              <w:t xml:space="preserve">                                                                                                         </w:t>
            </w:r>
            <w:r>
              <w:rPr>
                <w:rFonts w:hint="default" w:ascii="宋体" w:hAnsi="宋体" w:eastAsia="宋体"/>
                <w:b w:val="0"/>
                <w:i w:val="0"/>
                <w:snapToGrid/>
                <w:color w:val="auto"/>
                <w:sz w:val="18"/>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4263" w:type="dxa"/>
            <w:gridSpan w:val="5"/>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人员经费</w:t>
            </w:r>
          </w:p>
        </w:tc>
        <w:tc>
          <w:tcPr>
            <w:tcW w:w="9910" w:type="dxa"/>
            <w:gridSpan w:val="13"/>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科目编码</w:t>
            </w:r>
          </w:p>
        </w:tc>
        <w:tc>
          <w:tcPr>
            <w:tcW w:w="220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科目名称</w:t>
            </w:r>
          </w:p>
        </w:tc>
        <w:tc>
          <w:tcPr>
            <w:tcW w:w="88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决算数</w:t>
            </w:r>
          </w:p>
        </w:tc>
        <w:tc>
          <w:tcPr>
            <w:tcW w:w="1176"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科目编码</w:t>
            </w:r>
          </w:p>
        </w:tc>
        <w:tc>
          <w:tcPr>
            <w:tcW w:w="2283"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科目名称</w:t>
            </w:r>
          </w:p>
        </w:tc>
        <w:tc>
          <w:tcPr>
            <w:tcW w:w="1300"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决算数</w:t>
            </w:r>
          </w:p>
        </w:tc>
        <w:tc>
          <w:tcPr>
            <w:tcW w:w="1433"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科目编码</w:t>
            </w:r>
          </w:p>
        </w:tc>
        <w:tc>
          <w:tcPr>
            <w:tcW w:w="267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科目名称</w:t>
            </w:r>
          </w:p>
        </w:tc>
        <w:tc>
          <w:tcPr>
            <w:tcW w:w="104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204"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887"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76" w:type="dxa"/>
            <w:gridSpan w:val="3"/>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283"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300" w:type="dxa"/>
            <w:gridSpan w:val="3"/>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433"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671"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045"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工资福利支出</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496.71</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商品和服务支出</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299.74</w:t>
            </w: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307</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债务利息及费用支出</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30101</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基本工资</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196.39</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30201</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办公费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3.97</w:t>
            </w: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30701</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国内债务付息</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30102</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津贴补贴</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8.61</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30202</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印刷费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30702</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国外债务付息</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30103</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奖金</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30203</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咨询费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资本性支出</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30106</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伙食补助费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30204</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手续费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31001</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房屋建筑物购建</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30107</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绩效工资</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61.86</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30205</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水费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31002</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办公设备购置</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30108</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机关事业单位基本养老保险缴费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67.95</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30206</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电费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31003</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专用设备购置</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30109</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职业年金缴费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33.90</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30207</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邮电费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0.41</w:t>
            </w: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31005</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基础设施建设</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30110</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职工基本医疗保险缴费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32.43</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30208</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取暖费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31006</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大型修缮</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30111</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公务员医疗补助缴费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30209</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物业管理费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31007</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信息网络及软件购置更新</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30112</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其他社会保障缴费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3.47</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30211</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差旅费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31008</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物资储备</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30113</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住房公积金</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92.11</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30212</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因公出国（境）费用</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31009</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土地补偿</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30114</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医疗费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30213</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维修（护）费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1.06</w:t>
            </w: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31010</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安置补助</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30199</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其他工资福利支出</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30214</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租赁费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31011</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地上附着物和青苗补偿</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对个人和家庭的补助</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10.70</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30215</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会议费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31012</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拆迁补偿</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30301</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离休费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30216</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培训费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0.23</w:t>
            </w: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31013</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公务用车购置</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30302</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退休费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8.04</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30217</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公务接待费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31019</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其他交通工具购置</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30303</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退职（役）费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30218</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专用材料费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31021</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文物和陈列品购置</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30304</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抚恤金</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30224</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被装购置费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31022</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无形资产购置</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30305</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生活补助</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2.66</w:t>
            </w: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30225</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专用燃料费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31099</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其他资本性支出</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30306</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救济费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30226</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劳务费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399</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其他支出</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30307</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医疗费补助</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30227</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委托业务费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294.07</w:t>
            </w: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39906</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赠与</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30308</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助学金</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30228</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工会经费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39907</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国家赔偿费用支出</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30309</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奖励金</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30229</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福利费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39908</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对民间非营利组织和群众性自治组织补贴</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30310</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个人农业生产补贴</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30231</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公务用车运行维护费</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39999</w:t>
            </w: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其他支出</w:t>
            </w: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30311</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代缴社会保险费</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30239</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其他交通费用</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30399</w:t>
            </w: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其他对个人和家庭的补助</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30240</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税金及附加费用</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trPr>
        <w:tc>
          <w:tcPr>
            <w:tcW w:w="1171"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22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76" w:type="dxa"/>
            <w:gridSpan w:val="3"/>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30299</w:t>
            </w:r>
          </w:p>
        </w:tc>
        <w:tc>
          <w:tcPr>
            <w:tcW w:w="228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其他商品和服务支出</w:t>
            </w:r>
          </w:p>
        </w:tc>
        <w:tc>
          <w:tcPr>
            <w:tcW w:w="130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433"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267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104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3375" w:type="dxa"/>
            <w:gridSpan w:val="3"/>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人员经费合计</w:t>
            </w:r>
          </w:p>
        </w:tc>
        <w:tc>
          <w:tcPr>
            <w:tcW w:w="88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507.41</w:t>
            </w:r>
          </w:p>
        </w:tc>
        <w:tc>
          <w:tcPr>
            <w:tcW w:w="6190" w:type="dxa"/>
            <w:gridSpan w:val="9"/>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公用经费合计</w:t>
            </w:r>
          </w:p>
        </w:tc>
        <w:tc>
          <w:tcPr>
            <w:tcW w:w="3720"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299.74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19"/>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8"/>
        <w:gridCol w:w="1081"/>
        <w:gridCol w:w="1081"/>
        <w:gridCol w:w="1081"/>
        <w:gridCol w:w="1"/>
        <w:gridCol w:w="1081"/>
        <w:gridCol w:w="1"/>
        <w:gridCol w:w="1587"/>
        <w:gridCol w:w="1"/>
        <w:gridCol w:w="2"/>
        <w:gridCol w:w="1078"/>
        <w:gridCol w:w="1"/>
        <w:gridCol w:w="1080"/>
        <w:gridCol w:w="1"/>
        <w:gridCol w:w="1080"/>
        <w:gridCol w:w="1081"/>
        <w:gridCol w:w="1"/>
        <w:gridCol w:w="1081"/>
        <w:gridCol w:w="2"/>
        <w:gridCol w:w="1079"/>
        <w:gridCol w:w="2"/>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93" w:type="dxa"/>
            <w:gridSpan w:val="22"/>
            <w:noWrap w:val="0"/>
            <w:vAlign w:val="bottom"/>
          </w:tcPr>
          <w:p>
            <w:pPr>
              <w:kinsoku/>
              <w:autoSpaceDE/>
              <w:autoSpaceDN w:val="0"/>
              <w:jc w:val="center"/>
              <w:textAlignment w:val="bottom"/>
              <w:rPr>
                <w:rFonts w:hint="default" w:ascii="宋体" w:hAnsi="宋体" w:eastAsia="宋体"/>
                <w:b w:val="0"/>
                <w:i w:val="0"/>
                <w:snapToGrid/>
                <w:color w:val="auto"/>
                <w:sz w:val="44"/>
                <w:highlight w:val="none"/>
                <w:u w:val="none"/>
                <w:lang w:eastAsia="zh-CN"/>
              </w:rPr>
            </w:pPr>
            <w:r>
              <w:rPr>
                <w:rFonts w:hint="default" w:ascii="宋体" w:hAnsi="宋体" w:eastAsia="宋体"/>
                <w:b w:val="0"/>
                <w:i w:val="0"/>
                <w:snapToGrid/>
                <w:color w:val="auto"/>
                <w:sz w:val="44"/>
                <w:highlight w:val="none"/>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285" w:hRule="atLeast"/>
        </w:trPr>
        <w:tc>
          <w:tcPr>
            <w:tcW w:w="1588"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58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285" w:hRule="atLeast"/>
        </w:trPr>
        <w:tc>
          <w:tcPr>
            <w:tcW w:w="3750"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：许昌市规划设计院</w:t>
            </w:r>
          </w:p>
        </w:tc>
        <w:tc>
          <w:tcPr>
            <w:tcW w:w="108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58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1"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2"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162" w:type="dxa"/>
            <w:gridSpan w:val="3"/>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04" w:type="dxa"/>
            <w:gridSpan w:val="10"/>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预算数</w:t>
            </w:r>
          </w:p>
        </w:tc>
        <w:tc>
          <w:tcPr>
            <w:tcW w:w="6489" w:type="dxa"/>
            <w:gridSpan w:val="12"/>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300" w:hRule="atLeast"/>
        </w:trPr>
        <w:tc>
          <w:tcPr>
            <w:tcW w:w="1588"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合计</w:t>
            </w:r>
          </w:p>
        </w:tc>
        <w:tc>
          <w:tcPr>
            <w:tcW w:w="108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因公出国（境）费</w:t>
            </w:r>
          </w:p>
        </w:tc>
        <w:tc>
          <w:tcPr>
            <w:tcW w:w="3245"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公务用车购置及运行费</w:t>
            </w:r>
          </w:p>
        </w:tc>
        <w:tc>
          <w:tcPr>
            <w:tcW w:w="1588"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公务接待费</w:t>
            </w:r>
          </w:p>
        </w:tc>
        <w:tc>
          <w:tcPr>
            <w:tcW w:w="1081"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合计</w:t>
            </w:r>
          </w:p>
        </w:tc>
        <w:tc>
          <w:tcPr>
            <w:tcW w:w="1081"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因公出国（境）费</w:t>
            </w:r>
          </w:p>
        </w:tc>
        <w:tc>
          <w:tcPr>
            <w:tcW w:w="3245"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公务用车购置及运行费</w:t>
            </w:r>
          </w:p>
        </w:tc>
        <w:tc>
          <w:tcPr>
            <w:tcW w:w="1081"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615" w:hRule="atLeast"/>
        </w:trPr>
        <w:tc>
          <w:tcPr>
            <w:tcW w:w="1588" w:type="dxa"/>
            <w:vMerge w:val="continue"/>
            <w:tcBorders>
              <w:left w:val="single" w:color="000000" w:sz="4" w:space="0"/>
              <w:bottom w:val="single" w:color="000000" w:sz="4" w:space="0"/>
              <w:right w:val="single" w:color="000000" w:sz="4" w:space="0"/>
            </w:tcBorders>
            <w:noWrap w:val="0"/>
            <w:vAlign w:val="center"/>
          </w:tcPr>
          <w:p>
            <w:pPr>
              <w:rPr>
                <w:rFonts w:hint="default"/>
                <w:color w:val="auto"/>
                <w:sz w:val="21"/>
                <w:highlight w:val="none"/>
              </w:rPr>
            </w:pPr>
          </w:p>
        </w:tc>
        <w:tc>
          <w:tcPr>
            <w:tcW w:w="1081" w:type="dxa"/>
            <w:vMerge w:val="continue"/>
            <w:tcBorders>
              <w:bottom w:val="single" w:color="000000" w:sz="4" w:space="0"/>
              <w:right w:val="single" w:color="000000" w:sz="4" w:space="0"/>
            </w:tcBorders>
            <w:noWrap w:val="0"/>
            <w:vAlign w:val="center"/>
          </w:tcPr>
          <w:p>
            <w:pPr>
              <w:rPr>
                <w:rFonts w:hint="default"/>
                <w:color w:val="auto"/>
                <w:sz w:val="21"/>
                <w:highlight w:val="none"/>
              </w:rPr>
            </w:pPr>
          </w:p>
        </w:tc>
        <w:tc>
          <w:tcPr>
            <w:tcW w:w="108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小计</w:t>
            </w:r>
          </w:p>
        </w:tc>
        <w:tc>
          <w:tcPr>
            <w:tcW w:w="108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公务用车购置费</w:t>
            </w:r>
          </w:p>
        </w:tc>
        <w:tc>
          <w:tcPr>
            <w:tcW w:w="1082"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公务用车运行费</w:t>
            </w:r>
          </w:p>
        </w:tc>
        <w:tc>
          <w:tcPr>
            <w:tcW w:w="1588" w:type="dxa"/>
            <w:gridSpan w:val="2"/>
            <w:vMerge w:val="continue"/>
            <w:tcBorders>
              <w:bottom w:val="single" w:color="000000" w:sz="4" w:space="0"/>
              <w:right w:val="single" w:color="000000" w:sz="4" w:space="0"/>
            </w:tcBorders>
            <w:noWrap w:val="0"/>
            <w:vAlign w:val="center"/>
          </w:tcPr>
          <w:p>
            <w:pPr>
              <w:rPr>
                <w:rFonts w:hint="default"/>
                <w:color w:val="auto"/>
                <w:sz w:val="21"/>
                <w:highlight w:val="none"/>
              </w:rPr>
            </w:pPr>
          </w:p>
        </w:tc>
        <w:tc>
          <w:tcPr>
            <w:tcW w:w="1081" w:type="dxa"/>
            <w:gridSpan w:val="3"/>
            <w:vMerge w:val="continue"/>
            <w:tcBorders>
              <w:bottom w:val="single" w:color="000000" w:sz="4" w:space="0"/>
              <w:right w:val="single" w:color="000000" w:sz="4" w:space="0"/>
            </w:tcBorders>
            <w:noWrap w:val="0"/>
            <w:vAlign w:val="center"/>
          </w:tcPr>
          <w:p>
            <w:pPr>
              <w:rPr>
                <w:rFonts w:hint="default"/>
                <w:color w:val="auto"/>
                <w:sz w:val="21"/>
                <w:highlight w:val="none"/>
              </w:rPr>
            </w:pPr>
          </w:p>
        </w:tc>
        <w:tc>
          <w:tcPr>
            <w:tcW w:w="1081" w:type="dxa"/>
            <w:gridSpan w:val="2"/>
            <w:vMerge w:val="continue"/>
            <w:tcBorders>
              <w:bottom w:val="single" w:color="000000" w:sz="4" w:space="0"/>
              <w:right w:val="single" w:color="000000" w:sz="4" w:space="0"/>
            </w:tcBorders>
            <w:noWrap w:val="0"/>
            <w:vAlign w:val="center"/>
          </w:tcPr>
          <w:p>
            <w:pPr>
              <w:rPr>
                <w:rFonts w:hint="default"/>
                <w:color w:val="auto"/>
                <w:sz w:val="21"/>
                <w:highlight w:val="none"/>
              </w:rPr>
            </w:pPr>
          </w:p>
        </w:tc>
        <w:tc>
          <w:tcPr>
            <w:tcW w:w="108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小计</w:t>
            </w:r>
          </w:p>
        </w:tc>
        <w:tc>
          <w:tcPr>
            <w:tcW w:w="108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公务用车购置费</w:t>
            </w:r>
          </w:p>
        </w:tc>
        <w:tc>
          <w:tcPr>
            <w:tcW w:w="1082"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公务用车运行费</w:t>
            </w:r>
          </w:p>
        </w:tc>
        <w:tc>
          <w:tcPr>
            <w:tcW w:w="1081"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588"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108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108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c>
          <w:tcPr>
            <w:tcW w:w="108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w:t>
            </w:r>
          </w:p>
        </w:tc>
        <w:tc>
          <w:tcPr>
            <w:tcW w:w="1082"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w:t>
            </w:r>
          </w:p>
        </w:tc>
        <w:tc>
          <w:tcPr>
            <w:tcW w:w="158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w:t>
            </w:r>
          </w:p>
        </w:tc>
        <w:tc>
          <w:tcPr>
            <w:tcW w:w="1081"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w:t>
            </w:r>
          </w:p>
        </w:tc>
        <w:tc>
          <w:tcPr>
            <w:tcW w:w="108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w:t>
            </w:r>
          </w:p>
        </w:tc>
        <w:tc>
          <w:tcPr>
            <w:tcW w:w="108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9</w:t>
            </w:r>
          </w:p>
        </w:tc>
        <w:tc>
          <w:tcPr>
            <w:tcW w:w="1081"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10</w:t>
            </w:r>
          </w:p>
        </w:tc>
        <w:tc>
          <w:tcPr>
            <w:tcW w:w="1082"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11</w:t>
            </w:r>
          </w:p>
        </w:tc>
        <w:tc>
          <w:tcPr>
            <w:tcW w:w="1081"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588" w:type="dxa"/>
            <w:tcBorders>
              <w:left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58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1"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1"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1"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1"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2"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081"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93" w:type="dxa"/>
            <w:gridSpan w:val="22"/>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1"/>
                <w:szCs w:val="21"/>
                <w:highlight w:val="none"/>
                <w:u w:val="none"/>
                <w:lang w:eastAsia="zh-CN"/>
              </w:rPr>
              <w:t>注：本表反映</w:t>
            </w:r>
            <w:r>
              <w:rPr>
                <w:rFonts w:hint="eastAsia" w:ascii="宋体" w:hAnsi="宋体"/>
                <w:b w:val="0"/>
                <w:i w:val="0"/>
                <w:snapToGrid/>
                <w:color w:val="auto"/>
                <w:sz w:val="21"/>
                <w:szCs w:val="21"/>
                <w:highlight w:val="none"/>
                <w:u w:val="none"/>
                <w:lang w:eastAsia="zh-CN"/>
              </w:rPr>
              <w:t>单位</w:t>
            </w:r>
            <w:r>
              <w:rPr>
                <w:rFonts w:hint="default" w:ascii="宋体" w:hAnsi="宋体" w:eastAsia="宋体"/>
                <w:b w:val="0"/>
                <w:i w:val="0"/>
                <w:snapToGrid/>
                <w:color w:val="auto"/>
                <w:sz w:val="21"/>
                <w:szCs w:val="21"/>
                <w:highlight w:val="none"/>
                <w:u w:val="none"/>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宋体" w:hAnsi="宋体" w:eastAsia="宋体"/>
          <w:b w:val="0"/>
          <w:i w:val="0"/>
          <w:snapToGrid/>
          <w:color w:val="auto"/>
          <w:sz w:val="22"/>
          <w:highlight w:val="none"/>
          <w:u w:val="none"/>
          <w:lang w:val="en-US" w:eastAsia="zh-CN"/>
        </w:rPr>
      </w:pP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说明：我单位没有预算安排的三公经费，也没有预算安排的三公支出，故本表无数据</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4"/>
        <w:gridCol w:w="686"/>
        <w:gridCol w:w="685"/>
        <w:gridCol w:w="2804"/>
        <w:gridCol w:w="2"/>
        <w:gridCol w:w="1197"/>
        <w:gridCol w:w="1"/>
        <w:gridCol w:w="684"/>
        <w:gridCol w:w="1"/>
        <w:gridCol w:w="2804"/>
        <w:gridCol w:w="1"/>
        <w:gridCol w:w="684"/>
        <w:gridCol w:w="1"/>
        <w:gridCol w:w="3253"/>
        <w:gridCol w:w="1"/>
        <w:gridCol w:w="1133"/>
        <w:gridCol w:w="1"/>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8"/>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5" w:hRule="atLeast"/>
        </w:trPr>
        <w:tc>
          <w:tcPr>
            <w:tcW w:w="23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86"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8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80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99"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85"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805"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85"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254"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34"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5" w:hRule="atLeast"/>
        </w:trPr>
        <w:tc>
          <w:tcPr>
            <w:tcW w:w="14171" w:type="dxa"/>
            <w:gridSpan w:val="16"/>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：许昌市规划设计院</w:t>
            </w:r>
          </w:p>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0" w:hRule="atLeast"/>
        </w:trPr>
        <w:tc>
          <w:tcPr>
            <w:tcW w:w="4411" w:type="dxa"/>
            <w:gridSpan w:val="5"/>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1198"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年初结转和结余</w:t>
            </w:r>
          </w:p>
        </w:tc>
        <w:tc>
          <w:tcPr>
            <w:tcW w:w="685"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本年收入</w:t>
            </w:r>
          </w:p>
        </w:tc>
        <w:tc>
          <w:tcPr>
            <w:tcW w:w="6744" w:type="dxa"/>
            <w:gridSpan w:val="6"/>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本年支出</w:t>
            </w:r>
          </w:p>
        </w:tc>
        <w:tc>
          <w:tcPr>
            <w:tcW w:w="1134"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1605"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功能分类科目编码</w:t>
            </w:r>
          </w:p>
        </w:tc>
        <w:tc>
          <w:tcPr>
            <w:tcW w:w="280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科目名称</w:t>
            </w:r>
          </w:p>
        </w:tc>
        <w:tc>
          <w:tcPr>
            <w:tcW w:w="1199" w:type="dxa"/>
            <w:gridSpan w:val="2"/>
            <w:vMerge w:val="continue"/>
            <w:tcBorders>
              <w:top w:val="single" w:color="000000" w:sz="4" w:space="0"/>
              <w:bottom w:val="single" w:color="000000" w:sz="4" w:space="0"/>
              <w:right w:val="single" w:color="000000" w:sz="4" w:space="0"/>
            </w:tcBorders>
            <w:noWrap w:val="0"/>
            <w:vAlign w:val="center"/>
          </w:tcPr>
          <w:p>
            <w:pPr>
              <w:rPr>
                <w:rFonts w:hint="default"/>
                <w:color w:val="auto"/>
                <w:sz w:val="21"/>
                <w:highlight w:val="none"/>
              </w:rPr>
            </w:pPr>
          </w:p>
        </w:tc>
        <w:tc>
          <w:tcPr>
            <w:tcW w:w="685" w:type="dxa"/>
            <w:gridSpan w:val="2"/>
            <w:vMerge w:val="continue"/>
            <w:tcBorders>
              <w:top w:val="single" w:color="000000" w:sz="4" w:space="0"/>
              <w:bottom w:val="single" w:color="000000" w:sz="4" w:space="0"/>
              <w:right w:val="single" w:color="000000" w:sz="4" w:space="0"/>
            </w:tcBorders>
            <w:noWrap w:val="0"/>
            <w:vAlign w:val="center"/>
          </w:tcPr>
          <w:p>
            <w:pPr>
              <w:rPr>
                <w:rFonts w:hint="default"/>
                <w:color w:val="auto"/>
                <w:sz w:val="21"/>
                <w:highlight w:val="none"/>
              </w:rPr>
            </w:pPr>
          </w:p>
        </w:tc>
        <w:tc>
          <w:tcPr>
            <w:tcW w:w="2805"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小计</w:t>
            </w:r>
          </w:p>
        </w:tc>
        <w:tc>
          <w:tcPr>
            <w:tcW w:w="685"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基本支出</w:t>
            </w:r>
          </w:p>
        </w:tc>
        <w:tc>
          <w:tcPr>
            <w:tcW w:w="3254"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项目支出</w:t>
            </w:r>
          </w:p>
        </w:tc>
        <w:tc>
          <w:tcPr>
            <w:tcW w:w="113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1605"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804"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99"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685"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80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68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254"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3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1605"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804"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99"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685"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280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68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3254"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c>
          <w:tcPr>
            <w:tcW w:w="113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0" w:hRule="atLeast"/>
        </w:trPr>
        <w:tc>
          <w:tcPr>
            <w:tcW w:w="4411"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119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68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280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c>
          <w:tcPr>
            <w:tcW w:w="68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w:t>
            </w:r>
          </w:p>
        </w:tc>
        <w:tc>
          <w:tcPr>
            <w:tcW w:w="325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w:t>
            </w:r>
          </w:p>
        </w:tc>
        <w:tc>
          <w:tcPr>
            <w:tcW w:w="113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0" w:hRule="atLeast"/>
        </w:trPr>
        <w:tc>
          <w:tcPr>
            <w:tcW w:w="4411"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合计</w:t>
            </w:r>
          </w:p>
        </w:tc>
        <w:tc>
          <w:tcPr>
            <w:tcW w:w="11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6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280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6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32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113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160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280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1199"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6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280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6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13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18"/>
            <w:noWrap w:val="0"/>
            <w:vAlign w:val="center"/>
          </w:tcPr>
          <w:p>
            <w:pPr>
              <w:kinsoku/>
              <w:autoSpaceDE/>
              <w:autoSpaceDN w:val="0"/>
              <w:jc w:val="left"/>
              <w:textAlignment w:val="center"/>
              <w:outlineLvl w:val="9"/>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lang w:val="en-US" w:eastAsia="zh-CN"/>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olor w:val="auto"/>
          <w:kern w:val="2"/>
          <w:sz w:val="32"/>
          <w:highlight w:val="none"/>
        </w:rPr>
        <w:t>1710.12</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olor w:val="auto"/>
          <w:kern w:val="2"/>
          <w:sz w:val="32"/>
          <w:highlight w:val="none"/>
        </w:rPr>
        <w:t>420.74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olor w:val="auto"/>
          <w:kern w:val="2"/>
          <w:sz w:val="32"/>
          <w:highlight w:val="none"/>
        </w:rPr>
        <w:t>19.75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经营收入和经营支出均减少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olor w:val="auto"/>
          <w:kern w:val="2"/>
          <w:sz w:val="32"/>
          <w:highlight w:val="none"/>
          <w:lang w:val="en-US"/>
        </w:rPr>
        <w:t>750.55</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165.26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22.02</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olor w:val="auto"/>
          <w:kern w:val="2"/>
          <w:sz w:val="32"/>
          <w:highlight w:val="none"/>
          <w:lang w:val="en-US"/>
        </w:rPr>
        <w:t>585.29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kern w:val="2"/>
          <w:sz w:val="32"/>
          <w:highlight w:val="none"/>
          <w:lang w:val="en-US"/>
        </w:rPr>
        <w:t>77.98</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年度支出合计1137.34万元，其中：基本支出</w:t>
      </w:r>
      <w:r>
        <w:rPr>
          <w:rFonts w:hint="eastAsia" w:ascii="仿宋_GB2312" w:hAnsi="仿宋_GB2312" w:eastAsia="仿宋_GB2312"/>
          <w:color w:val="auto"/>
          <w:kern w:val="2"/>
          <w:sz w:val="32"/>
          <w:highlight w:val="none"/>
          <w:lang w:val="en-US"/>
        </w:rPr>
        <w:t>807.14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kern w:val="2"/>
          <w:sz w:val="32"/>
          <w:highlight w:val="none"/>
          <w:lang w:val="en-US"/>
        </w:rPr>
        <w:t>70.97</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olor w:val="auto"/>
          <w:kern w:val="2"/>
          <w:sz w:val="32"/>
          <w:highlight w:val="none"/>
          <w:lang w:val="en-US"/>
        </w:rPr>
        <w:t>330.2</w:t>
      </w:r>
      <w:r>
        <w:rPr>
          <w:rFonts w:hint="eastAsia" w:ascii="仿宋_GB2312" w:hAnsi="仿宋_GB2312" w:eastAsia="仿宋_GB2312"/>
          <w:color w:val="auto"/>
          <w:kern w:val="2"/>
          <w:sz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kern w:val="2"/>
          <w:sz w:val="32"/>
          <w:highlight w:val="none"/>
          <w:lang w:val="en-US"/>
        </w:rPr>
        <w:t>29.03</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olor w:val="auto"/>
          <w:kern w:val="2"/>
          <w:sz w:val="32"/>
          <w:highlight w:val="none"/>
          <w:lang w:val="en-US"/>
        </w:rPr>
        <w:t>1070.39</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olor w:val="auto"/>
          <w:kern w:val="2"/>
          <w:sz w:val="32"/>
          <w:highlight w:val="none"/>
          <w:lang w:val="en-US"/>
        </w:rPr>
        <w:t>94.87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olor w:val="auto"/>
          <w:kern w:val="2"/>
          <w:sz w:val="32"/>
          <w:highlight w:val="none"/>
          <w:lang w:val="en-US"/>
        </w:rPr>
        <w:t>8.14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人员工资和商品服务支出均减少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kern w:val="2"/>
          <w:sz w:val="32"/>
          <w:highlight w:val="none"/>
          <w:lang w:val="en-US"/>
        </w:rPr>
        <w:t>807.14</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olor w:val="auto"/>
          <w:kern w:val="2"/>
          <w:sz w:val="32"/>
          <w:highlight w:val="none"/>
          <w:lang w:val="en-US"/>
        </w:rPr>
        <w:t>70.97</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547.01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210.28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2020年9月</w:t>
      </w:r>
      <w:r>
        <w:rPr>
          <w:rFonts w:hint="eastAsia" w:ascii="仿宋_GB2312" w:hAnsi="仿宋_GB2312" w:eastAsia="仿宋_GB2312" w:cs="仿宋_GB2312"/>
          <w:color w:val="auto"/>
          <w:sz w:val="32"/>
          <w:szCs w:val="32"/>
          <w:highlight w:val="none"/>
          <w:lang w:eastAsia="zh-CN"/>
        </w:rPr>
        <w:t>我院</w:t>
      </w:r>
      <w:r>
        <w:rPr>
          <w:rFonts w:hint="eastAsia" w:ascii="仿宋_GB2312" w:hAnsi="仿宋_GB2312" w:eastAsia="仿宋_GB2312" w:cs="仿宋_GB2312"/>
          <w:color w:val="auto"/>
          <w:sz w:val="32"/>
          <w:szCs w:val="32"/>
          <w:highlight w:val="none"/>
          <w:lang w:val="en-US" w:eastAsia="zh-CN"/>
        </w:rPr>
        <w:t>将经营收入1000万上缴财政，同年年底拨付1000万元用于人员和商品服务支出，2020年结转财政拨款较多，故2021年财政拨款支出增加较多</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kern w:val="2"/>
          <w:sz w:val="32"/>
          <w:highlight w:val="none"/>
          <w:lang w:val="en-US"/>
        </w:rPr>
        <w:t>807.14</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城乡社区支出</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olor w:val="auto"/>
          <w:kern w:val="2"/>
          <w:sz w:val="32"/>
          <w:highlight w:val="none"/>
          <w:lang w:val="en-US"/>
        </w:rPr>
        <w:t>807.14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kern w:val="2"/>
          <w:sz w:val="32"/>
          <w:highlight w:val="none"/>
          <w:lang w:val="en-US"/>
        </w:rPr>
        <w:t>165.26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kern w:val="2"/>
          <w:sz w:val="32"/>
          <w:highlight w:val="none"/>
          <w:lang w:val="en-US"/>
        </w:rPr>
        <w:t>807.14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488.41</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城乡社区支出（类）城乡社区规划与管理（款）城乡社区规划与管理（项）。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165.26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kern w:val="2"/>
          <w:sz w:val="32"/>
          <w:highlight w:val="none"/>
          <w:lang w:val="en-US"/>
        </w:rPr>
        <w:t>807.14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488.41</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2020年9月</w:t>
      </w:r>
      <w:r>
        <w:rPr>
          <w:rFonts w:hint="eastAsia" w:ascii="仿宋_GB2312" w:hAnsi="仿宋_GB2312" w:eastAsia="仿宋_GB2312" w:cs="仿宋_GB2312"/>
          <w:color w:val="auto"/>
          <w:sz w:val="32"/>
          <w:szCs w:val="32"/>
          <w:highlight w:val="none"/>
          <w:lang w:eastAsia="zh-CN"/>
        </w:rPr>
        <w:t>我院</w:t>
      </w:r>
      <w:r>
        <w:rPr>
          <w:rFonts w:hint="eastAsia" w:ascii="仿宋_GB2312" w:hAnsi="仿宋_GB2312" w:eastAsia="仿宋_GB2312" w:cs="仿宋_GB2312"/>
          <w:color w:val="auto"/>
          <w:sz w:val="32"/>
          <w:szCs w:val="32"/>
          <w:highlight w:val="none"/>
          <w:lang w:val="en-US" w:eastAsia="zh-CN"/>
        </w:rPr>
        <w:t>将经营收入1000万上缴财政，同年年底拨付1000万元用于人员和商品服务支出，2020年结转财政拨款较多，故2021年财政拨款支出增加较多</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olor w:val="auto"/>
          <w:kern w:val="2"/>
          <w:sz w:val="32"/>
          <w:highlight w:val="none"/>
          <w:lang w:val="en-US"/>
        </w:rPr>
        <w:t>807.14</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olor w:val="auto"/>
          <w:kern w:val="2"/>
          <w:sz w:val="32"/>
          <w:highlight w:val="none"/>
          <w:lang w:val="en-US"/>
        </w:rPr>
        <w:t>507.41</w:t>
      </w:r>
      <w:r>
        <w:rPr>
          <w:rFonts w:hint="eastAsia" w:ascii="仿宋_GB2312" w:hAnsi="仿宋_GB2312" w:eastAsia="仿宋_GB2312" w:cs="仿宋_GB2312"/>
          <w:color w:val="auto"/>
          <w:sz w:val="32"/>
          <w:szCs w:val="32"/>
          <w:highlight w:val="none"/>
        </w:rPr>
        <w:t>万元，主要包括：基本工资、津贴补贴、绩效工资、机关事业单位基本养老保险缴费、职工基本医疗保险缴费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职业年金缴费、其他社会保障缴费、退休费、生活补助、住房公积金；公用经费</w:t>
      </w:r>
      <w:r>
        <w:rPr>
          <w:rFonts w:hint="eastAsia" w:ascii="仿宋_GB2312" w:hAnsi="仿宋_GB2312" w:eastAsia="仿宋_GB2312"/>
          <w:color w:val="auto"/>
          <w:kern w:val="2"/>
          <w:sz w:val="32"/>
          <w:highlight w:val="none"/>
          <w:lang w:val="en-US"/>
        </w:rPr>
        <w:t>299.74</w:t>
      </w:r>
      <w:r>
        <w:rPr>
          <w:rFonts w:hint="eastAsia" w:ascii="仿宋_GB2312" w:hAnsi="仿宋_GB2312" w:eastAsia="仿宋_GB2312" w:cs="仿宋_GB2312"/>
          <w:color w:val="auto"/>
          <w:sz w:val="32"/>
          <w:szCs w:val="32"/>
          <w:highlight w:val="none"/>
        </w:rPr>
        <w:t>万元，主要包括：办公费、邮电费、维修（护）费、培训费、委托业务费。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万元。具体情况如下：</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olor w:val="auto"/>
          <w:kern w:val="2"/>
          <w:sz w:val="32"/>
          <w:highlight w:val="none"/>
          <w:lang w:val="en-US" w:eastAsia="zh-CN"/>
        </w:rPr>
      </w:pP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olor w:val="auto"/>
          <w:kern w:val="2"/>
          <w:sz w:val="32"/>
          <w:highlight w:val="none"/>
          <w:lang w:val="en-US"/>
        </w:rPr>
        <w:t>因公出国（境）团组数0个，</w:t>
      </w:r>
      <w:r>
        <w:rPr>
          <w:rFonts w:hint="eastAsia" w:ascii="仿宋_GB2312" w:hAnsi="仿宋_GB2312" w:eastAsia="仿宋_GB2312"/>
          <w:color w:val="auto"/>
          <w:kern w:val="2"/>
          <w:sz w:val="32"/>
          <w:highlight w:val="none"/>
          <w:lang w:val="en-US" w:eastAsia="zh-CN"/>
        </w:rPr>
        <w:t>累计0人次</w:t>
      </w:r>
      <w:r>
        <w:rPr>
          <w:rFonts w:hint="eastAsia" w:ascii="仿宋_GB2312" w:hAnsi="仿宋_GB2312" w:eastAsia="仿宋_GB2312"/>
          <w:color w:val="auto"/>
          <w:kern w:val="2"/>
          <w:sz w:val="32"/>
          <w:highlight w:val="none"/>
          <w:lang w:val="en-US"/>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年度政府性基金预算财政拨款支出预算为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w:t>
      </w:r>
      <w:r>
        <w:rPr>
          <w:rFonts w:hint="eastAsia" w:ascii="仿宋_GB2312" w:hAnsi="仿宋_GB2312" w:eastAsia="仿宋_GB2312"/>
          <w:color w:val="auto"/>
          <w:sz w:val="32"/>
          <w:highlight w:val="none"/>
          <w:lang w:val="en-US"/>
        </w:rPr>
        <w:t>1137.34</w:t>
      </w:r>
      <w:r>
        <w:rPr>
          <w:rFonts w:hint="eastAsia" w:ascii="仿宋_GB2312" w:hAnsi="仿宋_GB2312" w:eastAsia="仿宋_GB2312" w:cs="仿宋_GB2312"/>
          <w:color w:val="auto"/>
          <w:sz w:val="32"/>
          <w:szCs w:val="32"/>
          <w:highlight w:val="none"/>
          <w:lang w:val="en-US" w:eastAsia="zh-CN"/>
        </w:rPr>
        <w:t>万元，其中：基本支出</w:t>
      </w:r>
      <w:r>
        <w:rPr>
          <w:rFonts w:hint="eastAsia" w:ascii="仿宋_GB2312" w:hAnsi="仿宋_GB2312" w:eastAsia="仿宋_GB2312"/>
          <w:color w:val="auto"/>
          <w:sz w:val="32"/>
          <w:highlight w:val="none"/>
          <w:lang w:val="en-US"/>
        </w:rPr>
        <w:t>1137.34</w:t>
      </w:r>
      <w:r>
        <w:rPr>
          <w:rFonts w:hint="eastAsia" w:ascii="仿宋_GB2312" w:hAnsi="仿宋_GB2312" w:eastAsia="仿宋_GB2312" w:cs="仿宋_GB2312"/>
          <w:color w:val="auto"/>
          <w:sz w:val="32"/>
          <w:szCs w:val="32"/>
          <w:highlight w:val="none"/>
          <w:lang w:val="en-US" w:eastAsia="zh-CN"/>
        </w:rPr>
        <w:t>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2021年以来进一步加强制度建设，积极参加业务培训，在单位内部加强宣传讲解，不断提升预算绩效管理水平。一是抓好绩效目标编制，及时报送绩效目标。二是探索绩效跟踪监控，不断加强过程监控，对基本支出采取半年报方式监控整体绩效运行信息。三是健全绩效管理工作机制，明确职责分工，积极参加财政部门专题培训，提高单位绩效管理工作水平。四是加强宣传，树立全单位绩效管理理念，进一步增强支出责任和效率意识，全面加强预算管理优化资源配置，提高资金使用绩效和科学精细化管理水平，提升工作执行力。   </w:t>
      </w:r>
      <w:r>
        <w:rPr>
          <w:rFonts w:hint="eastAsia" w:ascii="楷体_GB2312" w:hAnsi="楷体_GB2312" w:eastAsia="楷体_GB2312" w:cs="楷体_GB2312"/>
          <w:b/>
          <w:bCs/>
          <w:color w:val="auto"/>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市规划院在始终坚持围绕服务重点项目、全面推进业务工作开展的基础上，认真落实市局各项工作要求，在自然资源和规划系统新局面下积极主动探索新方向，做好各项重点任务的配合工作，聚焦主责主业，开展优质规划设计服务，全面完成了年度整体目标。规划方面，完成控制性详细规划36项，修建性详细规划6项，三维模型设计20项、日照分析17项；市政方面，完成道路及管线规划12项目，道路施工图5项，交通影响评价1项；测绘方面，完成地形图修测项目107项,建（构）筑物定位放线8项合计19件,道路设计放线及施工放线29项合计18公里,竣工测量项目3项合计8栋建筑；专项规划方面，配合完成许昌市5G基站建设发展专项规划（2021-2035年），生态许昌专项规划、许昌市历史文化名城保护规划、电气谷总体规划、鹿鸣湖西侧景观绿化、许东生态城用地布局优化等大型专项规划项目，正加快推进通风廊道规划、襄城县教育“十四五”规划、新能源车充电桩规划编制。同时，作为许昌市海绵城市技术服务单位，今年以来为设计单位提供各项设计指标控制102项，完成方案审查58项，施工图审查37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kern w:val="2"/>
          <w:sz w:val="32"/>
          <w:szCs w:val="32"/>
          <w:highlight w:val="none"/>
          <w:shd w:val="clear" w:color="auto" w:fill="auto"/>
          <w:lang w:val="en-US" w:eastAsia="zh-CN"/>
        </w:rPr>
        <w:t xml:space="preserve">    2021年我单位没有开展重点绩效评价的项目。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MX0r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gTOnLB04b++fv/54xt7n7zp&#10;A1bU8hyeYMqQwiR0aMGmN0lgQ/bzfPFTDZFJKi7Xq/W6JKslnc0J4RQvnwfAeK+8ZSmoOdCFZR/F&#10;6QHj2Dq3pGnO32ljqC4q4/4qEGaqFInxyDFFcdgPE/G9b84ktae7rrmj1ebMfHRkZVqLOYA52M/B&#10;MYA+dERtmXlhuD1GIpG5pQkj7DSYLimrmxYqbcGfee5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qoxfSsABAACMAwAADgAAAAAAAAABACAAAAAfAQAAZHJzL2Uyb0RvYy54bWxQSwUG&#10;AAAAAAYABgBZAQAAUQ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mfUO/AQAAjAMAAA4AAABkcnMvZTJvRG9jLnhtbK1TzYrbMBC+F/oO&#10;QvfGdgo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5c8LShf/6+v3nj2+sSt4M&#10;AWtqeQwPMGdIYRI6dmDTmySwMft5ufqpxsgkFavNerMpyWpJZ0tCOMXT5wEw3itvWQoaDnRh2Udx&#10;/oBxal1a0jTn77QxVBe1cX8VCDNVisR44piiOB7GmfjBtxeSOtBdN9zRanNm3juyMq3FEsASHJbg&#10;FEAfe6JWZV4Ybk+RSGRuacIEOw+mS8rq5oVKW/BnnruefqL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7pn1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3"/>
    <w:multiLevelType w:val="singleLevel"/>
    <w:tmpl w:val="00000003"/>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79167E4"/>
    <w:rsid w:val="5F8A169E"/>
    <w:rsid w:val="732F57E4"/>
    <w:rsid w:val="79516F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9">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uiPriority w:val="0"/>
    <w:pPr>
      <w:jc w:val="left"/>
    </w:pPr>
    <w:rPr>
      <w:rFonts w:ascii="Times New Roman" w:hAnsi="Times New Roman" w:eastAsia="宋体" w:cs="Times New Roman"/>
    </w:rPr>
  </w:style>
  <w:style w:type="paragraph" w:styleId="3">
    <w:name w:val="Body Text"/>
    <w:basedOn w:val="1"/>
    <w:next w:val="1"/>
    <w:qFormat/>
    <w:uiPriority w:val="0"/>
  </w:style>
  <w:style w:type="paragraph" w:styleId="4">
    <w:name w:val="Balloon Text"/>
    <w:basedOn w:val="1"/>
    <w:link w:val="12"/>
    <w:qFormat/>
    <w:uiPriority w:val="0"/>
    <w:rPr>
      <w:kern w:val="2"/>
      <w:sz w:val="18"/>
      <w:szCs w:val="18"/>
    </w:rPr>
  </w:style>
  <w:style w:type="paragraph" w:styleId="5">
    <w:name w:val="footer"/>
    <w:basedOn w:val="1"/>
    <w:link w:val="13"/>
    <w:qFormat/>
    <w:uiPriority w:val="0"/>
    <w:pPr>
      <w:tabs>
        <w:tab w:val="center" w:pos="4153"/>
        <w:tab w:val="right" w:pos="8306"/>
      </w:tabs>
      <w:snapToGrid w:val="0"/>
      <w:jc w:val="left"/>
    </w:pPr>
    <w:rPr>
      <w:kern w:val="2"/>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kern w:val="2"/>
      <w:sz w:val="18"/>
      <w:szCs w:val="18"/>
    </w:rPr>
  </w:style>
  <w:style w:type="paragraph" w:styleId="7">
    <w:name w:val="Body Text First Indent"/>
    <w:basedOn w:val="3"/>
    <w:qFormat/>
    <w:uiPriority w:val="0"/>
    <w:pPr>
      <w:ind w:firstLine="420" w:firstLineChars="100"/>
    </w:pPr>
  </w:style>
  <w:style w:type="character" w:styleId="10">
    <w:name w:val="FollowedHyperlink"/>
    <w:qFormat/>
    <w:uiPriority w:val="0"/>
    <w:rPr>
      <w:color w:val="800080"/>
      <w:u w:val="single"/>
    </w:rPr>
  </w:style>
  <w:style w:type="character" w:styleId="11">
    <w:name w:val="Hyperlink"/>
    <w:uiPriority w:val="0"/>
    <w:rPr>
      <w:color w:val="0000FF"/>
      <w:u w:val="single"/>
    </w:rPr>
  </w:style>
  <w:style w:type="character" w:customStyle="1" w:styleId="12">
    <w:name w:val="批注框文本 Char Char"/>
    <w:link w:val="4"/>
    <w:qFormat/>
    <w:uiPriority w:val="0"/>
    <w:rPr>
      <w:kern w:val="2"/>
      <w:sz w:val="18"/>
      <w:szCs w:val="18"/>
    </w:rPr>
  </w:style>
  <w:style w:type="character" w:customStyle="1" w:styleId="13">
    <w:name w:val="页脚 Char Char"/>
    <w:link w:val="5"/>
    <w:qFormat/>
    <w:uiPriority w:val="0"/>
    <w:rPr>
      <w:kern w:val="2"/>
      <w:sz w:val="18"/>
      <w:szCs w:val="18"/>
    </w:rPr>
  </w:style>
  <w:style w:type="character" w:customStyle="1" w:styleId="14">
    <w:name w:val="页眉 Char Char"/>
    <w:link w:val="6"/>
    <w:qFormat/>
    <w:uiPriority w:val="0"/>
    <w:rPr>
      <w:kern w:val="2"/>
      <w:sz w:val="18"/>
      <w:szCs w:val="18"/>
    </w:rPr>
  </w:style>
  <w:style w:type="character" w:customStyle="1" w:styleId="15">
    <w:name w:val="font4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01"/>
    <w:uiPriority w:val="0"/>
    <w:rPr>
      <w:rFonts w:hint="eastAsia" w:ascii="宋体" w:hAnsi="宋体" w:eastAsia="宋体" w:cs="宋体"/>
      <w:color w:val="000000"/>
      <w:sz w:val="22"/>
      <w:szCs w:val="22"/>
      <w:u w:val="none"/>
    </w:rPr>
  </w:style>
  <w:style w:type="character" w:customStyle="1" w:styleId="19">
    <w:name w:val="font2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7483</Words>
  <Characters>8663</Characters>
  <Lines>60</Lines>
  <Paragraphs>16</Paragraphs>
  <TotalTime>2</TotalTime>
  <ScaleCrop>false</ScaleCrop>
  <LinksUpToDate>false</LinksUpToDate>
  <CharactersWithSpaces>9264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2023-02-15T23:27:00Z</dcterms:created>
  <dc:creator>管理者</dc:creator>
  <cp:lastModifiedBy>悟の</cp:lastModifiedBy>
  <dcterms:modified xsi:type="dcterms:W3CDTF">2023-09-17T11:08:32Z</dcterms:modified>
  <dc:title>Administrator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CBC217E9D5BC49B8BDE1AB0B07DED8D1_13</vt:lpwstr>
  </property>
</Properties>
</file>