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许昌市自然资源和规划局（本级）单位决算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二年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许昌市自然资源和规划局</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本级</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年度单位决算</w:t>
      </w:r>
      <w:r>
        <w:rPr>
          <w:rFonts w:hint="eastAsia" w:ascii="黑体" w:hAnsi="黑体" w:eastAsia="黑体" w:cs="黑体"/>
          <w:color w:val="auto"/>
          <w:sz w:val="32"/>
          <w:szCs w:val="32"/>
          <w:highlight w:val="none"/>
        </w:rPr>
        <w:t>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w:t>
      </w:r>
      <w:r>
        <w:rPr>
          <w:rFonts w:hint="eastAsia" w:ascii="宋体" w:hAnsi="宋体" w:cs="宋体"/>
          <w:color w:val="auto"/>
          <w:sz w:val="32"/>
          <w:szCs w:val="32"/>
          <w:highlight w:val="none"/>
          <w:lang w:eastAsia="zh-CN"/>
        </w:rPr>
        <w:t>明细</w:t>
      </w:r>
      <w:r>
        <w:rPr>
          <w:rFonts w:hint="eastAsia" w:ascii="宋体" w:hAnsi="宋体" w:eastAsia="宋体" w:cs="宋体"/>
          <w:color w:val="auto"/>
          <w:sz w:val="32"/>
          <w:szCs w:val="32"/>
          <w:highlight w:val="none"/>
        </w:rPr>
        <w:t>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八</w:t>
      </w:r>
      <w:r>
        <w:rPr>
          <w:rFonts w:hint="eastAsia" w:ascii="宋体" w:hAnsi="宋体" w:eastAsia="宋体" w:cs="宋体"/>
          <w:color w:val="auto"/>
          <w:sz w:val="32"/>
          <w:szCs w:val="32"/>
          <w:highlight w:val="none"/>
        </w:rPr>
        <w:t>、政府性基金预算财政拨款支出决算情况说明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九</w:t>
      </w:r>
      <w:r>
        <w:rPr>
          <w:rFonts w:hint="eastAsia" w:ascii="宋体" w:hAnsi="宋体" w:eastAsia="宋体" w:cs="宋体"/>
          <w:color w:val="auto"/>
          <w:sz w:val="32"/>
          <w:szCs w:val="32"/>
          <w:highlight w:val="none"/>
        </w:rPr>
        <w:t>、机关运行经费支出情况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w:t>
      </w:r>
      <w:r>
        <w:rPr>
          <w:rFonts w:hint="eastAsia" w:ascii="宋体" w:hAnsi="宋体" w:cs="宋体"/>
          <w:color w:val="auto"/>
          <w:sz w:val="32"/>
          <w:szCs w:val="32"/>
          <w:highlight w:val="none"/>
          <w:lang w:eastAsia="zh-CN"/>
        </w:rPr>
        <w:t>一</w:t>
      </w:r>
      <w:r>
        <w:rPr>
          <w:rFonts w:hint="eastAsia" w:ascii="宋体" w:hAnsi="宋体" w:eastAsia="宋体" w:cs="宋体"/>
          <w:color w:val="auto"/>
          <w:sz w:val="32"/>
          <w:szCs w:val="32"/>
          <w:highlight w:val="none"/>
          <w:lang w:eastAsia="zh-CN"/>
        </w:rPr>
        <w:t>、国有资产占用情况说明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numPr>
          <w:ilvl w:val="0"/>
          <w:numId w:val="2"/>
        </w:numPr>
        <w:jc w:val="center"/>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许昌市自然资源和规划局</w:t>
      </w:r>
    </w:p>
    <w:p>
      <w:pPr>
        <w:widowControl/>
        <w:numPr>
          <w:ilvl w:val="0"/>
          <w:numId w:val="0"/>
        </w:numPr>
        <w:ind w:firstLine="3840" w:firstLineChars="800"/>
        <w:jc w:val="both"/>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w:t>
      </w:r>
      <w:r>
        <w:rPr>
          <w:rFonts w:hint="eastAsia" w:ascii="黑体" w:hAnsi="黑体" w:eastAsia="黑体" w:cs="黑体"/>
          <w:color w:val="auto"/>
          <w:sz w:val="48"/>
          <w:szCs w:val="48"/>
          <w:highlight w:val="none"/>
          <w:lang w:eastAsia="zh-CN"/>
        </w:rPr>
        <w:t>本级</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color w:val="auto"/>
          <w:sz w:val="32"/>
          <w:szCs w:val="32"/>
          <w:highlight w:val="none"/>
        </w:rPr>
        <w:t>职责</w:t>
      </w:r>
    </w:p>
    <w:p>
      <w:pPr>
        <w:adjustRightInd w:val="0"/>
        <w:snapToGrid w:val="0"/>
        <w:spacing w:line="6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履行全市全民所有土地、矿产、森林、草原、湿地、水等自然资源资产所有者职责和所有国土空间用途管制职责。贯彻执行自然资源和国土空间规划及测绘等法律法规，起草相关地方性法规、规章草案并监督检查执行情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（二）负责全市自然资源调查监测评价。贯彻执行国家自然资源调查监测评价的指标体系和统计标准</w:t>
      </w:r>
      <w:r>
        <w:rPr>
          <w:rFonts w:ascii="仿宋_GB2312" w:eastAsia="仿宋_GB2312"/>
          <w:color w:val="auto"/>
          <w:sz w:val="32"/>
          <w:szCs w:val="32"/>
          <w:highlight w:val="none"/>
        </w:rPr>
        <w:t>,</w:t>
      </w:r>
      <w:r>
        <w:rPr>
          <w:rFonts w:hint="eastAsia" w:ascii="仿宋_GB2312" w:eastAsia="仿宋_GB2312"/>
          <w:color w:val="auto"/>
          <w:sz w:val="32"/>
          <w:szCs w:val="32"/>
          <w:highlight w:val="none"/>
        </w:rPr>
        <w:t>建立统一规范的自然资源调查监测评价制度。实施自然资源基础调查、专项调查和监测。负责自然资源调查监测评价成果的监督管理和信息发布。指导全市自然资源调查监测评价工作。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负责全市自然资源统一确权登记工作。贯彻执行国家各类自然资源和不动产统一确权登记、权籍调查、不动产测绘、争议调处、成果应用的制度、标准、规范。建立健全全市自然资源和不动产登记信息管理基础平台。负责自然资源和不动产登记资料收集、整理、共享、汇交管理等。指导监督全市自然资源和不动产确权登记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负责全市自然资源资产有偿使用工作。贯彻执行国家全民所有自然资源资产统计制度，负责全民所有自然资源资产核算，编制全民所有自然资源资产负债表。根据全民所有自然资源资产划拨、出让、租赁、作价出资和土地储备政策，合理配置全民所有自然资源资产并监督实施。负责自然资源资产价值评估管理，依法收缴相关资产收益。</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负责全市自然资源的合理开发利用。组织拟订全市自然资源发展规划，贯彻国家自然资源开发利用标准并组织实施，建立政府公示自然资源价格体系，组织开展自然资源分等定级价格评估、自然资源利用评价考核，指导节约集约利用。负责自然资源市场监管。组织研究自然资源管理涉及宏观调控、区域协调和城乡统筹的政策措施。组织编制并监督执行全市森林采伐限额。负责林地管理，拟订林地保护利用规划并组织实施。指导公益林划定和管理工作，管理国有森林资源，负责草原禁牧，草畜平衡和草原生态修复治理工作，监督管理草原的开发利用。负责湿地生态保护修复工作，拟订全市湿地保护规划和相关地方标准，监督管理湿地的开发利用。指导基层林业工作站的建设和管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负责建立全市空间规划体系并监督实施。落实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相关措施并监督实施。组织拟订并实施土地等自然资源年度利用计划。负责土地等国土空间用途转用工作。负责土地征收征用管理。</w:t>
      </w:r>
    </w:p>
    <w:p>
      <w:pPr>
        <w:spacing w:line="56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七）负责市级规划的编制和审查报批，指导县（市、区）各类规划的编制并监督实施。负责城市规划区及市政府确定的规划管理区域内建设项目的选址、用地、工程规划管理和规划核实，核发《建设项目选址意见书》、《建设用地规划许可证》、《建设工程规划许可证》；负责全市村镇规划的规范、指导、监督工作；拟定小城镇和村庄规划有关规定、发展规划并指导实施；负责市级以上风景名胜区、风景园林规划的有关工作。负责城建重点项目的谋划、规划技术服务和督导工作；管理全市规划设计市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负责统筹全市国土空间生态修复。牵头组织编制国土空间生态修复规划并实施有关生态修复重大工程。负责自然资源生态修复、国土空间综合整治、土地整理复垦、矿山地质环境恢复治理、绿化造林、防沙治沙等工作。牵头建立和实施生态保护补偿制度，制定合理利用社会资金进行生态修复的相关措施，提出重大备选项目。指导公益林和商品林的培育，指导、监督全民义务植树、城乡绿化工作。指导林业有害生物防治、检疫工作。承担林业和草原应对气候</w:t>
      </w:r>
      <w:r>
        <w:rPr>
          <w:rFonts w:hint="eastAsia" w:ascii="仿宋_GB2312" w:hAnsi="仿宋_GB2312" w:eastAsia="仿宋_GB2312" w:cs="仿宋_GB2312"/>
          <w:color w:val="auto"/>
          <w:sz w:val="32"/>
          <w:szCs w:val="32"/>
          <w:highlight w:val="none"/>
        </w:rPr>
        <w:t>变化的</w:t>
      </w:r>
      <w:r>
        <w:rPr>
          <w:rFonts w:hint="eastAsia" w:ascii="仿宋_GB2312" w:eastAsia="仿宋_GB2312"/>
          <w:color w:val="auto"/>
          <w:sz w:val="32"/>
          <w:szCs w:val="32"/>
          <w:highlight w:val="none"/>
        </w:rPr>
        <w:t>相关工作。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九）负责组织实施最严格的耕地保护制度。落实国家耕地保护政策，负责耕地数量、质量、生态保护。组织实施耕地保护责任目标考核和永久基本农田特殊保护。完善耕地占补平衡制度，监督占用耕地补偿制度执行情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（十）负责监督管理荒漠化防治工作。组织开展荒漠化调查。组织拟订全市防沙治沙、石漠化防治建设规划，拟订相关地方标准，监督管理沙化土地的开发利用。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一）负责陆生野生动植物资源监督管理。组织开展陆生野生动植物资源调查，拟订及调整市重点保护陆生野生动物、植物名录，报市政府批准后发布。指导陆生野生动植物的救护繁育、栖息地恢复发展、疫源疫病监测，监督管理陆生野生动植物猎捕或采集、驯养繁殖或培植、经营利用，按分工监督管理野生动植物进出口。承担全市濒危物种进出口和国家保护的野生动植物及其产品的出口审核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二）负责全市各类自然保护地监督管理。落实自然保护地规划和相关地方标准。根据授权负责国家公园等自然保护地的自然资源资产管理和国土空间用途管制。协助组织申报国家级、省级自然保护地，提出新建、调整各类市级自然保护地的审核建议并按程序报批。协助组织开展世界自然遗产的申报，会同有关部门组织开展世界自然和文化双重遗产的申报</w:t>
      </w:r>
      <w:r>
        <w:rPr>
          <w:rFonts w:hint="eastAsia" w:ascii="仿宋_GB2312" w:hAnsi="仿宋_GB2312" w:eastAsia="仿宋_GB2312" w:cs="仿宋_GB2312"/>
          <w:color w:val="auto"/>
          <w:sz w:val="32"/>
          <w:szCs w:val="32"/>
          <w:highlight w:val="none"/>
        </w:rPr>
        <w:t>。负责生物多样性保护有关</w:t>
      </w:r>
      <w:r>
        <w:rPr>
          <w:rFonts w:hint="eastAsia" w:ascii="仿宋_GB2312" w:eastAsia="仿宋_GB2312"/>
          <w:color w:val="auto"/>
          <w:sz w:val="32"/>
          <w:szCs w:val="32"/>
          <w:highlight w:val="none"/>
        </w:rPr>
        <w:t>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（十三）负责推进林业和草原改革相关工作。拟订全市集体林权制度、国有林场、草原</w:t>
      </w:r>
      <w:r>
        <w:rPr>
          <w:rFonts w:hint="eastAsia" w:ascii="仿宋_GB2312" w:hAnsi="仿宋_GB2312" w:eastAsia="仿宋_GB2312" w:cs="仿宋_GB2312"/>
          <w:color w:val="auto"/>
          <w:sz w:val="32"/>
          <w:szCs w:val="32"/>
          <w:highlight w:val="none"/>
        </w:rPr>
        <w:t>等重大改革意见并监督实施。拟订全市农村</w:t>
      </w:r>
      <w:r>
        <w:rPr>
          <w:rFonts w:hint="eastAsia" w:ascii="仿宋_GB2312" w:eastAsia="仿宋_GB2312"/>
          <w:color w:val="auto"/>
          <w:sz w:val="32"/>
          <w:szCs w:val="32"/>
          <w:highlight w:val="none"/>
        </w:rPr>
        <w:t>林业发展、维护林业经营者合法权益的相关措施，指导农村林地承包经营工作。开展退耕（牧）还林还草，负责天然林保护工作。拟订林业和草原资源优化配置及木材利用相关措施，拟订相关林业产业地方标准并监督实施，组织指导林产品质量监督。指导生态扶贫相关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指导国有林场基本建设和发展，承担经济林、花卉管理工作。组织林木种子、草种种质资源普查，组织建立种质资源库，负责良种选育推广，管理林木种苗、草种生产经营行为，监管林木种苗、草种质量。监督管理林业和草原生物种质资源、转基因生物安全、植物新品种保护。指导全市花卉苗木资源化配置和产品质量监督工作，指导有关花卉苗木的展会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五）负责落实综合防灾减灾规划相关要求，组织编制森林和草原火灾防治规划和防护标准并指导实施，指导开展防火巡护、火源管理、防火设施建设等工作。组织指导国有林场和草原开展防火宣传教育、监测预警、督促检查等工作。必要时，可以提请应急管理部门，以市级应急指挥机构名义，部署相关防治工作。依法履行林业安全生产监督管理职责，指导全市国有林场的安全监督管理工作。负责林业系统安全生产统计分析，依法参加有关事故的调查处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六）监督管理林业和草原中央和省、市级资金及国有资产。提出林业和草原预算内投资、省、市级财政性资金安排建议；按规定权限审核省、市级规划内和年度计划内投资项目。参与拟订林业和草原经济调节相关措施，组织实施林业和草原生态补偿工作。</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w:t>
      </w:r>
      <w:r>
        <w:rPr>
          <w:rFonts w:hint="eastAsia" w:ascii="仿宋_GB2312" w:eastAsia="仿宋_GB2312"/>
          <w:color w:val="auto"/>
          <w:sz w:val="32"/>
          <w:szCs w:val="32"/>
          <w:highlight w:val="none"/>
        </w:rPr>
        <w:t>十七</w:t>
      </w:r>
      <w:r>
        <w:rPr>
          <w:rFonts w:ascii="仿宋_GB2312" w:eastAsia="仿宋_GB2312"/>
          <w:color w:val="auto"/>
          <w:sz w:val="32"/>
          <w:szCs w:val="32"/>
          <w:highlight w:val="none"/>
        </w:rPr>
        <w:t>)</w:t>
      </w:r>
      <w:r>
        <w:rPr>
          <w:rFonts w:hint="eastAsia" w:ascii="仿宋_GB2312" w:eastAsia="仿宋_GB2312"/>
          <w:color w:val="auto"/>
          <w:sz w:val="32"/>
          <w:szCs w:val="32"/>
          <w:highlight w:val="none"/>
        </w:rPr>
        <w:t>负责管理全市地质勘查行业和地质工作。编制地质勘查规划并监督检查执行情况。管理地质勘查项目。监督管理地下水过量开采及引发的地面沉降等地质问题。负责古生物化石的监督管理。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八）负责全市地质灾害预防和治理。负责落实综合防灾减灾规划相关要求，编制地质灾害防治规划和防护标准并指导实施。管理市财政出资的地质灾害预防和治理项目，组织指导协调和监督地质灾害调查评价及隐患的普查、详查、排查。指导开展群测群防、专业监测和预报预警等工作，指导开展地质灾害工程治理工作。按规定权限管理地质灾害预防治理等相关资质。承担地质灾害应急救援的技术支撑工作。</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w:t>
      </w:r>
      <w:r>
        <w:rPr>
          <w:rFonts w:hint="eastAsia" w:ascii="仿宋_GB2312" w:eastAsia="仿宋_GB2312"/>
          <w:color w:val="auto"/>
          <w:sz w:val="32"/>
          <w:szCs w:val="32"/>
          <w:highlight w:val="none"/>
        </w:rPr>
        <w:t>十九</w:t>
      </w:r>
      <w:r>
        <w:rPr>
          <w:rFonts w:ascii="仿宋_GB2312" w:eastAsia="仿宋_GB2312"/>
          <w:color w:val="auto"/>
          <w:sz w:val="32"/>
          <w:szCs w:val="32"/>
          <w:highlight w:val="none"/>
        </w:rPr>
        <w:t>)</w:t>
      </w:r>
      <w:r>
        <w:rPr>
          <w:rFonts w:hint="eastAsia" w:ascii="仿宋_GB2312" w:eastAsia="仿宋_GB2312"/>
          <w:color w:val="auto"/>
          <w:sz w:val="32"/>
          <w:szCs w:val="32"/>
          <w:highlight w:val="none"/>
        </w:rPr>
        <w:t>负责全市矿业权管理工作。负责矿业权出让及审批登记管理。指导全市矿业权审批登记工作，调处重大权属纠纷。会同有关部门承担保护性开采矿种的总量调控及相关管理工作。</w:t>
      </w:r>
    </w:p>
    <w:p>
      <w:pPr>
        <w:spacing w:line="56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（二十）负责全市矿产资源保护与监督工作。拟订全市矿产资源规范性文件和规划并组织实施。负责全市矿产资源储量管理，负责压覆矿产资源审批。监督指导矿产资源合理利用和保护。监督指导地质资料管理。</w:t>
      </w:r>
    </w:p>
    <w:p>
      <w:pPr>
        <w:spacing w:line="56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二十一）负责全市测绘地理信息管理工作。负责基础测绘、地理国情监测及测绘行业管理。负责测绘资质资格与信用管理、监督管理地理信息安全和市场秩序。负责地理信息公共服务管理。负责测绘标志保护。会同有关部门规范和监督指导卫星导航定位基准站的建设运行维护。</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十二）推动全市自然资源和规划领域科技发展。制定并实施自然资源和规划领域科技创新发展、人才培养规划和计划。组织制定技术标准、规程规范并监督实施。组织实施重大科技工程及创新能力建设，推进自然资源和规划信息化和信息资料的公共服务。开展全市自然资源和规划领域对外合作。</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w:t>
      </w:r>
      <w:r>
        <w:rPr>
          <w:rFonts w:hint="eastAsia" w:ascii="仿宋_GB2312" w:eastAsia="仿宋_GB2312"/>
          <w:color w:val="auto"/>
          <w:sz w:val="32"/>
          <w:szCs w:val="32"/>
          <w:highlight w:val="none"/>
        </w:rPr>
        <w:t>二十三</w:t>
      </w:r>
      <w:r>
        <w:rPr>
          <w:rFonts w:ascii="仿宋_GB2312" w:eastAsia="仿宋_GB2312"/>
          <w:color w:val="auto"/>
          <w:sz w:val="32"/>
          <w:szCs w:val="32"/>
          <w:highlight w:val="none"/>
        </w:rPr>
        <w:t>)</w:t>
      </w:r>
      <w:r>
        <w:rPr>
          <w:rFonts w:hint="eastAsia" w:ascii="仿宋_GB2312" w:eastAsia="仿宋_GB2312"/>
          <w:color w:val="auto"/>
          <w:sz w:val="32"/>
          <w:szCs w:val="32"/>
          <w:highlight w:val="none"/>
        </w:rPr>
        <w:t>根据市委、市政府授权或自然资源督察机构安排，对县（市、区）人民政府落实党中央、国务院和省委、省政府及市委、市政府关于自然资源和国土空间规划的重大方针政策、决策部署及法律法规执行情况进行督察。查处自然资源开发利用和国土空间规划及测绘重大违法案件。指导全市自然资源和规划有关行政执法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许昌市自然资源和规划局(本级)内设机构23个，包括：</w:t>
      </w:r>
      <w:r>
        <w:rPr>
          <w:rFonts w:hint="eastAsia" w:ascii="仿宋_GB2312" w:hAnsi="仿宋_GB2312" w:eastAsia="仿宋_GB2312" w:cs="仿宋_GB2312"/>
          <w:color w:val="auto"/>
          <w:sz w:val="32"/>
          <w:szCs w:val="32"/>
          <w:highlight w:val="none"/>
        </w:rPr>
        <w:t>办公室、宏观调控科、政策法规科、自然资源调查监测科、自然资源开发利用和所有者权益科、国土空间用途管制科、国土空间规划科、市委城乡规划委员会办公室秘书科（规划管理科）、建设项目管理科、市政交通科、国土空间生态修复科、耕地保护监督科、地质勘查与矿业权管理科、矿产资源保护监督科、测绘地理信息管理科、造林绿化管理科（许昌市绿化委员会办公室）、种苗和花卉产业发展管理科、森林资源保护管理科、防灾减灾科、许昌市自然资源督察办公室（信访科）、财务与审计科、人事科、政务服务科。</w:t>
      </w:r>
    </w:p>
    <w:p>
      <w:pPr>
        <w:adjustRightInd w:val="0"/>
        <w:snapToGrid w:val="0"/>
        <w:spacing w:line="600" w:lineRule="exact"/>
        <w:ind w:firstLine="640" w:firstLineChars="200"/>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从决算单位构成看，许昌市自然资源和规划局（本级）</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包括</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eastAsia="zh-CN"/>
        </w:rPr>
        <w:t>本级决算 (1个)。</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纳入本单位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编制范围的单位共1个，具体是：</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许昌市自然资源和规划局（本级）</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10"/>
        <w:tblW w:w="14078" w:type="dxa"/>
        <w:tblInd w:w="96" w:type="dxa"/>
        <w:tblLayout w:type="fixed"/>
        <w:tblCellMar>
          <w:top w:w="0" w:type="dxa"/>
          <w:left w:w="108" w:type="dxa"/>
          <w:bottom w:w="0" w:type="dxa"/>
          <w:right w:w="108" w:type="dxa"/>
        </w:tblCellMar>
      </w:tblPr>
      <w:tblGrid>
        <w:gridCol w:w="3638"/>
        <w:gridCol w:w="660"/>
        <w:gridCol w:w="2416"/>
        <w:gridCol w:w="3765"/>
        <w:gridCol w:w="645"/>
        <w:gridCol w:w="2954"/>
      </w:tblGrid>
      <w:tr>
        <w:tblPrEx>
          <w:tblCellMar>
            <w:top w:w="0" w:type="dxa"/>
            <w:left w:w="108" w:type="dxa"/>
            <w:bottom w:w="0" w:type="dxa"/>
            <w:right w:w="108" w:type="dxa"/>
          </w:tblCellMar>
        </w:tblPrEx>
        <w:trPr>
          <w:trHeight w:val="240" w:hRule="atLeast"/>
        </w:trPr>
        <w:tc>
          <w:tcPr>
            <w:tcW w:w="14078" w:type="dxa"/>
            <w:gridSpan w:val="6"/>
            <w:tcBorders>
              <w:top w:val="nil"/>
              <w:left w:val="nil"/>
              <w:bottom w:val="nil"/>
              <w:right w:val="nil"/>
            </w:tcBorders>
            <w:noWrap/>
            <w:vAlign w:val="bottom"/>
          </w:tcPr>
          <w:p>
            <w:pPr>
              <w:widowControl/>
              <w:jc w:val="center"/>
              <w:textAlignment w:val="bottom"/>
              <w:rPr>
                <w:rFonts w:hint="eastAsia" w:ascii="宋体" w:hAnsi="宋体" w:cs="宋体"/>
                <w:color w:val="auto"/>
                <w:sz w:val="20"/>
                <w:szCs w:val="20"/>
                <w:highlight w:val="none"/>
              </w:rPr>
            </w:pPr>
            <w:r>
              <w:rPr>
                <w:rFonts w:hint="eastAsia" w:ascii="华文中宋" w:hAnsi="华文中宋" w:eastAsia="华文中宋" w:cs="华文中宋"/>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282" w:hRule="atLeast"/>
        </w:trPr>
        <w:tc>
          <w:tcPr>
            <w:tcW w:w="3638" w:type="dxa"/>
            <w:tcBorders>
              <w:top w:val="nil"/>
              <w:left w:val="nil"/>
              <w:bottom w:val="nil"/>
              <w:right w:val="nil"/>
            </w:tcBorders>
            <w:noWrap/>
            <w:vAlign w:val="bottom"/>
          </w:tcPr>
          <w:p>
            <w:pPr>
              <w:rPr>
                <w:rFonts w:hint="eastAsia" w:ascii="Arial" w:hAnsi="Arial" w:cs="Arial"/>
                <w:color w:val="auto"/>
                <w:sz w:val="20"/>
                <w:szCs w:val="20"/>
                <w:highlight w:val="none"/>
              </w:rPr>
            </w:pPr>
          </w:p>
        </w:tc>
        <w:tc>
          <w:tcPr>
            <w:tcW w:w="660" w:type="dxa"/>
            <w:tcBorders>
              <w:top w:val="nil"/>
              <w:left w:val="nil"/>
              <w:bottom w:val="nil"/>
              <w:right w:val="nil"/>
            </w:tcBorders>
            <w:noWrap/>
            <w:vAlign w:val="bottom"/>
          </w:tcPr>
          <w:p>
            <w:pPr>
              <w:rPr>
                <w:rFonts w:ascii="Arial" w:hAnsi="Arial" w:cs="Arial"/>
                <w:color w:val="auto"/>
                <w:sz w:val="20"/>
                <w:szCs w:val="20"/>
                <w:highlight w:val="none"/>
              </w:rPr>
            </w:pPr>
          </w:p>
        </w:tc>
        <w:tc>
          <w:tcPr>
            <w:tcW w:w="2416" w:type="dxa"/>
            <w:tcBorders>
              <w:top w:val="nil"/>
              <w:left w:val="nil"/>
              <w:bottom w:val="nil"/>
              <w:right w:val="nil"/>
            </w:tcBorders>
            <w:noWrap/>
            <w:vAlign w:val="bottom"/>
          </w:tcPr>
          <w:p>
            <w:pPr>
              <w:rPr>
                <w:rFonts w:ascii="Arial" w:hAnsi="Arial" w:cs="Arial"/>
                <w:color w:val="auto"/>
                <w:sz w:val="20"/>
                <w:szCs w:val="20"/>
                <w:highlight w:val="none"/>
              </w:rPr>
            </w:pPr>
          </w:p>
        </w:tc>
        <w:tc>
          <w:tcPr>
            <w:tcW w:w="3765" w:type="dxa"/>
            <w:tcBorders>
              <w:top w:val="nil"/>
              <w:left w:val="nil"/>
              <w:bottom w:val="nil"/>
              <w:right w:val="nil"/>
            </w:tcBorders>
            <w:noWrap/>
            <w:vAlign w:val="bottom"/>
          </w:tcPr>
          <w:p>
            <w:pPr>
              <w:rPr>
                <w:rFonts w:ascii="Arial" w:hAnsi="Arial" w:cs="Arial"/>
                <w:color w:val="auto"/>
                <w:sz w:val="20"/>
                <w:szCs w:val="20"/>
                <w:highlight w:val="none"/>
              </w:rPr>
            </w:pPr>
          </w:p>
        </w:tc>
        <w:tc>
          <w:tcPr>
            <w:tcW w:w="645" w:type="dxa"/>
            <w:tcBorders>
              <w:top w:val="nil"/>
              <w:left w:val="nil"/>
              <w:bottom w:val="nil"/>
              <w:right w:val="nil"/>
            </w:tcBorders>
            <w:noWrap/>
            <w:vAlign w:val="bottom"/>
          </w:tcPr>
          <w:p>
            <w:pPr>
              <w:rPr>
                <w:rFonts w:ascii="Arial" w:hAnsi="Arial" w:cs="Arial"/>
                <w:color w:val="auto"/>
                <w:sz w:val="20"/>
                <w:szCs w:val="20"/>
                <w:highlight w:val="none"/>
              </w:rPr>
            </w:pPr>
          </w:p>
        </w:tc>
        <w:tc>
          <w:tcPr>
            <w:tcW w:w="2954"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240" w:hRule="atLeast"/>
        </w:trPr>
        <w:tc>
          <w:tcPr>
            <w:tcW w:w="6714" w:type="dxa"/>
            <w:gridSpan w:val="3"/>
            <w:tcBorders>
              <w:top w:val="nil"/>
              <w:left w:val="nil"/>
              <w:bottom w:val="nil"/>
              <w:right w:val="nil"/>
            </w:tcBorders>
            <w:noWrap/>
            <w:vAlign w:val="bottom"/>
          </w:tcPr>
          <w:p>
            <w:pPr>
              <w:widowControl/>
              <w:jc w:val="lef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单位</w:t>
            </w:r>
            <w:r>
              <w:rPr>
                <w:rFonts w:hint="eastAsia" w:ascii="宋体" w:hAnsi="宋体" w:cs="宋体"/>
                <w:color w:val="auto"/>
                <w:kern w:val="0"/>
                <w:sz w:val="20"/>
                <w:szCs w:val="20"/>
                <w:highlight w:val="none"/>
                <w:lang w:bidi="ar"/>
              </w:rPr>
              <w:t>：许昌市自然资源和规划局(本级）</w:t>
            </w:r>
          </w:p>
        </w:tc>
        <w:tc>
          <w:tcPr>
            <w:tcW w:w="3765" w:type="dxa"/>
            <w:tcBorders>
              <w:top w:val="nil"/>
              <w:left w:val="nil"/>
              <w:bottom w:val="nil"/>
              <w:right w:val="nil"/>
            </w:tcBorders>
            <w:noWrap/>
            <w:vAlign w:val="bottom"/>
          </w:tcPr>
          <w:p>
            <w:pPr>
              <w:rPr>
                <w:rFonts w:ascii="Arial" w:hAnsi="Arial" w:cs="Arial"/>
                <w:color w:val="auto"/>
                <w:sz w:val="20"/>
                <w:szCs w:val="20"/>
                <w:highlight w:val="none"/>
              </w:rPr>
            </w:pPr>
          </w:p>
        </w:tc>
        <w:tc>
          <w:tcPr>
            <w:tcW w:w="645" w:type="dxa"/>
            <w:tcBorders>
              <w:top w:val="nil"/>
              <w:left w:val="nil"/>
              <w:bottom w:val="nil"/>
              <w:right w:val="nil"/>
            </w:tcBorders>
            <w:noWrap/>
            <w:vAlign w:val="bottom"/>
          </w:tcPr>
          <w:p>
            <w:pPr>
              <w:rPr>
                <w:rFonts w:ascii="Arial" w:hAnsi="Arial" w:cs="Arial"/>
                <w:color w:val="auto"/>
                <w:sz w:val="20"/>
                <w:szCs w:val="20"/>
                <w:highlight w:val="none"/>
              </w:rPr>
            </w:pPr>
          </w:p>
        </w:tc>
        <w:tc>
          <w:tcPr>
            <w:tcW w:w="2954"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40" w:hRule="atLeast"/>
        </w:trPr>
        <w:tc>
          <w:tcPr>
            <w:tcW w:w="67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7364"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支出</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24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w:t>
            </w:r>
          </w:p>
        </w:tc>
        <w:tc>
          <w:tcPr>
            <w:tcW w:w="376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2954"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660"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376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645"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954"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2,184.45</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5.29</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二、政府性基金预算财政拨款收入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三、国有资本经营预算财政拨款收入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四、上级补助收入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四、公共安全支出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9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五、事业收入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六、经营收入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六、科学技术支出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七、附属单位上缴收入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七、文化旅游体育与传媒支出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八、其他收入</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八、社会保障和就业支出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225.14</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九、卫生健康支出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60.83</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十、节能环保支出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十一、城乡社区支出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2,339.59</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十二、农林水支出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49.05</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十三、交通运输支出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十四、资源勘探工业信息等支出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十五、商业服务业等支出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46</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十六、金融支出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十七、援助其他地区支出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48</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十八、自然资源海洋气象等支出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49</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十九、住房保障支出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二十、粮油物资储备支出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二十一、国有资本经营预算支出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二十二、灾害防治及应急管理支出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二十三、其他支出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二十四、债务还本支出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二十五、债务付息支出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二十六、抗疫特别国债安排的支出</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57</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本年收入合计</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2,184.45</w:t>
            </w:r>
          </w:p>
        </w:tc>
        <w:tc>
          <w:tcPr>
            <w:tcW w:w="376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本年支出合计</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58</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2,679.90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使用非财政拨款结余</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0.00</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结余分配</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59</w:t>
            </w:r>
          </w:p>
        </w:tc>
        <w:tc>
          <w:tcPr>
            <w:tcW w:w="295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0.00</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年初结转和结余</w:t>
            </w: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500.52</w:t>
            </w:r>
          </w:p>
        </w:tc>
        <w:tc>
          <w:tcPr>
            <w:tcW w:w="376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5.07</w:t>
            </w: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6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highlight w:val="none"/>
              </w:rPr>
            </w:pPr>
          </w:p>
        </w:tc>
        <w:tc>
          <w:tcPr>
            <w:tcW w:w="3765"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61</w:t>
            </w:r>
          </w:p>
        </w:tc>
        <w:tc>
          <w:tcPr>
            <w:tcW w:w="2954"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240" w:hRule="atLeast"/>
        </w:trPr>
        <w:tc>
          <w:tcPr>
            <w:tcW w:w="3638"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总计</w:t>
            </w:r>
          </w:p>
        </w:tc>
        <w:tc>
          <w:tcPr>
            <w:tcW w:w="660" w:type="dxa"/>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2,684.97</w:t>
            </w:r>
          </w:p>
        </w:tc>
        <w:tc>
          <w:tcPr>
            <w:tcW w:w="376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总计</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62</w:t>
            </w:r>
          </w:p>
        </w:tc>
        <w:tc>
          <w:tcPr>
            <w:tcW w:w="2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2,684.97</w:t>
            </w:r>
          </w:p>
        </w:tc>
      </w:tr>
      <w:tr>
        <w:tblPrEx>
          <w:tblCellMar>
            <w:top w:w="0" w:type="dxa"/>
            <w:left w:w="108" w:type="dxa"/>
            <w:bottom w:w="0" w:type="dxa"/>
            <w:right w:w="108" w:type="dxa"/>
          </w:tblCellMar>
        </w:tblPrEx>
        <w:trPr>
          <w:trHeight w:val="240" w:hRule="atLeast"/>
        </w:trPr>
        <w:tc>
          <w:tcPr>
            <w:tcW w:w="14078" w:type="dxa"/>
            <w:gridSpan w:val="6"/>
            <w:tcBorders>
              <w:top w:val="nil"/>
              <w:left w:val="nil"/>
              <w:bottom w:val="nil"/>
              <w:right w:val="nil"/>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本年度的总收支和年末结转结余情况。本套报表金额单位转换时可能存在尾数误差。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10"/>
        <w:tblpPr w:leftFromText="180" w:rightFromText="180" w:vertAnchor="text" w:horzAnchor="page" w:tblpX="1546" w:tblpY="36"/>
        <w:tblOverlap w:val="never"/>
        <w:tblW w:w="14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
        <w:gridCol w:w="263"/>
        <w:gridCol w:w="965"/>
        <w:gridCol w:w="4042"/>
        <w:gridCol w:w="1788"/>
        <w:gridCol w:w="1644"/>
        <w:gridCol w:w="696"/>
        <w:gridCol w:w="1296"/>
        <w:gridCol w:w="1104"/>
        <w:gridCol w:w="948"/>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6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8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4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0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4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661"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color w:val="auto"/>
                <w:kern w:val="0"/>
                <w:sz w:val="20"/>
                <w:szCs w:val="20"/>
                <w:highlight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：许昌市自然资源和规划局(本级）</w:t>
            </w:r>
          </w:p>
        </w:tc>
        <w:tc>
          <w:tcPr>
            <w:tcW w:w="441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3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8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6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6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2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9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0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4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3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6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3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2,184.45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2,184.45</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217.99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217.99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198.72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198.72</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56.65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56.65</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55.60</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55.60</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55.60</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55.60</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28.48</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27.12</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1,904.49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1,904.49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1,904.49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1,904.49</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1,203.83</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1,203.83</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2120102</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700.66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700.66</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2130205</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森林资源培育</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0.88</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9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40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6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78"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pPr w:leftFromText="180" w:rightFromText="180" w:vertAnchor="text" w:horzAnchor="page" w:tblpX="1531" w:tblpY="90"/>
        <w:tblOverlap w:val="never"/>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
        <w:gridCol w:w="323"/>
        <w:gridCol w:w="1009"/>
        <w:gridCol w:w="5028"/>
        <w:gridCol w:w="1227"/>
        <w:gridCol w:w="1441"/>
        <w:gridCol w:w="1310"/>
        <w:gridCol w:w="929"/>
        <w:gridCol w:w="953"/>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398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华文中宋" w:hAnsi="华文中宋" w:eastAsia="华文中宋" w:cs="华文中宋"/>
                <w:color w:val="auto"/>
                <w:kern w:val="0"/>
                <w:sz w:val="32"/>
                <w:szCs w:val="32"/>
                <w:highlight w:val="none"/>
                <w:lang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2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0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2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4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43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351"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color w:val="auto"/>
                <w:kern w:val="0"/>
                <w:sz w:val="20"/>
                <w:szCs w:val="20"/>
                <w:highlight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：许昌市自然资源和规划局(本级）</w:t>
            </w:r>
          </w:p>
        </w:tc>
        <w:tc>
          <w:tcPr>
            <w:tcW w:w="4629"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8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4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9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9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4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02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2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65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2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8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8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2,679.90</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1,587.46</w:t>
            </w: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1,092.44</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205.86</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205.86</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63.79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63.79</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31.15</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31.15</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29.67</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29.67</w:t>
            </w:r>
          </w:p>
        </w:tc>
        <w:tc>
          <w:tcPr>
            <w:tcW w:w="1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1,043.39</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1,043.39</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1,327.79</w:t>
            </w:r>
          </w:p>
        </w:tc>
        <w:tc>
          <w:tcPr>
            <w:tcW w:w="14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31.58</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2120102</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1,011.80</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1,011.80</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2130202</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2130205</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森林资源培育</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21.37</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21.37</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2130211</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动植物保护</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502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3.33</w:t>
            </w:r>
          </w:p>
        </w:tc>
        <w:tc>
          <w:tcPr>
            <w:tcW w:w="14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3.33</w:t>
            </w:r>
          </w:p>
        </w:tc>
        <w:tc>
          <w:tcPr>
            <w:tcW w:w="9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98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29" w:type="dxa"/>
        <w:tblInd w:w="96" w:type="dxa"/>
        <w:tblLayout w:type="fixed"/>
        <w:tblCellMar>
          <w:top w:w="0" w:type="dxa"/>
          <w:left w:w="108" w:type="dxa"/>
          <w:bottom w:w="0" w:type="dxa"/>
          <w:right w:w="108" w:type="dxa"/>
        </w:tblCellMar>
      </w:tblPr>
      <w:tblGrid>
        <w:gridCol w:w="3230"/>
        <w:gridCol w:w="486"/>
        <w:gridCol w:w="1326"/>
        <w:gridCol w:w="3440"/>
        <w:gridCol w:w="486"/>
        <w:gridCol w:w="1156"/>
        <w:gridCol w:w="1358"/>
        <w:gridCol w:w="1214"/>
        <w:gridCol w:w="1233"/>
      </w:tblGrid>
      <w:tr>
        <w:tblPrEx>
          <w:tblCellMar>
            <w:top w:w="0" w:type="dxa"/>
            <w:left w:w="108" w:type="dxa"/>
            <w:bottom w:w="0" w:type="dxa"/>
            <w:right w:w="108" w:type="dxa"/>
          </w:tblCellMar>
        </w:tblPrEx>
        <w:trPr>
          <w:trHeight w:val="384" w:hRule="atLeast"/>
        </w:trPr>
        <w:tc>
          <w:tcPr>
            <w:tcW w:w="13929" w:type="dxa"/>
            <w:gridSpan w:val="9"/>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highlight w:val="none"/>
              </w:rPr>
            </w:pPr>
            <w:r>
              <w:rPr>
                <w:rFonts w:hint="eastAsia" w:ascii="华文中宋" w:hAnsi="华文中宋" w:eastAsia="华文中宋" w:cs="华文中宋"/>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4" w:hRule="atLeast"/>
        </w:trPr>
        <w:tc>
          <w:tcPr>
            <w:tcW w:w="3230" w:type="dxa"/>
            <w:tcBorders>
              <w:top w:val="nil"/>
              <w:left w:val="nil"/>
              <w:bottom w:val="nil"/>
              <w:right w:val="nil"/>
            </w:tcBorders>
            <w:noWrap/>
            <w:vAlign w:val="bottom"/>
          </w:tcPr>
          <w:p>
            <w:pPr>
              <w:rPr>
                <w:rFonts w:hint="eastAsia" w:ascii="Arial" w:hAnsi="Arial" w:cs="Arial"/>
                <w:color w:val="auto"/>
                <w:sz w:val="20"/>
                <w:szCs w:val="20"/>
                <w:highlight w:val="none"/>
              </w:rPr>
            </w:pPr>
          </w:p>
        </w:tc>
        <w:tc>
          <w:tcPr>
            <w:tcW w:w="486" w:type="dxa"/>
            <w:tcBorders>
              <w:top w:val="nil"/>
              <w:left w:val="nil"/>
              <w:bottom w:val="nil"/>
              <w:right w:val="nil"/>
            </w:tcBorders>
            <w:noWrap/>
            <w:vAlign w:val="bottom"/>
          </w:tcPr>
          <w:p>
            <w:pPr>
              <w:rPr>
                <w:rFonts w:ascii="Arial" w:hAnsi="Arial" w:cs="Arial"/>
                <w:color w:val="auto"/>
                <w:sz w:val="20"/>
                <w:szCs w:val="20"/>
                <w:highlight w:val="none"/>
              </w:rPr>
            </w:pPr>
          </w:p>
        </w:tc>
        <w:tc>
          <w:tcPr>
            <w:tcW w:w="1326" w:type="dxa"/>
            <w:tcBorders>
              <w:top w:val="nil"/>
              <w:left w:val="nil"/>
              <w:bottom w:val="nil"/>
              <w:right w:val="nil"/>
            </w:tcBorders>
            <w:noWrap/>
            <w:vAlign w:val="bottom"/>
          </w:tcPr>
          <w:p>
            <w:pPr>
              <w:rPr>
                <w:rFonts w:ascii="Arial" w:hAnsi="Arial" w:cs="Arial"/>
                <w:color w:val="auto"/>
                <w:sz w:val="20"/>
                <w:szCs w:val="20"/>
                <w:highlight w:val="none"/>
              </w:rPr>
            </w:pPr>
          </w:p>
        </w:tc>
        <w:tc>
          <w:tcPr>
            <w:tcW w:w="3440" w:type="dxa"/>
            <w:tcBorders>
              <w:top w:val="nil"/>
              <w:left w:val="nil"/>
              <w:bottom w:val="nil"/>
              <w:right w:val="nil"/>
            </w:tcBorders>
            <w:noWrap/>
            <w:vAlign w:val="bottom"/>
          </w:tcPr>
          <w:p>
            <w:pPr>
              <w:rPr>
                <w:rFonts w:ascii="Arial" w:hAnsi="Arial" w:cs="Arial"/>
                <w:color w:val="auto"/>
                <w:sz w:val="20"/>
                <w:szCs w:val="20"/>
                <w:highlight w:val="none"/>
              </w:rPr>
            </w:pPr>
          </w:p>
        </w:tc>
        <w:tc>
          <w:tcPr>
            <w:tcW w:w="486" w:type="dxa"/>
            <w:tcBorders>
              <w:top w:val="nil"/>
              <w:left w:val="nil"/>
              <w:bottom w:val="nil"/>
              <w:right w:val="nil"/>
            </w:tcBorders>
            <w:noWrap/>
            <w:vAlign w:val="bottom"/>
          </w:tcPr>
          <w:p>
            <w:pPr>
              <w:rPr>
                <w:rFonts w:ascii="Arial" w:hAnsi="Arial" w:cs="Arial"/>
                <w:color w:val="auto"/>
                <w:sz w:val="20"/>
                <w:szCs w:val="20"/>
                <w:highlight w:val="none"/>
              </w:rPr>
            </w:pPr>
          </w:p>
        </w:tc>
        <w:tc>
          <w:tcPr>
            <w:tcW w:w="1156" w:type="dxa"/>
            <w:tcBorders>
              <w:top w:val="nil"/>
              <w:left w:val="nil"/>
              <w:bottom w:val="nil"/>
              <w:right w:val="nil"/>
            </w:tcBorders>
            <w:noWrap/>
            <w:vAlign w:val="bottom"/>
          </w:tcPr>
          <w:p>
            <w:pPr>
              <w:rPr>
                <w:rFonts w:ascii="Arial" w:hAnsi="Arial" w:cs="Arial"/>
                <w:color w:val="auto"/>
                <w:sz w:val="20"/>
                <w:szCs w:val="20"/>
                <w:highlight w:val="none"/>
              </w:rPr>
            </w:pPr>
          </w:p>
        </w:tc>
        <w:tc>
          <w:tcPr>
            <w:tcW w:w="1358" w:type="dxa"/>
            <w:tcBorders>
              <w:top w:val="nil"/>
              <w:left w:val="nil"/>
              <w:bottom w:val="nil"/>
              <w:right w:val="nil"/>
            </w:tcBorders>
            <w:noWrap/>
            <w:vAlign w:val="bottom"/>
          </w:tcPr>
          <w:p>
            <w:pPr>
              <w:rPr>
                <w:rFonts w:ascii="Arial" w:hAnsi="Arial" w:cs="Arial"/>
                <w:color w:val="auto"/>
                <w:sz w:val="20"/>
                <w:szCs w:val="20"/>
                <w:highlight w:val="none"/>
              </w:rPr>
            </w:pPr>
          </w:p>
        </w:tc>
        <w:tc>
          <w:tcPr>
            <w:tcW w:w="1214" w:type="dxa"/>
            <w:tcBorders>
              <w:top w:val="nil"/>
              <w:left w:val="nil"/>
              <w:bottom w:val="nil"/>
              <w:right w:val="nil"/>
            </w:tcBorders>
            <w:noWrap/>
            <w:vAlign w:val="bottom"/>
          </w:tcPr>
          <w:p>
            <w:pPr>
              <w:rPr>
                <w:rFonts w:ascii="Arial" w:hAnsi="Arial" w:cs="Arial"/>
                <w:color w:val="auto"/>
                <w:sz w:val="20"/>
                <w:szCs w:val="20"/>
                <w:highlight w:val="none"/>
              </w:rPr>
            </w:pPr>
          </w:p>
        </w:tc>
        <w:tc>
          <w:tcPr>
            <w:tcW w:w="1233"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4" w:hRule="atLeast"/>
        </w:trPr>
        <w:tc>
          <w:tcPr>
            <w:tcW w:w="5042" w:type="dxa"/>
            <w:gridSpan w:val="3"/>
            <w:tcBorders>
              <w:top w:val="nil"/>
              <w:left w:val="nil"/>
              <w:bottom w:val="nil"/>
              <w:right w:val="nil"/>
            </w:tcBorders>
            <w:noWrap/>
            <w:vAlign w:val="bottom"/>
          </w:tcPr>
          <w:p>
            <w:pPr>
              <w:widowControl/>
              <w:jc w:val="lef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单位</w:t>
            </w:r>
            <w:r>
              <w:rPr>
                <w:rFonts w:hint="eastAsia" w:ascii="宋体" w:hAnsi="宋体" w:cs="宋体"/>
                <w:color w:val="auto"/>
                <w:kern w:val="0"/>
                <w:sz w:val="20"/>
                <w:szCs w:val="20"/>
                <w:highlight w:val="none"/>
                <w:lang w:bidi="ar"/>
              </w:rPr>
              <w:t>：许昌市自然资源和规划局(本级）</w:t>
            </w:r>
          </w:p>
        </w:tc>
        <w:tc>
          <w:tcPr>
            <w:tcW w:w="3440" w:type="dxa"/>
            <w:tcBorders>
              <w:top w:val="nil"/>
              <w:left w:val="nil"/>
              <w:bottom w:val="nil"/>
              <w:right w:val="nil"/>
            </w:tcBorders>
            <w:noWrap/>
            <w:vAlign w:val="bottom"/>
          </w:tcPr>
          <w:p>
            <w:pPr>
              <w:rPr>
                <w:rFonts w:ascii="Arial" w:hAnsi="Arial" w:cs="Arial"/>
                <w:color w:val="auto"/>
                <w:sz w:val="20"/>
                <w:szCs w:val="20"/>
                <w:highlight w:val="none"/>
              </w:rPr>
            </w:pPr>
          </w:p>
        </w:tc>
        <w:tc>
          <w:tcPr>
            <w:tcW w:w="486" w:type="dxa"/>
            <w:tcBorders>
              <w:top w:val="nil"/>
              <w:left w:val="nil"/>
              <w:bottom w:val="nil"/>
              <w:right w:val="nil"/>
            </w:tcBorders>
            <w:noWrap/>
            <w:vAlign w:val="bottom"/>
          </w:tcPr>
          <w:p>
            <w:pPr>
              <w:rPr>
                <w:rFonts w:ascii="Arial" w:hAnsi="Arial" w:cs="Arial"/>
                <w:color w:val="auto"/>
                <w:sz w:val="20"/>
                <w:szCs w:val="20"/>
                <w:highlight w:val="none"/>
              </w:rPr>
            </w:pPr>
          </w:p>
        </w:tc>
        <w:tc>
          <w:tcPr>
            <w:tcW w:w="1156" w:type="dxa"/>
            <w:tcBorders>
              <w:top w:val="nil"/>
              <w:left w:val="nil"/>
              <w:bottom w:val="nil"/>
              <w:right w:val="nil"/>
            </w:tcBorders>
            <w:noWrap/>
            <w:vAlign w:val="bottom"/>
          </w:tcPr>
          <w:p>
            <w:pPr>
              <w:rPr>
                <w:rFonts w:ascii="Arial" w:hAnsi="Arial" w:cs="Arial"/>
                <w:color w:val="auto"/>
                <w:sz w:val="20"/>
                <w:szCs w:val="20"/>
                <w:highlight w:val="none"/>
              </w:rPr>
            </w:pPr>
          </w:p>
        </w:tc>
        <w:tc>
          <w:tcPr>
            <w:tcW w:w="1358" w:type="dxa"/>
            <w:tcBorders>
              <w:top w:val="nil"/>
              <w:left w:val="nil"/>
              <w:bottom w:val="nil"/>
              <w:right w:val="nil"/>
            </w:tcBorders>
            <w:noWrap/>
            <w:vAlign w:val="bottom"/>
          </w:tcPr>
          <w:p>
            <w:pPr>
              <w:rPr>
                <w:rFonts w:ascii="Arial" w:hAnsi="Arial" w:cs="Arial"/>
                <w:color w:val="auto"/>
                <w:sz w:val="20"/>
                <w:szCs w:val="20"/>
                <w:highlight w:val="none"/>
              </w:rPr>
            </w:pPr>
          </w:p>
        </w:tc>
        <w:tc>
          <w:tcPr>
            <w:tcW w:w="2447" w:type="dxa"/>
            <w:gridSpan w:val="2"/>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35" w:hRule="atLeast"/>
        </w:trPr>
        <w:tc>
          <w:tcPr>
            <w:tcW w:w="504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收     入</w:t>
            </w:r>
          </w:p>
        </w:tc>
        <w:tc>
          <w:tcPr>
            <w:tcW w:w="8887"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支     出</w:t>
            </w:r>
          </w:p>
        </w:tc>
      </w:tr>
      <w:tr>
        <w:tblPrEx>
          <w:tblCellMar>
            <w:top w:w="0" w:type="dxa"/>
            <w:left w:w="108" w:type="dxa"/>
            <w:bottom w:w="0" w:type="dxa"/>
            <w:right w:w="108" w:type="dxa"/>
          </w:tblCellMar>
        </w:tblPrEx>
        <w:trPr>
          <w:trHeight w:val="312" w:hRule="atLeast"/>
        </w:trPr>
        <w:tc>
          <w:tcPr>
            <w:tcW w:w="323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w:t>
            </w:r>
          </w:p>
        </w:tc>
        <w:tc>
          <w:tcPr>
            <w:tcW w:w="48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行次</w:t>
            </w:r>
          </w:p>
        </w:tc>
        <w:tc>
          <w:tcPr>
            <w:tcW w:w="132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金额</w:t>
            </w:r>
          </w:p>
        </w:tc>
        <w:tc>
          <w:tcPr>
            <w:tcW w:w="34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w:t>
            </w:r>
          </w:p>
        </w:tc>
        <w:tc>
          <w:tcPr>
            <w:tcW w:w="48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行次</w:t>
            </w:r>
          </w:p>
        </w:tc>
        <w:tc>
          <w:tcPr>
            <w:tcW w:w="11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合计</w:t>
            </w:r>
          </w:p>
        </w:tc>
        <w:tc>
          <w:tcPr>
            <w:tcW w:w="135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一般公共预算财政拨款</w:t>
            </w:r>
          </w:p>
        </w:tc>
        <w:tc>
          <w:tcPr>
            <w:tcW w:w="121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政府性基金预算财政拨款</w:t>
            </w:r>
          </w:p>
        </w:tc>
        <w:tc>
          <w:tcPr>
            <w:tcW w:w="123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国有资本经营预算财政拨款</w:t>
            </w:r>
          </w:p>
        </w:tc>
      </w:tr>
      <w:tr>
        <w:tblPrEx>
          <w:tblCellMar>
            <w:top w:w="0" w:type="dxa"/>
            <w:left w:w="108" w:type="dxa"/>
            <w:bottom w:w="0" w:type="dxa"/>
            <w:right w:w="108" w:type="dxa"/>
          </w:tblCellMar>
        </w:tblPrEx>
        <w:trPr>
          <w:trHeight w:val="471" w:hRule="atLeast"/>
        </w:trPr>
        <w:tc>
          <w:tcPr>
            <w:tcW w:w="323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4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2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3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4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3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2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2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栏次</w:t>
            </w:r>
          </w:p>
        </w:tc>
        <w:tc>
          <w:tcPr>
            <w:tcW w:w="486"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32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344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栏次</w:t>
            </w:r>
          </w:p>
        </w:tc>
        <w:tc>
          <w:tcPr>
            <w:tcW w:w="486"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1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358"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214"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23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3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2,184.45</w:t>
            </w: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33</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二、政府性基金预算财政拨款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34</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三、国有资本经营财政拨款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35</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四、公共安全支出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36</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37</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六、科学技术支出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38</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7</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七、文化旅游体育与传媒支出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39</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8</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八、社会保障和就业支出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40</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9</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九、卫生健康支出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41</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10</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十、节能环保支出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42</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11</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十一、城乡社区支出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43</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12</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十二、农林水支出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44</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13</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十三、交通运输支出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45</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14</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十四、资源勘探工业信息等支出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46</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15</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十五、商业服务业等支出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47</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16</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十六、金融支出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48</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17</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十七、援助其他地区支出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49</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18</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十八、自然资源海洋气象等支出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50</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19</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十九、住房保障支出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51</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20</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二十、粮油物资储备支出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52</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21</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二十一、国有资本经营预算支出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53</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22</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二十二、灾害防治及应急管理支出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54</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23</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二十三、其他支出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55</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auto"/>
                <w:sz w:val="20"/>
                <w:szCs w:val="20"/>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24</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二十四、债务还本支出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56</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25</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二十五、债务付息支出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57</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26</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二十六、抗疫特别国债安排的支出</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58</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bidi="ar"/>
              </w:rPr>
              <w:t>本年收入合计</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27</w:t>
            </w:r>
          </w:p>
        </w:tc>
        <w:tc>
          <w:tcPr>
            <w:tcW w:w="13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2,184.45</w:t>
            </w:r>
          </w:p>
        </w:tc>
        <w:tc>
          <w:tcPr>
            <w:tcW w:w="344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bidi="ar"/>
              </w:rPr>
              <w:t>本年支出合计</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59</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2,679.90</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2,679.90</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年初财政拨款结转和结余</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28</w:t>
            </w:r>
          </w:p>
        </w:tc>
        <w:tc>
          <w:tcPr>
            <w:tcW w:w="13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500.52</w:t>
            </w:r>
          </w:p>
        </w:tc>
        <w:tc>
          <w:tcPr>
            <w:tcW w:w="344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年末财政拨款结转和结余</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60</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5.07</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5.07</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 xml:space="preserve">  一般公共预算财政拨款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29</w:t>
            </w:r>
          </w:p>
        </w:tc>
        <w:tc>
          <w:tcPr>
            <w:tcW w:w="13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500.52</w:t>
            </w:r>
          </w:p>
        </w:tc>
        <w:tc>
          <w:tcPr>
            <w:tcW w:w="3440"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61</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 xml:space="preserve">  政府性基金预算财政拨款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30</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62</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 xml:space="preserve">  国有资本经营预算财政拨款</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31</w:t>
            </w:r>
          </w:p>
        </w:tc>
        <w:tc>
          <w:tcPr>
            <w:tcW w:w="13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3440"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highlight w:val="none"/>
              </w:rPr>
            </w:pP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63</w:t>
            </w:r>
          </w:p>
        </w:tc>
        <w:tc>
          <w:tcPr>
            <w:tcW w:w="11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35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323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486" w:type="dxa"/>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32</w:t>
            </w:r>
          </w:p>
        </w:tc>
        <w:tc>
          <w:tcPr>
            <w:tcW w:w="13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2,684.97</w:t>
            </w:r>
          </w:p>
        </w:tc>
        <w:tc>
          <w:tcPr>
            <w:tcW w:w="344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48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64</w:t>
            </w:r>
          </w:p>
        </w:tc>
        <w:tc>
          <w:tcPr>
            <w:tcW w:w="11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2,684.97</w:t>
            </w:r>
          </w:p>
        </w:tc>
        <w:tc>
          <w:tcPr>
            <w:tcW w:w="13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2,684.97</w:t>
            </w:r>
          </w:p>
        </w:tc>
        <w:tc>
          <w:tcPr>
            <w:tcW w:w="121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12696" w:type="dxa"/>
            <w:gridSpan w:val="8"/>
            <w:tcBorders>
              <w:top w:val="nil"/>
              <w:left w:val="nil"/>
              <w:bottom w:val="nil"/>
              <w:right w:val="nil"/>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本年度一般公共预算财政拨款和政府性基金预算财政拨款的总收支和年末结转结余情况。本表金额转换为万元时，因四舍五入可能存在尾差</w:t>
            </w:r>
          </w:p>
        </w:tc>
        <w:tc>
          <w:tcPr>
            <w:tcW w:w="1233" w:type="dxa"/>
            <w:tcBorders>
              <w:top w:val="nil"/>
              <w:left w:val="nil"/>
              <w:bottom w:val="nil"/>
              <w:right w:val="nil"/>
            </w:tcBorders>
            <w:noWrap/>
            <w:vAlign w:val="center"/>
          </w:tcPr>
          <w:p>
            <w:pPr>
              <w:jc w:val="left"/>
              <w:rPr>
                <w:rFonts w:hint="eastAsia" w:ascii="宋体" w:hAnsi="宋体" w:cs="宋体"/>
                <w:color w:val="auto"/>
                <w:sz w:val="20"/>
                <w:szCs w:val="20"/>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
        <w:gridCol w:w="327"/>
        <w:gridCol w:w="587"/>
        <w:gridCol w:w="5073"/>
        <w:gridCol w:w="2592"/>
        <w:gridCol w:w="2508"/>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4078"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2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8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7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9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0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313"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color w:val="auto"/>
                <w:kern w:val="0"/>
                <w:sz w:val="20"/>
                <w:szCs w:val="20"/>
                <w:highlight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：许昌市自然资源和规划局(本级）</w:t>
            </w:r>
          </w:p>
        </w:tc>
        <w:tc>
          <w:tcPr>
            <w:tcW w:w="259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0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631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76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07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5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5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6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5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5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631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631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2,679.90</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1,587.46</w:t>
            </w: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1,092.44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5.29</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225.14</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205.86</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205.86</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142.07</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63.79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63.79</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19.27</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60.83</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31.15</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31.15</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29.67</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29.67</w:t>
            </w:r>
          </w:p>
        </w:tc>
        <w:tc>
          <w:tcPr>
            <w:tcW w:w="2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2,339.59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1,327.79</w:t>
            </w:r>
          </w:p>
        </w:tc>
        <w:tc>
          <w:tcPr>
            <w:tcW w:w="25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1,296.20</w:t>
            </w: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2120102</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1,011.80</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2130202</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2130205</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森林资源培育</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21.37</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2130211</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动植物保护</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2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507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25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3.33</w:t>
            </w:r>
          </w:p>
        </w:tc>
        <w:tc>
          <w:tcPr>
            <w:tcW w:w="25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4078"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00" w:type="dxa"/>
        <w:tblInd w:w="96" w:type="dxa"/>
        <w:tblLayout w:type="autofit"/>
        <w:tblCellMar>
          <w:top w:w="0" w:type="dxa"/>
          <w:left w:w="108" w:type="dxa"/>
          <w:bottom w:w="0" w:type="dxa"/>
          <w:right w:w="108" w:type="dxa"/>
        </w:tblCellMar>
      </w:tblPr>
      <w:tblGrid>
        <w:gridCol w:w="695"/>
        <w:gridCol w:w="2916"/>
        <w:gridCol w:w="974"/>
        <w:gridCol w:w="697"/>
        <w:gridCol w:w="2016"/>
        <w:gridCol w:w="792"/>
        <w:gridCol w:w="698"/>
        <w:gridCol w:w="3636"/>
        <w:gridCol w:w="1476"/>
      </w:tblGrid>
      <w:tr>
        <w:tblPrEx>
          <w:tblCellMar>
            <w:top w:w="0" w:type="dxa"/>
            <w:left w:w="108" w:type="dxa"/>
            <w:bottom w:w="0" w:type="dxa"/>
            <w:right w:w="108" w:type="dxa"/>
          </w:tblCellMar>
        </w:tblPrEx>
        <w:trPr>
          <w:trHeight w:val="240" w:hRule="atLeast"/>
        </w:trPr>
        <w:tc>
          <w:tcPr>
            <w:tcW w:w="13900" w:type="dxa"/>
            <w:gridSpan w:val="9"/>
            <w:tcBorders>
              <w:top w:val="nil"/>
              <w:left w:val="nil"/>
              <w:bottom w:val="nil"/>
              <w:right w:val="nil"/>
            </w:tcBorders>
            <w:noWrap/>
            <w:vAlign w:val="bottom"/>
          </w:tcPr>
          <w:p>
            <w:pPr>
              <w:widowControl/>
              <w:jc w:val="center"/>
              <w:textAlignment w:val="bottom"/>
              <w:rPr>
                <w:rFonts w:hint="eastAsia" w:ascii="宋体" w:hAnsi="宋体" w:cs="宋体"/>
                <w:color w:val="auto"/>
                <w:sz w:val="20"/>
                <w:szCs w:val="20"/>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228" w:hRule="atLeast"/>
        </w:trPr>
        <w:tc>
          <w:tcPr>
            <w:tcW w:w="0" w:type="auto"/>
            <w:tcBorders>
              <w:top w:val="nil"/>
              <w:left w:val="nil"/>
              <w:bottom w:val="nil"/>
              <w:right w:val="nil"/>
            </w:tcBorders>
            <w:noWrap/>
            <w:vAlign w:val="bottom"/>
          </w:tcPr>
          <w:p>
            <w:pPr>
              <w:rPr>
                <w:rFonts w:hint="eastAsia"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公开06表</w:t>
            </w:r>
          </w:p>
        </w:tc>
      </w:tr>
      <w:tr>
        <w:tblPrEx>
          <w:tblCellMar>
            <w:top w:w="0" w:type="dxa"/>
            <w:left w:w="108" w:type="dxa"/>
            <w:bottom w:w="0" w:type="dxa"/>
            <w:right w:w="108" w:type="dxa"/>
          </w:tblCellMar>
        </w:tblPrEx>
        <w:trPr>
          <w:trHeight w:val="228" w:hRule="atLeast"/>
        </w:trPr>
        <w:tc>
          <w:tcPr>
            <w:tcW w:w="0" w:type="auto"/>
            <w:gridSpan w:val="3"/>
            <w:tcBorders>
              <w:top w:val="nil"/>
              <w:left w:val="nil"/>
              <w:bottom w:val="nil"/>
              <w:right w:val="nil"/>
            </w:tcBorders>
            <w:noWrap/>
            <w:vAlign w:val="bottom"/>
          </w:tcPr>
          <w:p>
            <w:pPr>
              <w:widowControl/>
              <w:jc w:val="lef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：许昌市自然资源和规划局(本级）</w:t>
            </w: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rPr>
                <w:rFonts w:ascii="Arial" w:hAnsi="Arial" w:cs="Arial"/>
                <w:color w:val="auto"/>
                <w:sz w:val="18"/>
                <w:szCs w:val="18"/>
                <w:highlight w:val="none"/>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公用经费</w:t>
            </w:r>
          </w:p>
        </w:tc>
      </w:tr>
      <w:tr>
        <w:tblPrEx>
          <w:tblCellMar>
            <w:top w:w="0" w:type="dxa"/>
            <w:left w:w="108" w:type="dxa"/>
            <w:bottom w:w="0" w:type="dxa"/>
            <w:right w:w="108" w:type="dxa"/>
          </w:tblCellMar>
        </w:tblPrEx>
        <w:trPr>
          <w:trHeight w:val="312" w:hRule="atLeast"/>
        </w:trPr>
        <w:tc>
          <w:tcPr>
            <w:tcW w:w="695"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科目编码</w:t>
            </w:r>
          </w:p>
        </w:tc>
        <w:tc>
          <w:tcPr>
            <w:tcW w:w="29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科目名称</w:t>
            </w:r>
          </w:p>
        </w:tc>
        <w:tc>
          <w:tcPr>
            <w:tcW w:w="97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决算数</w:t>
            </w:r>
          </w:p>
        </w:tc>
        <w:tc>
          <w:tcPr>
            <w:tcW w:w="69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科目编码</w:t>
            </w:r>
          </w:p>
        </w:tc>
        <w:tc>
          <w:tcPr>
            <w:tcW w:w="20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科目名称</w:t>
            </w:r>
          </w:p>
        </w:tc>
        <w:tc>
          <w:tcPr>
            <w:tcW w:w="7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决算数</w:t>
            </w:r>
          </w:p>
        </w:tc>
        <w:tc>
          <w:tcPr>
            <w:tcW w:w="69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科目编码</w:t>
            </w:r>
          </w:p>
        </w:tc>
        <w:tc>
          <w:tcPr>
            <w:tcW w:w="363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科目名称</w:t>
            </w:r>
          </w:p>
        </w:tc>
        <w:tc>
          <w:tcPr>
            <w:tcW w:w="147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决算数</w:t>
            </w:r>
          </w:p>
        </w:tc>
      </w:tr>
      <w:tr>
        <w:tblPrEx>
          <w:tblCellMar>
            <w:top w:w="0" w:type="dxa"/>
            <w:left w:w="108" w:type="dxa"/>
            <w:bottom w:w="0" w:type="dxa"/>
            <w:right w:w="108" w:type="dxa"/>
          </w:tblCellMar>
        </w:tblPrEx>
        <w:trPr>
          <w:trHeight w:val="312" w:hRule="atLeast"/>
        </w:trPr>
        <w:tc>
          <w:tcPr>
            <w:tcW w:w="69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29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9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6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20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7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6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36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14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工资福利支出</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1,166.56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商品和服务支出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250.96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债务利息及费用支出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基本工资</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254.24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办公费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35.19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30701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国内债务付息</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津贴补贴</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214.76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印刷费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4.36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30702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国外债务付息</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奖金</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511.38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咨询费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资本性支出</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伙食补助费</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手续费</w:t>
            </w:r>
          </w:p>
        </w:tc>
        <w:tc>
          <w:tcPr>
            <w:tcW w:w="792"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房屋建筑物购建</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绩效工资</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水费</w:t>
            </w:r>
          </w:p>
        </w:tc>
        <w:tc>
          <w:tcPr>
            <w:tcW w:w="792"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办公设备购置</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机关事业单位基本养老保险缴费</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64.20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电费</w:t>
            </w:r>
          </w:p>
        </w:tc>
        <w:tc>
          <w:tcPr>
            <w:tcW w:w="792"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专用设备购置</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职业年金缴费</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邮电费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5.39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基础设施建设</w:t>
            </w:r>
          </w:p>
        </w:tc>
        <w:tc>
          <w:tcPr>
            <w:tcW w:w="14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职工基本医疗保险缴费</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31.15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取暖费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大型修缮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公务员医疗补助缴费</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29.67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物业管理费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17.28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其他社会保障缴费</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0.41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差旅费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25.40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物资储备</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住房公积金</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因公出国（境）费用</w:t>
            </w:r>
          </w:p>
        </w:tc>
        <w:tc>
          <w:tcPr>
            <w:tcW w:w="792"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土地补偿</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30114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医疗费</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维修（护）费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安置补助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其他工资福利支出</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0.64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租赁费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对个人和家庭的补助</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169.93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会议费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拆迁补偿</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离休费</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培训费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公务用车购置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退休费</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138.52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公务接待费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2.16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31019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退职（役）费</w:t>
            </w:r>
          </w:p>
        </w:tc>
        <w:tc>
          <w:tcPr>
            <w:tcW w:w="974"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30218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专用材料费</w:t>
            </w:r>
          </w:p>
        </w:tc>
        <w:tc>
          <w:tcPr>
            <w:tcW w:w="792"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0.00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31021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抚恤金</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19.27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被装购置费</w:t>
            </w:r>
          </w:p>
        </w:tc>
        <w:tc>
          <w:tcPr>
            <w:tcW w:w="792"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31022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无形资产购置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生活补助</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6.88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专用燃料费</w:t>
            </w:r>
          </w:p>
        </w:tc>
        <w:tc>
          <w:tcPr>
            <w:tcW w:w="792"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31099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其他资本性支出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救济费</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劳务费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24.32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其他支出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医疗费补助</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委托业务费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12.88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39906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赠与</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助学金</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工会经费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39907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奖励金</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福利费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11.56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39908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个人农业生产补贴</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30231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公务用车运行维护费</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19.89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代缴社会保险费</w:t>
            </w: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30239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其他交通费用</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53.23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30399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其他对个人和家庭的补助</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5.26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税金及附加费用</w:t>
            </w:r>
          </w:p>
        </w:tc>
        <w:tc>
          <w:tcPr>
            <w:tcW w:w="792"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97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30299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  其他商品和服务支出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11.07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18"/>
                <w:szCs w:val="18"/>
                <w:highlight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人员经费合计</w:t>
            </w:r>
          </w:p>
        </w:tc>
        <w:tc>
          <w:tcPr>
            <w:tcW w:w="9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1,336.50</w:t>
            </w:r>
          </w:p>
        </w:tc>
        <w:tc>
          <w:tcPr>
            <w:tcW w:w="0" w:type="auto"/>
            <w:gridSpan w:val="5"/>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250.96</w:t>
            </w:r>
          </w:p>
        </w:tc>
      </w:tr>
      <w:tr>
        <w:tblPrEx>
          <w:tblCellMar>
            <w:top w:w="0" w:type="dxa"/>
            <w:left w:w="108" w:type="dxa"/>
            <w:bottom w:w="0" w:type="dxa"/>
            <w:right w:w="108" w:type="dxa"/>
          </w:tblCellMar>
        </w:tblPrEx>
        <w:trPr>
          <w:trHeight w:val="235" w:hRule="atLeast"/>
        </w:trPr>
        <w:tc>
          <w:tcPr>
            <w:tcW w:w="0" w:type="auto"/>
            <w:gridSpan w:val="9"/>
            <w:tcBorders>
              <w:top w:val="nil"/>
              <w:left w:val="nil"/>
              <w:bottom w:val="nil"/>
              <w:right w:val="nil"/>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注：本表反映</w:t>
            </w: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本年度一般公共预算财政拨款基本支出明细情况。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004" w:type="dxa"/>
        <w:tblInd w:w="96" w:type="dxa"/>
        <w:tblLayout w:type="fixed"/>
        <w:tblCellMar>
          <w:top w:w="0" w:type="dxa"/>
          <w:left w:w="108" w:type="dxa"/>
          <w:bottom w:w="0" w:type="dxa"/>
          <w:right w:w="108" w:type="dxa"/>
        </w:tblCellMar>
      </w:tblPr>
      <w:tblGrid>
        <w:gridCol w:w="1118"/>
        <w:gridCol w:w="1128"/>
        <w:gridCol w:w="1118"/>
        <w:gridCol w:w="988"/>
        <w:gridCol w:w="1118"/>
        <w:gridCol w:w="988"/>
        <w:gridCol w:w="1118"/>
        <w:gridCol w:w="1128"/>
        <w:gridCol w:w="1118"/>
        <w:gridCol w:w="1107"/>
        <w:gridCol w:w="1260"/>
        <w:gridCol w:w="1815"/>
      </w:tblGrid>
      <w:tr>
        <w:tblPrEx>
          <w:tblCellMar>
            <w:top w:w="0" w:type="dxa"/>
            <w:left w:w="108" w:type="dxa"/>
            <w:bottom w:w="0" w:type="dxa"/>
            <w:right w:w="108" w:type="dxa"/>
          </w:tblCellMar>
        </w:tblPrEx>
        <w:trPr>
          <w:trHeight w:val="564" w:hRule="atLeast"/>
        </w:trPr>
        <w:tc>
          <w:tcPr>
            <w:tcW w:w="14004" w:type="dxa"/>
            <w:gridSpan w:val="12"/>
            <w:tcBorders>
              <w:top w:val="nil"/>
              <w:left w:val="nil"/>
              <w:bottom w:val="nil"/>
              <w:right w:val="nil"/>
            </w:tcBorders>
            <w:noWrap/>
            <w:vAlign w:val="bottom"/>
          </w:tcPr>
          <w:p>
            <w:pPr>
              <w:widowControl/>
              <w:jc w:val="center"/>
              <w:textAlignment w:val="bottom"/>
              <w:rPr>
                <w:rFonts w:hint="eastAsia" w:ascii="宋体" w:hAnsi="宋体" w:cs="宋体"/>
                <w:color w:val="auto"/>
                <w:sz w:val="44"/>
                <w:szCs w:val="44"/>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trHeight w:val="264" w:hRule="atLeast"/>
        </w:trPr>
        <w:tc>
          <w:tcPr>
            <w:tcW w:w="1118" w:type="dxa"/>
            <w:tcBorders>
              <w:top w:val="nil"/>
              <w:left w:val="nil"/>
              <w:bottom w:val="nil"/>
              <w:right w:val="nil"/>
            </w:tcBorders>
            <w:noWrap/>
            <w:vAlign w:val="bottom"/>
          </w:tcPr>
          <w:p>
            <w:pPr>
              <w:rPr>
                <w:rFonts w:hint="eastAsia" w:ascii="Arial" w:hAnsi="Arial" w:cs="Arial"/>
                <w:color w:val="auto"/>
                <w:sz w:val="20"/>
                <w:szCs w:val="20"/>
                <w:highlight w:val="none"/>
              </w:rPr>
            </w:pPr>
          </w:p>
        </w:tc>
        <w:tc>
          <w:tcPr>
            <w:tcW w:w="112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98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98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112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1107" w:type="dxa"/>
            <w:tcBorders>
              <w:top w:val="nil"/>
              <w:left w:val="nil"/>
              <w:bottom w:val="nil"/>
              <w:right w:val="nil"/>
            </w:tcBorders>
            <w:noWrap/>
            <w:vAlign w:val="bottom"/>
          </w:tcPr>
          <w:p>
            <w:pPr>
              <w:rPr>
                <w:rFonts w:ascii="Arial" w:hAnsi="Arial" w:cs="Arial"/>
                <w:color w:val="auto"/>
                <w:sz w:val="20"/>
                <w:szCs w:val="20"/>
                <w:highlight w:val="none"/>
              </w:rPr>
            </w:pPr>
          </w:p>
        </w:tc>
        <w:tc>
          <w:tcPr>
            <w:tcW w:w="1260" w:type="dxa"/>
            <w:tcBorders>
              <w:top w:val="nil"/>
              <w:left w:val="nil"/>
              <w:bottom w:val="nil"/>
              <w:right w:val="nil"/>
            </w:tcBorders>
            <w:noWrap/>
            <w:vAlign w:val="bottom"/>
          </w:tcPr>
          <w:p>
            <w:pPr>
              <w:rPr>
                <w:rFonts w:ascii="Arial" w:hAnsi="Arial" w:cs="Arial"/>
                <w:color w:val="auto"/>
                <w:sz w:val="20"/>
                <w:szCs w:val="20"/>
                <w:highlight w:val="none"/>
              </w:rPr>
            </w:pPr>
          </w:p>
        </w:tc>
        <w:tc>
          <w:tcPr>
            <w:tcW w:w="1815"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108" w:type="dxa"/>
            <w:bottom w:w="0" w:type="dxa"/>
            <w:right w:w="108" w:type="dxa"/>
          </w:tblCellMar>
        </w:tblPrEx>
        <w:trPr>
          <w:trHeight w:val="264" w:hRule="atLeast"/>
        </w:trPr>
        <w:tc>
          <w:tcPr>
            <w:tcW w:w="5470" w:type="dxa"/>
            <w:gridSpan w:val="5"/>
            <w:tcBorders>
              <w:top w:val="nil"/>
              <w:left w:val="nil"/>
              <w:bottom w:val="nil"/>
              <w:right w:val="nil"/>
            </w:tcBorders>
            <w:noWrap/>
            <w:vAlign w:val="bottom"/>
          </w:tcPr>
          <w:p>
            <w:pPr>
              <w:widowControl/>
              <w:jc w:val="lef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单位</w:t>
            </w:r>
            <w:r>
              <w:rPr>
                <w:rFonts w:hint="eastAsia" w:ascii="宋体" w:hAnsi="宋体" w:cs="宋体"/>
                <w:color w:val="auto"/>
                <w:kern w:val="0"/>
                <w:sz w:val="20"/>
                <w:szCs w:val="20"/>
                <w:highlight w:val="none"/>
                <w:lang w:bidi="ar"/>
              </w:rPr>
              <w:t>：许昌市自然资源和规划局(本级）</w:t>
            </w:r>
          </w:p>
        </w:tc>
        <w:tc>
          <w:tcPr>
            <w:tcW w:w="98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1128" w:type="dxa"/>
            <w:tcBorders>
              <w:top w:val="nil"/>
              <w:left w:val="nil"/>
              <w:bottom w:val="nil"/>
              <w:right w:val="nil"/>
            </w:tcBorders>
            <w:noWrap/>
            <w:vAlign w:val="bottom"/>
          </w:tcPr>
          <w:p>
            <w:pPr>
              <w:rPr>
                <w:rFonts w:ascii="Arial" w:hAnsi="Arial" w:cs="Arial"/>
                <w:color w:val="auto"/>
                <w:sz w:val="20"/>
                <w:szCs w:val="20"/>
                <w:highlight w:val="none"/>
              </w:rPr>
            </w:pPr>
          </w:p>
        </w:tc>
        <w:tc>
          <w:tcPr>
            <w:tcW w:w="1118" w:type="dxa"/>
            <w:tcBorders>
              <w:top w:val="nil"/>
              <w:left w:val="nil"/>
              <w:bottom w:val="nil"/>
              <w:right w:val="nil"/>
            </w:tcBorders>
            <w:noWrap/>
            <w:vAlign w:val="bottom"/>
          </w:tcPr>
          <w:p>
            <w:pPr>
              <w:rPr>
                <w:rFonts w:ascii="Arial" w:hAnsi="Arial" w:cs="Arial"/>
                <w:color w:val="auto"/>
                <w:sz w:val="20"/>
                <w:szCs w:val="20"/>
                <w:highlight w:val="none"/>
              </w:rPr>
            </w:pPr>
          </w:p>
        </w:tc>
        <w:tc>
          <w:tcPr>
            <w:tcW w:w="1107" w:type="dxa"/>
            <w:tcBorders>
              <w:top w:val="nil"/>
              <w:left w:val="nil"/>
              <w:bottom w:val="nil"/>
              <w:right w:val="nil"/>
            </w:tcBorders>
            <w:noWrap/>
            <w:vAlign w:val="bottom"/>
          </w:tcPr>
          <w:p>
            <w:pPr>
              <w:rPr>
                <w:rFonts w:ascii="Arial" w:hAnsi="Arial" w:cs="Arial"/>
                <w:color w:val="auto"/>
                <w:sz w:val="20"/>
                <w:szCs w:val="20"/>
                <w:highlight w:val="none"/>
              </w:rPr>
            </w:pPr>
          </w:p>
        </w:tc>
        <w:tc>
          <w:tcPr>
            <w:tcW w:w="1260" w:type="dxa"/>
            <w:tcBorders>
              <w:top w:val="nil"/>
              <w:left w:val="nil"/>
              <w:bottom w:val="nil"/>
              <w:right w:val="nil"/>
            </w:tcBorders>
            <w:noWrap/>
            <w:vAlign w:val="bottom"/>
          </w:tcPr>
          <w:p>
            <w:pPr>
              <w:rPr>
                <w:rFonts w:ascii="Arial" w:hAnsi="Arial" w:cs="Arial"/>
                <w:color w:val="auto"/>
                <w:sz w:val="20"/>
                <w:szCs w:val="20"/>
                <w:highlight w:val="none"/>
              </w:rPr>
            </w:pPr>
          </w:p>
        </w:tc>
        <w:tc>
          <w:tcPr>
            <w:tcW w:w="1815"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35" w:hRule="atLeast"/>
        </w:trPr>
        <w:tc>
          <w:tcPr>
            <w:tcW w:w="645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预算数</w:t>
            </w:r>
          </w:p>
        </w:tc>
        <w:tc>
          <w:tcPr>
            <w:tcW w:w="7546"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决算数</w:t>
            </w:r>
          </w:p>
        </w:tc>
      </w:tr>
      <w:tr>
        <w:tblPrEx>
          <w:tblCellMar>
            <w:top w:w="0" w:type="dxa"/>
            <w:left w:w="108" w:type="dxa"/>
            <w:bottom w:w="0" w:type="dxa"/>
            <w:right w:w="108" w:type="dxa"/>
          </w:tblCellMar>
        </w:tblPrEx>
        <w:trPr>
          <w:trHeight w:val="235" w:hRule="atLeast"/>
        </w:trPr>
        <w:tc>
          <w:tcPr>
            <w:tcW w:w="1118"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合计</w:t>
            </w:r>
          </w:p>
        </w:tc>
        <w:tc>
          <w:tcPr>
            <w:tcW w:w="11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224"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98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公务接待费</w:t>
            </w:r>
          </w:p>
        </w:tc>
        <w:tc>
          <w:tcPr>
            <w:tcW w:w="111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合计</w:t>
            </w:r>
          </w:p>
        </w:tc>
        <w:tc>
          <w:tcPr>
            <w:tcW w:w="11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48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181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公务接待费</w:t>
            </w:r>
          </w:p>
        </w:tc>
      </w:tr>
      <w:tr>
        <w:tblPrEx>
          <w:tblCellMar>
            <w:top w:w="0" w:type="dxa"/>
            <w:left w:w="108" w:type="dxa"/>
            <w:bottom w:w="0" w:type="dxa"/>
            <w:right w:w="108" w:type="dxa"/>
          </w:tblCellMar>
        </w:tblPrEx>
        <w:trPr>
          <w:trHeight w:val="620" w:hRule="atLeast"/>
        </w:trPr>
        <w:tc>
          <w:tcPr>
            <w:tcW w:w="111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小计</w:t>
            </w:r>
          </w:p>
        </w:tc>
        <w:tc>
          <w:tcPr>
            <w:tcW w:w="98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9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小计</w:t>
            </w:r>
          </w:p>
        </w:tc>
        <w:tc>
          <w:tcPr>
            <w:tcW w:w="11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26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18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111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98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98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w:t>
            </w: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7</w:t>
            </w:r>
          </w:p>
        </w:tc>
        <w:tc>
          <w:tcPr>
            <w:tcW w:w="112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8</w:t>
            </w:r>
          </w:p>
        </w:tc>
        <w:tc>
          <w:tcPr>
            <w:tcW w:w="11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9</w:t>
            </w:r>
          </w:p>
        </w:tc>
        <w:tc>
          <w:tcPr>
            <w:tcW w:w="11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10</w:t>
            </w:r>
          </w:p>
        </w:tc>
        <w:tc>
          <w:tcPr>
            <w:tcW w:w="126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11</w:t>
            </w:r>
          </w:p>
        </w:tc>
        <w:tc>
          <w:tcPr>
            <w:tcW w:w="181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12</w:t>
            </w:r>
          </w:p>
        </w:tc>
      </w:tr>
      <w:tr>
        <w:tblPrEx>
          <w:tblCellMar>
            <w:top w:w="0" w:type="dxa"/>
            <w:left w:w="108" w:type="dxa"/>
            <w:bottom w:w="0" w:type="dxa"/>
            <w:right w:w="108" w:type="dxa"/>
          </w:tblCellMar>
        </w:tblPrEx>
        <w:trPr>
          <w:trHeight w:val="235" w:hRule="atLeast"/>
        </w:trPr>
        <w:tc>
          <w:tcPr>
            <w:tcW w:w="111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30.20</w:t>
            </w: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1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9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1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9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11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cs="宋体"/>
                <w:color w:val="auto"/>
                <w:sz w:val="22"/>
                <w:highlight w:val="none"/>
                <w:lang w:val="en-US"/>
              </w:rPr>
            </w:pPr>
            <w:r>
              <w:rPr>
                <w:rFonts w:hint="eastAsia" w:ascii="宋体" w:hAnsi="宋体" w:eastAsia="宋体" w:cs="宋体"/>
                <w:i w:val="0"/>
                <w:iCs w:val="0"/>
                <w:color w:val="auto"/>
                <w:kern w:val="0"/>
                <w:sz w:val="22"/>
                <w:szCs w:val="22"/>
                <w:highlight w:val="none"/>
                <w:u w:val="none"/>
                <w:lang w:val="en-US" w:eastAsia="zh-CN" w:bidi="ar"/>
              </w:rPr>
              <w:t>22.0</w:t>
            </w:r>
            <w:r>
              <w:rPr>
                <w:rFonts w:hint="eastAsia" w:ascii="宋体" w:hAnsi="宋体" w:cs="宋体"/>
                <w:i w:val="0"/>
                <w:iCs w:val="0"/>
                <w:color w:val="auto"/>
                <w:kern w:val="0"/>
                <w:sz w:val="22"/>
                <w:szCs w:val="22"/>
                <w:highlight w:val="none"/>
                <w:u w:val="none"/>
                <w:lang w:val="en-US" w:eastAsia="zh-CN" w:bidi="ar"/>
              </w:rPr>
              <w:t>5</w:t>
            </w: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1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19.89</w:t>
            </w:r>
          </w:p>
        </w:tc>
        <w:tc>
          <w:tcPr>
            <w:tcW w:w="110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highlight w:val="none"/>
              </w:rPr>
            </w:pP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19.89</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2.16</w:t>
            </w:r>
          </w:p>
        </w:tc>
      </w:tr>
      <w:tr>
        <w:tblPrEx>
          <w:tblCellMar>
            <w:top w:w="0" w:type="dxa"/>
            <w:left w:w="108" w:type="dxa"/>
            <w:bottom w:w="0" w:type="dxa"/>
            <w:right w:w="108" w:type="dxa"/>
          </w:tblCellMar>
        </w:tblPrEx>
        <w:trPr>
          <w:trHeight w:val="720" w:hRule="atLeast"/>
        </w:trPr>
        <w:tc>
          <w:tcPr>
            <w:tcW w:w="14004" w:type="dxa"/>
            <w:gridSpan w:val="12"/>
            <w:tcBorders>
              <w:top w:val="nil"/>
              <w:left w:val="nil"/>
              <w:bottom w:val="nil"/>
              <w:right w:val="nil"/>
            </w:tcBorders>
            <w:noWrap w:val="0"/>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注：本表反映</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pStyle w:val="2"/>
        <w:rPr>
          <w:rFonts w:hint="eastAsia" w:ascii="仿宋_GB2312" w:hAnsi="仿宋_GB2312" w:eastAsia="仿宋_GB2312" w:cs="仿宋_GB2312"/>
          <w:color w:val="auto"/>
          <w:sz w:val="32"/>
          <w:szCs w:val="32"/>
          <w:highlight w:val="none"/>
        </w:rPr>
      </w:pPr>
    </w:p>
    <w:tbl>
      <w:tblPr>
        <w:tblStyle w:val="10"/>
        <w:tblpPr w:leftFromText="180" w:rightFromText="180" w:vertAnchor="text" w:horzAnchor="page" w:tblpX="1546" w:tblpY="42"/>
        <w:tblOverlap w:val="never"/>
        <w:tblW w:w="14078" w:type="dxa"/>
        <w:tblInd w:w="0" w:type="dxa"/>
        <w:tblLayout w:type="fixed"/>
        <w:tblCellMar>
          <w:top w:w="0" w:type="dxa"/>
          <w:left w:w="108" w:type="dxa"/>
          <w:bottom w:w="0" w:type="dxa"/>
          <w:right w:w="108" w:type="dxa"/>
        </w:tblCellMar>
      </w:tblPr>
      <w:tblGrid>
        <w:gridCol w:w="326"/>
        <w:gridCol w:w="326"/>
        <w:gridCol w:w="1442"/>
        <w:gridCol w:w="2970"/>
        <w:gridCol w:w="1322"/>
        <w:gridCol w:w="1103"/>
        <w:gridCol w:w="1310"/>
        <w:gridCol w:w="1366"/>
        <w:gridCol w:w="1448"/>
        <w:gridCol w:w="2465"/>
      </w:tblGrid>
      <w:tr>
        <w:tblPrEx>
          <w:tblCellMar>
            <w:top w:w="0" w:type="dxa"/>
            <w:left w:w="108" w:type="dxa"/>
            <w:bottom w:w="0" w:type="dxa"/>
            <w:right w:w="108" w:type="dxa"/>
          </w:tblCellMar>
        </w:tblPrEx>
        <w:trPr>
          <w:trHeight w:val="384" w:hRule="atLeast"/>
        </w:trPr>
        <w:tc>
          <w:tcPr>
            <w:tcW w:w="14078" w:type="dxa"/>
            <w:gridSpan w:val="10"/>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4" w:hRule="atLeast"/>
        </w:trPr>
        <w:tc>
          <w:tcPr>
            <w:tcW w:w="326" w:type="dxa"/>
            <w:tcBorders>
              <w:top w:val="nil"/>
              <w:left w:val="nil"/>
              <w:bottom w:val="nil"/>
              <w:right w:val="nil"/>
            </w:tcBorders>
            <w:noWrap/>
            <w:vAlign w:val="bottom"/>
          </w:tcPr>
          <w:p>
            <w:pPr>
              <w:rPr>
                <w:rFonts w:hint="eastAsia" w:ascii="Arial" w:hAnsi="Arial" w:cs="Arial"/>
                <w:color w:val="auto"/>
                <w:sz w:val="20"/>
                <w:szCs w:val="20"/>
                <w:highlight w:val="none"/>
              </w:rPr>
            </w:pPr>
          </w:p>
        </w:tc>
        <w:tc>
          <w:tcPr>
            <w:tcW w:w="326" w:type="dxa"/>
            <w:tcBorders>
              <w:top w:val="nil"/>
              <w:left w:val="nil"/>
              <w:bottom w:val="nil"/>
              <w:right w:val="nil"/>
            </w:tcBorders>
            <w:noWrap/>
            <w:vAlign w:val="bottom"/>
          </w:tcPr>
          <w:p>
            <w:pPr>
              <w:rPr>
                <w:rFonts w:ascii="Arial" w:hAnsi="Arial" w:cs="Arial"/>
                <w:color w:val="auto"/>
                <w:sz w:val="20"/>
                <w:szCs w:val="20"/>
                <w:highlight w:val="none"/>
              </w:rPr>
            </w:pPr>
          </w:p>
        </w:tc>
        <w:tc>
          <w:tcPr>
            <w:tcW w:w="1442" w:type="dxa"/>
            <w:tcBorders>
              <w:top w:val="nil"/>
              <w:left w:val="nil"/>
              <w:bottom w:val="nil"/>
              <w:right w:val="nil"/>
            </w:tcBorders>
            <w:noWrap/>
            <w:vAlign w:val="bottom"/>
          </w:tcPr>
          <w:p>
            <w:pPr>
              <w:rPr>
                <w:rFonts w:ascii="Arial" w:hAnsi="Arial" w:cs="Arial"/>
                <w:color w:val="auto"/>
                <w:sz w:val="20"/>
                <w:szCs w:val="20"/>
                <w:highlight w:val="none"/>
              </w:rPr>
            </w:pPr>
          </w:p>
        </w:tc>
        <w:tc>
          <w:tcPr>
            <w:tcW w:w="2970" w:type="dxa"/>
            <w:tcBorders>
              <w:top w:val="nil"/>
              <w:left w:val="nil"/>
              <w:bottom w:val="nil"/>
              <w:right w:val="nil"/>
            </w:tcBorders>
            <w:noWrap/>
            <w:vAlign w:val="bottom"/>
          </w:tcPr>
          <w:p>
            <w:pPr>
              <w:rPr>
                <w:rFonts w:ascii="Arial" w:hAnsi="Arial" w:cs="Arial"/>
                <w:color w:val="auto"/>
                <w:sz w:val="20"/>
                <w:szCs w:val="20"/>
                <w:highlight w:val="none"/>
              </w:rPr>
            </w:pPr>
          </w:p>
        </w:tc>
        <w:tc>
          <w:tcPr>
            <w:tcW w:w="1322" w:type="dxa"/>
            <w:tcBorders>
              <w:top w:val="nil"/>
              <w:left w:val="nil"/>
              <w:bottom w:val="nil"/>
              <w:right w:val="nil"/>
            </w:tcBorders>
            <w:noWrap/>
            <w:vAlign w:val="bottom"/>
          </w:tcPr>
          <w:p>
            <w:pPr>
              <w:rPr>
                <w:rFonts w:ascii="Arial" w:hAnsi="Arial" w:cs="Arial"/>
                <w:color w:val="auto"/>
                <w:sz w:val="20"/>
                <w:szCs w:val="20"/>
                <w:highlight w:val="none"/>
              </w:rPr>
            </w:pPr>
          </w:p>
        </w:tc>
        <w:tc>
          <w:tcPr>
            <w:tcW w:w="1103" w:type="dxa"/>
            <w:tcBorders>
              <w:top w:val="nil"/>
              <w:left w:val="nil"/>
              <w:bottom w:val="nil"/>
              <w:right w:val="nil"/>
            </w:tcBorders>
            <w:noWrap/>
            <w:vAlign w:val="bottom"/>
          </w:tcPr>
          <w:p>
            <w:pPr>
              <w:rPr>
                <w:rFonts w:ascii="Arial" w:hAnsi="Arial" w:cs="Arial"/>
                <w:color w:val="auto"/>
                <w:sz w:val="20"/>
                <w:szCs w:val="20"/>
                <w:highlight w:val="none"/>
              </w:rPr>
            </w:pPr>
          </w:p>
        </w:tc>
        <w:tc>
          <w:tcPr>
            <w:tcW w:w="1310" w:type="dxa"/>
            <w:tcBorders>
              <w:top w:val="nil"/>
              <w:left w:val="nil"/>
              <w:bottom w:val="nil"/>
              <w:right w:val="nil"/>
            </w:tcBorders>
            <w:noWrap/>
            <w:vAlign w:val="bottom"/>
          </w:tcPr>
          <w:p>
            <w:pPr>
              <w:rPr>
                <w:rFonts w:ascii="Arial" w:hAnsi="Arial" w:cs="Arial"/>
                <w:color w:val="auto"/>
                <w:sz w:val="20"/>
                <w:szCs w:val="20"/>
                <w:highlight w:val="none"/>
              </w:rPr>
            </w:pPr>
          </w:p>
        </w:tc>
        <w:tc>
          <w:tcPr>
            <w:tcW w:w="1366" w:type="dxa"/>
            <w:tcBorders>
              <w:top w:val="nil"/>
              <w:left w:val="nil"/>
              <w:bottom w:val="nil"/>
              <w:right w:val="nil"/>
            </w:tcBorders>
            <w:noWrap/>
            <w:vAlign w:val="bottom"/>
          </w:tcPr>
          <w:p>
            <w:pPr>
              <w:rPr>
                <w:rFonts w:ascii="Arial" w:hAnsi="Arial" w:cs="Arial"/>
                <w:color w:val="auto"/>
                <w:sz w:val="20"/>
                <w:szCs w:val="20"/>
                <w:highlight w:val="none"/>
              </w:rPr>
            </w:pPr>
          </w:p>
        </w:tc>
        <w:tc>
          <w:tcPr>
            <w:tcW w:w="1448" w:type="dxa"/>
            <w:tcBorders>
              <w:top w:val="nil"/>
              <w:left w:val="nil"/>
              <w:bottom w:val="nil"/>
              <w:right w:val="nil"/>
            </w:tcBorders>
            <w:noWrap/>
            <w:vAlign w:val="bottom"/>
          </w:tcPr>
          <w:p>
            <w:pPr>
              <w:rPr>
                <w:rFonts w:ascii="Arial" w:hAnsi="Arial" w:cs="Arial"/>
                <w:color w:val="auto"/>
                <w:sz w:val="20"/>
                <w:szCs w:val="20"/>
                <w:highlight w:val="none"/>
              </w:rPr>
            </w:pPr>
          </w:p>
        </w:tc>
        <w:tc>
          <w:tcPr>
            <w:tcW w:w="2465"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108" w:type="dxa"/>
            <w:bottom w:w="0" w:type="dxa"/>
            <w:right w:w="108" w:type="dxa"/>
          </w:tblCellMar>
        </w:tblPrEx>
        <w:trPr>
          <w:trHeight w:val="264" w:hRule="atLeast"/>
        </w:trPr>
        <w:tc>
          <w:tcPr>
            <w:tcW w:w="8799" w:type="dxa"/>
            <w:gridSpan w:val="7"/>
            <w:tcBorders>
              <w:top w:val="nil"/>
              <w:left w:val="nil"/>
              <w:bottom w:val="nil"/>
              <w:right w:val="nil"/>
            </w:tcBorders>
            <w:noWrap/>
            <w:vAlign w:val="bottom"/>
          </w:tcPr>
          <w:p>
            <w:pPr>
              <w:widowControl/>
              <w:jc w:val="lef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单位</w:t>
            </w:r>
            <w:r>
              <w:rPr>
                <w:rFonts w:hint="eastAsia" w:ascii="宋体" w:hAnsi="宋体" w:cs="宋体"/>
                <w:color w:val="auto"/>
                <w:kern w:val="0"/>
                <w:sz w:val="20"/>
                <w:szCs w:val="20"/>
                <w:highlight w:val="none"/>
                <w:lang w:bidi="ar"/>
              </w:rPr>
              <w:t>：许昌市自然资源和规划局(本级）</w:t>
            </w:r>
          </w:p>
        </w:tc>
        <w:tc>
          <w:tcPr>
            <w:tcW w:w="5279" w:type="dxa"/>
            <w:gridSpan w:val="3"/>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35" w:hRule="atLeast"/>
        </w:trPr>
        <w:tc>
          <w:tcPr>
            <w:tcW w:w="50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w:t>
            </w:r>
          </w:p>
        </w:tc>
        <w:tc>
          <w:tcPr>
            <w:tcW w:w="132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110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本年收入</w:t>
            </w:r>
          </w:p>
        </w:tc>
        <w:tc>
          <w:tcPr>
            <w:tcW w:w="4124"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本年支出</w:t>
            </w:r>
          </w:p>
        </w:tc>
        <w:tc>
          <w:tcPr>
            <w:tcW w:w="246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年末结转和结余</w:t>
            </w:r>
          </w:p>
        </w:tc>
      </w:tr>
      <w:tr>
        <w:tblPrEx>
          <w:tblCellMar>
            <w:top w:w="0" w:type="dxa"/>
            <w:left w:w="108" w:type="dxa"/>
            <w:bottom w:w="0" w:type="dxa"/>
            <w:right w:w="108" w:type="dxa"/>
          </w:tblCellMar>
        </w:tblPrEx>
        <w:trPr>
          <w:trHeight w:val="312" w:hRule="atLeast"/>
        </w:trPr>
        <w:tc>
          <w:tcPr>
            <w:tcW w:w="2094"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2970"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3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小计</w:t>
            </w:r>
          </w:p>
        </w:tc>
        <w:tc>
          <w:tcPr>
            <w:tcW w:w="136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44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24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09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29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3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24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09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29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3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3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14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c>
          <w:tcPr>
            <w:tcW w:w="24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5064"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栏次</w:t>
            </w:r>
          </w:p>
        </w:tc>
        <w:tc>
          <w:tcPr>
            <w:tcW w:w="1322"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10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310"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36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448"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246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0" w:type="dxa"/>
            <w:left w:w="108" w:type="dxa"/>
            <w:bottom w:w="0" w:type="dxa"/>
            <w:right w:w="108" w:type="dxa"/>
          </w:tblCellMar>
        </w:tblPrEx>
        <w:trPr>
          <w:trHeight w:val="235" w:hRule="atLeast"/>
        </w:trPr>
        <w:tc>
          <w:tcPr>
            <w:tcW w:w="5064"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合计</w:t>
            </w: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c>
          <w:tcPr>
            <w:tcW w:w="131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c>
          <w:tcPr>
            <w:tcW w:w="13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c>
          <w:tcPr>
            <w:tcW w:w="144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c>
          <w:tcPr>
            <w:tcW w:w="246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highlight w:val="none"/>
              </w:rPr>
            </w:pPr>
          </w:p>
        </w:tc>
      </w:tr>
      <w:tr>
        <w:tblPrEx>
          <w:tblCellMar>
            <w:top w:w="0" w:type="dxa"/>
            <w:left w:w="108" w:type="dxa"/>
            <w:bottom w:w="0" w:type="dxa"/>
            <w:right w:w="108" w:type="dxa"/>
          </w:tblCellMar>
        </w:tblPrEx>
        <w:trPr>
          <w:trHeight w:val="235" w:hRule="atLeast"/>
        </w:trPr>
        <w:tc>
          <w:tcPr>
            <w:tcW w:w="2094"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p>
        </w:tc>
        <w:tc>
          <w:tcPr>
            <w:tcW w:w="297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31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3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44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246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2094"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p>
        </w:tc>
        <w:tc>
          <w:tcPr>
            <w:tcW w:w="297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p>
        </w:tc>
        <w:tc>
          <w:tcPr>
            <w:tcW w:w="132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31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3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144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c>
          <w:tcPr>
            <w:tcW w:w="246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235" w:hRule="atLeast"/>
        </w:trPr>
        <w:tc>
          <w:tcPr>
            <w:tcW w:w="14078" w:type="dxa"/>
            <w:gridSpan w:val="10"/>
            <w:tcBorders>
              <w:top w:val="nil"/>
              <w:left w:val="nil"/>
              <w:bottom w:val="nil"/>
              <w:right w:val="nil"/>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注：本表反映</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本年度政府性基金预算财政拨款收入、支出及结转和结余情况。</w:t>
            </w:r>
          </w:p>
        </w:tc>
      </w:tr>
    </w:tbl>
    <w:p>
      <w:pPr>
        <w:rPr>
          <w:rFonts w:hint="eastAsia" w:ascii="仿宋_GB2312" w:hAnsi="仿宋_GB2312" w:eastAsia="仿宋_GB2312" w:cs="仿宋_GB2312"/>
          <w:color w:val="auto"/>
          <w:sz w:val="32"/>
          <w:szCs w:val="32"/>
          <w:highlight w:val="none"/>
        </w:rPr>
      </w:pPr>
    </w:p>
    <w:p>
      <w:pPr>
        <w:jc w:val="both"/>
        <w:outlineLvl w:val="9"/>
        <w:rPr>
          <w:rFonts w:hint="eastAsia" w:ascii="仿宋_GB2312" w:hAnsi="仿宋_GB2312" w:eastAsia="仿宋_GB2312" w:cs="仿宋_GB2312"/>
          <w:color w:val="auto"/>
          <w:sz w:val="32"/>
          <w:szCs w:val="32"/>
          <w:highlight w:val="none"/>
          <w:lang w:val="en-US" w:eastAsia="zh-CN"/>
        </w:rPr>
      </w:pPr>
    </w:p>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2021年度收、支总计均为2684.97万元。与上年度相比，收、支总计各减少2566.41万元，下降48.87%。主要原因是</w:t>
      </w:r>
      <w:r>
        <w:rPr>
          <w:rFonts w:hint="eastAsia" w:ascii="仿宋_GB2312" w:hAnsi="仿宋_GB2312" w:eastAsia="仿宋_GB2312" w:cs="仿宋_GB2312"/>
          <w:color w:val="auto"/>
          <w:sz w:val="32"/>
          <w:szCs w:val="32"/>
          <w:highlight w:val="none"/>
        </w:rPr>
        <w:t>业务费减少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2021年度收入合计2184.45万元，其中：财政拨款收入2184.45万元，占100%，</w:t>
      </w:r>
      <w:r>
        <w:rPr>
          <w:rFonts w:hint="eastAsia" w:ascii="仿宋_GB2312" w:hAnsi="仿宋_GB2312" w:eastAsia="仿宋_GB2312" w:cs="仿宋_GB2312"/>
          <w:color w:val="auto"/>
          <w:sz w:val="32"/>
          <w:szCs w:val="32"/>
          <w:highlight w:val="none"/>
        </w:rPr>
        <w:t>上级补助收入0万元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；经营收入0万元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；附属单位上缴收入0万元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；其他收入0万元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2021年度支出合计2679.90万元，其中：基本支出1587.46万元，占59.24%；项目支出1092.44万元，占40.76%；上缴上级支出0万元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；经营支出0万元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；对附属单位补助支出0万元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2021年度财政拨款收、支总计均为2684.97万元。与上年度相比，财政拨款收、支总计各减少2566.41万元，下降48.87%。主要原因是</w:t>
      </w:r>
      <w:r>
        <w:rPr>
          <w:rFonts w:hint="eastAsia" w:ascii="仿宋_GB2312" w:hAnsi="仿宋_GB2312" w:eastAsia="仿宋_GB2312" w:cs="仿宋_GB2312"/>
          <w:color w:val="auto"/>
          <w:sz w:val="32"/>
          <w:szCs w:val="32"/>
          <w:highlight w:val="none"/>
        </w:rPr>
        <w:t>业务费减少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2021年度一般公共预算财政拨款支出2679.90万元，占本年支出合计的100%。与上年度相比，一般公共预算财政拨款支出减少1994.93万元，下降42.67%。主要原因是业务费减少。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一般公共预算财政拨款支出</w:t>
      </w:r>
      <w:r>
        <w:rPr>
          <w:rFonts w:hint="eastAsia" w:ascii="仿宋_GB2312" w:hAnsi="仿宋_GB2312" w:eastAsia="仿宋_GB2312" w:cs="仿宋_GB2312"/>
          <w:color w:val="auto"/>
          <w:sz w:val="32"/>
          <w:szCs w:val="32"/>
          <w:highlight w:val="none"/>
          <w:lang w:val="en-US" w:eastAsia="zh-CN"/>
        </w:rPr>
        <w:t>2679.90</w:t>
      </w:r>
      <w:r>
        <w:rPr>
          <w:rFonts w:hint="eastAsia" w:ascii="仿宋_GB2312" w:hAnsi="仿宋_GB2312" w:eastAsia="仿宋_GB2312" w:cs="仿宋_GB2312"/>
          <w:color w:val="auto"/>
          <w:sz w:val="32"/>
          <w:szCs w:val="32"/>
          <w:highlight w:val="none"/>
        </w:rPr>
        <w:t>万元，主要用于以下方面：一般公共服务（类）支出5.</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万元，占0.</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 w:eastAsia="zh-CN"/>
        </w:rPr>
        <w:t>0</w:t>
      </w:r>
      <w:r>
        <w:rPr>
          <w:rFonts w:hint="eastAsia" w:ascii="仿宋_GB2312" w:hAnsi="仿宋_GB2312" w:eastAsia="仿宋_GB2312" w:cs="仿宋_GB2312"/>
          <w:color w:val="auto"/>
          <w:sz w:val="32"/>
          <w:szCs w:val="32"/>
          <w:highlight w:val="none"/>
        </w:rPr>
        <w:t>%；社会保障和就业（类）支出2</w:t>
      </w:r>
      <w:r>
        <w:rPr>
          <w:rFonts w:hint="eastAsia" w:ascii="仿宋_GB2312" w:hAnsi="仿宋_GB2312" w:eastAsia="仿宋_GB2312" w:cs="仿宋_GB2312"/>
          <w:color w:val="auto"/>
          <w:sz w:val="32"/>
          <w:szCs w:val="32"/>
          <w:highlight w:val="none"/>
          <w:lang w:val="en-US" w:eastAsia="zh-CN"/>
        </w:rPr>
        <w:t>25.14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8.40</w:t>
      </w:r>
      <w:r>
        <w:rPr>
          <w:rFonts w:hint="eastAsia" w:ascii="仿宋_GB2312" w:hAnsi="仿宋_GB2312" w:eastAsia="仿宋_GB2312" w:cs="仿宋_GB2312"/>
          <w:color w:val="auto"/>
          <w:sz w:val="32"/>
          <w:szCs w:val="32"/>
          <w:highlight w:val="none"/>
        </w:rPr>
        <w:t>%；卫生健康（类）支出6</w:t>
      </w:r>
      <w:r>
        <w:rPr>
          <w:rFonts w:hint="eastAsia" w:ascii="仿宋_GB2312" w:hAnsi="仿宋_GB2312" w:eastAsia="仿宋_GB2312" w:cs="仿宋_GB2312"/>
          <w:color w:val="auto"/>
          <w:sz w:val="32"/>
          <w:szCs w:val="32"/>
          <w:highlight w:val="none"/>
          <w:lang w:val="en-US" w:eastAsia="zh-CN"/>
        </w:rPr>
        <w:t>0.83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2.27</w:t>
      </w:r>
      <w:r>
        <w:rPr>
          <w:rFonts w:hint="eastAsia" w:ascii="仿宋_GB2312" w:hAnsi="仿宋_GB2312" w:eastAsia="仿宋_GB2312" w:cs="仿宋_GB2312"/>
          <w:color w:val="auto"/>
          <w:sz w:val="32"/>
          <w:szCs w:val="32"/>
          <w:highlight w:val="none"/>
        </w:rPr>
        <w:t>%；城乡社区（类）支出</w:t>
      </w:r>
      <w:r>
        <w:rPr>
          <w:rFonts w:hint="eastAsia" w:ascii="仿宋_GB2312" w:hAnsi="仿宋_GB2312" w:eastAsia="仿宋_GB2312" w:cs="仿宋_GB2312"/>
          <w:color w:val="auto"/>
          <w:sz w:val="32"/>
          <w:szCs w:val="32"/>
          <w:highlight w:val="none"/>
          <w:lang w:val="en-US" w:eastAsia="zh-CN"/>
        </w:rPr>
        <w:t>2339.59</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rPr>
        <w:t>元，占8</w:t>
      </w:r>
      <w:r>
        <w:rPr>
          <w:rFonts w:hint="eastAsia" w:ascii="仿宋_GB2312" w:hAnsi="仿宋_GB2312" w:eastAsia="仿宋_GB2312" w:cs="仿宋_GB2312"/>
          <w:color w:val="auto"/>
          <w:sz w:val="32"/>
          <w:szCs w:val="32"/>
          <w:highlight w:val="none"/>
          <w:lang w:val="en-US" w:eastAsia="zh-CN"/>
        </w:rPr>
        <w:t>7.30</w:t>
      </w:r>
      <w:r>
        <w:rPr>
          <w:rFonts w:hint="eastAsia" w:ascii="仿宋_GB2312" w:hAnsi="仿宋_GB2312" w:eastAsia="仿宋_GB2312" w:cs="仿宋_GB2312"/>
          <w:color w:val="auto"/>
          <w:sz w:val="32"/>
          <w:szCs w:val="32"/>
          <w:highlight w:val="none"/>
        </w:rPr>
        <w:t>%；农林水（类）支出</w:t>
      </w:r>
      <w:r>
        <w:rPr>
          <w:rFonts w:hint="eastAsia" w:ascii="仿宋_GB2312" w:hAnsi="仿宋_GB2312" w:eastAsia="仿宋_GB2312" w:cs="仿宋_GB2312"/>
          <w:color w:val="auto"/>
          <w:sz w:val="32"/>
          <w:szCs w:val="32"/>
          <w:highlight w:val="none"/>
          <w:lang w:val="en-US" w:eastAsia="zh-CN"/>
        </w:rPr>
        <w:t>49.05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1.83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2021年度一般公共预算财政拨款支出年初预算为1477.13万元，支出决算为2679.90万元，完成年初预算的181.43%。其中：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一般公共服务支出（类）群众团体事务（款）工会事务（项）。</w:t>
      </w:r>
      <w:r>
        <w:rPr>
          <w:rFonts w:hint="eastAsia" w:ascii="仿宋_GB2312" w:hAnsi="仿宋_GB2312" w:eastAsia="仿宋_GB2312" w:cs="仿宋_GB2312"/>
          <w:color w:val="auto"/>
          <w:sz w:val="32"/>
          <w:szCs w:val="32"/>
          <w:highlight w:val="none"/>
        </w:rPr>
        <w:t>年初预算为5.</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万元，支出决算为5.</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万元，完成年初预算的100%。决算数与年初预算数不存在差异。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（款）行政单位离退休</w:t>
      </w:r>
      <w:r>
        <w:rPr>
          <w:rFonts w:hint="eastAsia" w:ascii="仿宋_GB2312" w:hAnsi="仿宋_GB2312" w:eastAsia="仿宋_GB2312" w:cs="仿宋_GB2312"/>
          <w:b/>
          <w:bCs/>
          <w:color w:val="auto"/>
          <w:sz w:val="32"/>
          <w:szCs w:val="32"/>
          <w:highlight w:val="none"/>
          <w:lang w:eastAsia="zh-CN"/>
        </w:rPr>
        <w:t>（项）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年初预算为14</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万元，支出决算为14</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7万元，完成年初预算的</w:t>
      </w:r>
      <w:r>
        <w:rPr>
          <w:rFonts w:hint="eastAsia" w:ascii="仿宋_GB2312" w:hAnsi="仿宋_GB2312" w:eastAsia="仿宋_GB2312" w:cs="仿宋_GB2312"/>
          <w:color w:val="auto"/>
          <w:sz w:val="32"/>
          <w:szCs w:val="32"/>
          <w:highlight w:val="none"/>
          <w:lang w:val="en-US" w:eastAsia="zh-CN"/>
        </w:rPr>
        <w:t>101.1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退休人员增加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宋体" w:eastAsia="仿宋_GB2312" w:cs="仿宋_GB2312"/>
          <w:color w:val="auto"/>
          <w:kern w:val="0"/>
          <w:sz w:val="32"/>
          <w:szCs w:val="32"/>
          <w:highlight w:val="none"/>
          <w:lang w:bidi="ar"/>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（款）机关事业单位基本养老保险缴费支出（项）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年初预算为65.69万元，支出决算为63.79万元，完成年初预算的97.11%。</w:t>
      </w:r>
      <w:r>
        <w:rPr>
          <w:rFonts w:hint="eastAsia" w:ascii="仿宋_GB2312" w:hAnsi="宋体" w:eastAsia="仿宋_GB2312" w:cs="仿宋_GB2312"/>
          <w:color w:val="auto"/>
          <w:kern w:val="0"/>
          <w:sz w:val="31"/>
          <w:szCs w:val="31"/>
          <w:highlight w:val="none"/>
          <w:lang w:bidi="ar"/>
        </w:rPr>
        <w:t xml:space="preserve">决算数与年初预算数存在差异的主要原因是工资调整。 </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社会保障和就业支出（类）抚恤（款）死亡抚恤（项）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年初预算为0万元，支出决算为</w:t>
      </w:r>
      <w:r>
        <w:rPr>
          <w:rFonts w:hint="eastAsia" w:ascii="仿宋_GB2312" w:hAnsi="仿宋_GB2312" w:eastAsia="仿宋_GB2312" w:cs="仿宋_GB2312"/>
          <w:color w:val="auto"/>
          <w:sz w:val="32"/>
          <w:szCs w:val="32"/>
          <w:highlight w:val="none"/>
          <w:lang w:val="en-US" w:eastAsia="zh-CN"/>
        </w:rPr>
        <w:t>19.27</w:t>
      </w:r>
      <w:r>
        <w:rPr>
          <w:rFonts w:hint="eastAsia" w:ascii="仿宋_GB2312" w:hAnsi="仿宋_GB2312" w:eastAsia="仿宋_GB2312" w:cs="仿宋_GB2312"/>
          <w:color w:val="auto"/>
          <w:sz w:val="32"/>
          <w:szCs w:val="32"/>
          <w:highlight w:val="none"/>
        </w:rPr>
        <w:t>万元。决算数与年初预算数存在差异的主要原因是此款系本级财政追加资金。</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宋体" w:eastAsia="仿宋_GB2312" w:cs="仿宋_GB2312"/>
          <w:color w:val="auto"/>
          <w:kern w:val="0"/>
          <w:sz w:val="32"/>
          <w:szCs w:val="32"/>
          <w:highlight w:val="none"/>
          <w:lang w:bidi="ar"/>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33.55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31.15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92.85</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color w:val="auto"/>
          <w:kern w:val="0"/>
          <w:sz w:val="31"/>
          <w:szCs w:val="31"/>
          <w:highlight w:val="none"/>
          <w:lang w:bidi="ar"/>
        </w:rPr>
        <w:t xml:space="preserve">决算数与年初预算数存在差异的主要原因是工资调整。 </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宋体" w:eastAsia="仿宋_GB2312" w:cs="仿宋_GB2312"/>
          <w:color w:val="auto"/>
          <w:kern w:val="0"/>
          <w:sz w:val="32"/>
          <w:szCs w:val="32"/>
          <w:highlight w:val="none"/>
          <w:lang w:bidi="ar"/>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卫生健康支出（类）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（款）公务员医疗补助（项）。</w:t>
      </w:r>
      <w:r>
        <w:rPr>
          <w:rFonts w:hint="eastAsia" w:ascii="仿宋_GB2312" w:hAnsi="仿宋_GB2312" w:eastAsia="仿宋_GB2312" w:cs="仿宋_GB2312"/>
          <w:color w:val="auto"/>
          <w:sz w:val="32"/>
          <w:szCs w:val="32"/>
          <w:highlight w:val="none"/>
        </w:rPr>
        <w:t>年初预算为31.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5万元，支出决算为</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.67万元，完成年初预算的9</w:t>
      </w:r>
      <w:r>
        <w:rPr>
          <w:rFonts w:hint="eastAsia" w:ascii="仿宋_GB2312" w:hAnsi="仿宋_GB2312" w:eastAsia="仿宋_GB2312" w:cs="仿宋_GB2312"/>
          <w:color w:val="auto"/>
          <w:sz w:val="32"/>
          <w:szCs w:val="32"/>
          <w:highlight w:val="none"/>
          <w:lang w:val="en-US" w:eastAsia="zh-CN"/>
        </w:rPr>
        <w:t>2.86</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color w:val="auto"/>
          <w:kern w:val="0"/>
          <w:sz w:val="31"/>
          <w:szCs w:val="31"/>
          <w:highlight w:val="none"/>
          <w:lang w:bidi="ar"/>
        </w:rPr>
        <w:t xml:space="preserve">决算数与年初预算数存在差异的主要原因是工资调整。 </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城乡社区</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（类）城乡社区管理事务（款）行政运行（项）。</w:t>
      </w:r>
      <w:r>
        <w:rPr>
          <w:rFonts w:hint="eastAsia" w:ascii="仿宋_GB2312" w:hAnsi="仿宋_GB2312" w:eastAsia="仿宋_GB2312" w:cs="仿宋_GB2312"/>
          <w:color w:val="auto"/>
          <w:sz w:val="32"/>
          <w:szCs w:val="32"/>
          <w:highlight w:val="none"/>
        </w:rPr>
        <w:t>年初预算为1</w:t>
      </w:r>
      <w:r>
        <w:rPr>
          <w:rFonts w:hint="eastAsia" w:ascii="仿宋_GB2312" w:hAnsi="仿宋_GB2312" w:eastAsia="仿宋_GB2312" w:cs="仿宋_GB2312"/>
          <w:color w:val="auto"/>
          <w:sz w:val="32"/>
          <w:szCs w:val="32"/>
          <w:highlight w:val="none"/>
          <w:lang w:val="en-US" w:eastAsia="zh-CN"/>
        </w:rPr>
        <w:t>157.16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1327.79</w:t>
      </w:r>
      <w:r>
        <w:rPr>
          <w:rFonts w:hint="eastAsia" w:ascii="仿宋_GB2312" w:hAnsi="仿宋_GB2312" w:eastAsia="仿宋_GB2312" w:cs="仿宋_GB2312"/>
          <w:color w:val="auto"/>
          <w:sz w:val="32"/>
          <w:szCs w:val="32"/>
          <w:highlight w:val="none"/>
        </w:rPr>
        <w:t>万元，完成年初预算的1</w:t>
      </w:r>
      <w:r>
        <w:rPr>
          <w:rFonts w:hint="eastAsia" w:ascii="仿宋_GB2312" w:hAnsi="仿宋_GB2312" w:eastAsia="仿宋_GB2312" w:cs="仿宋_GB2312"/>
          <w:color w:val="auto"/>
          <w:sz w:val="32"/>
          <w:szCs w:val="32"/>
          <w:highlight w:val="none"/>
          <w:lang w:val="en-US" w:eastAsia="zh-CN"/>
        </w:rPr>
        <w:t>14.75</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rPr>
        <w:t>支出中包含上年结转和本年追加经费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城乡社区</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（类）城乡社区管理事务（款）一般行政管理</w:t>
      </w:r>
      <w:r>
        <w:rPr>
          <w:rFonts w:hint="eastAsia" w:ascii="仿宋_GB2312" w:hAnsi="仿宋_GB2312" w:eastAsia="仿宋_GB2312" w:cs="仿宋_GB2312"/>
          <w:b/>
          <w:bCs/>
          <w:color w:val="auto"/>
          <w:sz w:val="32"/>
          <w:szCs w:val="32"/>
          <w:highlight w:val="none"/>
          <w:lang w:val="en-US" w:eastAsia="zh-CN"/>
        </w:rPr>
        <w:t>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1011.80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4399.13</w:t>
      </w:r>
      <w:r>
        <w:rPr>
          <w:rFonts w:hint="eastAsia" w:ascii="仿宋_GB2312" w:hAnsi="仿宋_GB2312" w:eastAsia="仿宋_GB2312" w:cs="仿宋_GB2312"/>
          <w:color w:val="auto"/>
          <w:sz w:val="32"/>
          <w:szCs w:val="32"/>
          <w:highlight w:val="none"/>
        </w:rPr>
        <w:t>%。决算数与年初预算数存在差异的主要</w:t>
      </w:r>
      <w:r>
        <w:rPr>
          <w:rFonts w:hint="eastAsia" w:ascii="仿宋_GB2312" w:hAnsi="仿宋_GB2312" w:eastAsia="仿宋_GB2312" w:cs="仿宋_GB2312"/>
          <w:color w:val="auto"/>
          <w:sz w:val="32"/>
          <w:szCs w:val="32"/>
          <w:highlight w:val="none"/>
        </w:rPr>
        <w:t>原因是支出中包含上年结转和本年追加经费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农林水支出（类）林业和草原（款）一般行政管理事务（项）。</w:t>
      </w:r>
      <w:r>
        <w:rPr>
          <w:rFonts w:hint="eastAsia" w:ascii="仿宋_GB2312" w:hAnsi="仿宋_GB2312" w:eastAsia="仿宋_GB2312" w:cs="仿宋_GB2312"/>
          <w:color w:val="auto"/>
          <w:sz w:val="32"/>
          <w:szCs w:val="32"/>
          <w:highlight w:val="none"/>
        </w:rPr>
        <w:t>年初预算为0万元，支出决算为</w:t>
      </w:r>
      <w:r>
        <w:rPr>
          <w:rFonts w:hint="eastAsia" w:ascii="仿宋_GB2312" w:hAnsi="仿宋_GB2312" w:eastAsia="仿宋_GB2312" w:cs="仿宋_GB2312"/>
          <w:color w:val="auto"/>
          <w:sz w:val="32"/>
          <w:szCs w:val="32"/>
          <w:highlight w:val="none"/>
          <w:lang w:val="en-US" w:eastAsia="zh-CN"/>
        </w:rPr>
        <w:t>23.39</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rPr>
        <w:t>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农林水支出（类）林业和草原（款）森林</w:t>
      </w:r>
      <w:r>
        <w:rPr>
          <w:rFonts w:hint="eastAsia" w:ascii="仿宋_GB2312" w:hAnsi="仿宋_GB2312" w:eastAsia="仿宋_GB2312" w:cs="仿宋_GB2312"/>
          <w:b/>
          <w:bCs/>
          <w:color w:val="auto"/>
          <w:sz w:val="32"/>
          <w:szCs w:val="32"/>
          <w:highlight w:val="none"/>
          <w:lang w:eastAsia="zh-CN"/>
        </w:rPr>
        <w:t>资源</w:t>
      </w:r>
      <w:r>
        <w:rPr>
          <w:rFonts w:hint="eastAsia" w:ascii="仿宋_GB2312" w:hAnsi="仿宋_GB2312" w:eastAsia="仿宋_GB2312" w:cs="仿宋_GB2312"/>
          <w:b/>
          <w:bCs/>
          <w:color w:val="auto"/>
          <w:sz w:val="32"/>
          <w:szCs w:val="32"/>
          <w:highlight w:val="none"/>
        </w:rPr>
        <w:t>培育（项）。</w:t>
      </w:r>
      <w:r>
        <w:rPr>
          <w:rFonts w:hint="eastAsia" w:ascii="仿宋_GB2312" w:hAnsi="仿宋_GB2312" w:eastAsia="仿宋_GB2312" w:cs="仿宋_GB2312"/>
          <w:color w:val="auto"/>
          <w:sz w:val="32"/>
          <w:szCs w:val="32"/>
          <w:highlight w:val="none"/>
        </w:rPr>
        <w:t>年初预算为0万元，支出决算为</w:t>
      </w:r>
      <w:r>
        <w:rPr>
          <w:rFonts w:hint="eastAsia" w:ascii="仿宋_GB2312" w:hAnsi="仿宋_GB2312" w:eastAsia="仿宋_GB2312" w:cs="仿宋_GB2312"/>
          <w:color w:val="auto"/>
          <w:sz w:val="32"/>
          <w:szCs w:val="32"/>
          <w:highlight w:val="none"/>
          <w:lang w:val="en-US" w:eastAsia="zh-CN"/>
        </w:rPr>
        <w:t>21.37</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rPr>
        <w:t>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农林水支出（类）林业和草原（款）</w:t>
      </w:r>
      <w:r>
        <w:rPr>
          <w:rFonts w:hint="eastAsia" w:ascii="仿宋_GB2312" w:hAnsi="仿宋_GB2312" w:eastAsia="仿宋_GB2312" w:cs="仿宋_GB2312"/>
          <w:b/>
          <w:bCs/>
          <w:color w:val="auto"/>
          <w:sz w:val="32"/>
          <w:szCs w:val="32"/>
          <w:highlight w:val="none"/>
          <w:lang w:eastAsia="zh-CN"/>
        </w:rPr>
        <w:t>动植物保护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年初预算为0万元，支出决算为</w:t>
      </w:r>
      <w:r>
        <w:rPr>
          <w:rFonts w:hint="eastAsia" w:ascii="仿宋_GB2312" w:hAnsi="仿宋_GB2312" w:eastAsia="仿宋_GB2312" w:cs="仿宋_GB2312"/>
          <w:color w:val="auto"/>
          <w:sz w:val="32"/>
          <w:szCs w:val="32"/>
          <w:highlight w:val="none"/>
          <w:lang w:val="en-US" w:eastAsia="zh-CN"/>
        </w:rPr>
        <w:t>0.96</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rPr>
        <w:t>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农林水支出（类）林业和草原（款）</w:t>
      </w:r>
      <w:r>
        <w:rPr>
          <w:rFonts w:hint="eastAsia" w:ascii="仿宋_GB2312" w:hAnsi="仿宋_GB2312" w:eastAsia="仿宋_GB2312" w:cs="仿宋_GB2312"/>
          <w:b/>
          <w:bCs/>
          <w:color w:val="auto"/>
          <w:sz w:val="32"/>
          <w:szCs w:val="32"/>
          <w:highlight w:val="none"/>
          <w:lang w:eastAsia="zh-CN"/>
        </w:rPr>
        <w:t>林业草原防灾减灾</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年初预算为0万元，支出决算为</w:t>
      </w:r>
      <w:r>
        <w:rPr>
          <w:rFonts w:hint="eastAsia" w:ascii="仿宋_GB2312" w:hAnsi="仿宋_GB2312" w:eastAsia="仿宋_GB2312" w:cs="仿宋_GB2312"/>
          <w:color w:val="auto"/>
          <w:sz w:val="32"/>
          <w:szCs w:val="32"/>
          <w:highlight w:val="none"/>
          <w:lang w:val="en-US" w:eastAsia="zh-CN"/>
        </w:rPr>
        <w:t>3.33</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rPr>
        <w:t>此款系上级追加资金。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2021年度一般公共预算财政拨款基本支出1587.46万元。其中：人员经费1336.50万元，主要包括：</w:t>
      </w:r>
      <w:r>
        <w:rPr>
          <w:rFonts w:hint="eastAsia" w:ascii="仿宋_GB2312" w:hAnsi="仿宋_GB2312" w:eastAsia="仿宋_GB2312" w:cs="仿宋_GB2312"/>
          <w:color w:val="auto"/>
          <w:sz w:val="32"/>
          <w:szCs w:val="32"/>
          <w:highlight w:val="none"/>
        </w:rPr>
        <w:t>基本工资、津贴补贴、奖金、机关事业单位基本养老保险缴费、职工基本医疗保险缴费、公务员医疗补助缴费、其他社会保障缴费、住房公积金、其他工资福利支出、退休费、抚恤金、生活补助、其他对个人和家庭的补助支出</w:t>
      </w:r>
      <w:r>
        <w:rPr>
          <w:rFonts w:hint="eastAsia" w:ascii="仿宋_GB2312" w:hAnsi="仿宋_GB2312" w:eastAsia="仿宋_GB2312" w:cs="仿宋_GB2312"/>
          <w:color w:val="auto"/>
          <w:sz w:val="32"/>
          <w:szCs w:val="32"/>
          <w:highlight w:val="none"/>
          <w:lang w:val="en-US" w:eastAsia="zh-CN"/>
        </w:rPr>
        <w:t>；公用经费250.96万元，主要包括：</w:t>
      </w:r>
      <w:r>
        <w:rPr>
          <w:rFonts w:hint="eastAsia" w:ascii="仿宋_GB2312" w:hAnsi="仿宋_GB2312" w:eastAsia="仿宋_GB2312" w:cs="仿宋_GB2312"/>
          <w:color w:val="auto"/>
          <w:sz w:val="32"/>
          <w:szCs w:val="32"/>
          <w:highlight w:val="none"/>
        </w:rPr>
        <w:t>办公费、印刷费、</w:t>
      </w:r>
      <w:r>
        <w:rPr>
          <w:rFonts w:hint="eastAsia" w:ascii="仿宋_GB2312" w:hAnsi="仿宋_GB2312" w:eastAsia="仿宋_GB2312" w:cs="仿宋_GB2312"/>
          <w:color w:val="auto"/>
          <w:sz w:val="32"/>
          <w:szCs w:val="32"/>
          <w:highlight w:val="none"/>
          <w:lang w:eastAsia="zh-CN"/>
        </w:rPr>
        <w:t>咨询费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邮电费、取暖费、</w:t>
      </w:r>
      <w:r>
        <w:rPr>
          <w:rFonts w:hint="eastAsia" w:ascii="仿宋_GB2312" w:hAnsi="仿宋_GB2312" w:eastAsia="仿宋_GB2312" w:cs="仿宋_GB2312"/>
          <w:color w:val="auto"/>
          <w:sz w:val="32"/>
          <w:szCs w:val="32"/>
          <w:highlight w:val="none"/>
        </w:rPr>
        <w:t>物业管理费、差旅费、维修（护）费、</w:t>
      </w:r>
      <w:r>
        <w:rPr>
          <w:rFonts w:hint="eastAsia" w:ascii="仿宋_GB2312" w:hAnsi="仿宋_GB2312" w:eastAsia="仿宋_GB2312" w:cs="仿宋_GB2312"/>
          <w:color w:val="auto"/>
          <w:sz w:val="32"/>
          <w:szCs w:val="32"/>
          <w:highlight w:val="none"/>
          <w:lang w:eastAsia="zh-CN"/>
        </w:rPr>
        <w:t>租赁费、</w:t>
      </w:r>
      <w:r>
        <w:rPr>
          <w:rFonts w:hint="eastAsia" w:ascii="仿宋_GB2312" w:hAnsi="仿宋_GB2312" w:eastAsia="仿宋_GB2312" w:cs="仿宋_GB2312"/>
          <w:color w:val="auto"/>
          <w:sz w:val="32"/>
          <w:szCs w:val="32"/>
          <w:highlight w:val="none"/>
        </w:rPr>
        <w:t>会议费、培训费、公务接待费、劳务费、委托业务费、工会经费、福利费、公务用车运行维护费、其他交通费用、其他商品和服务支出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2021年度“三公”经费财政拨款支出预算为30.2</w:t>
      </w:r>
      <w:r>
        <w:rPr>
          <w:rFonts w:hint="default" w:ascii="仿宋_GB2312" w:hAnsi="仿宋_GB2312" w:eastAsia="仿宋_GB2312" w:cs="仿宋_GB2312"/>
          <w:color w:val="auto"/>
          <w:sz w:val="32"/>
          <w:szCs w:val="32"/>
          <w:highlight w:val="none"/>
          <w:lang w:val="en" w:eastAsia="zh-CN"/>
        </w:rPr>
        <w:t>0</w:t>
      </w:r>
      <w:r>
        <w:rPr>
          <w:rFonts w:hint="eastAsia" w:ascii="仿宋_GB2312" w:hAnsi="仿宋_GB2312" w:eastAsia="仿宋_GB2312" w:cs="仿宋_GB2312"/>
          <w:color w:val="auto"/>
          <w:sz w:val="32"/>
          <w:szCs w:val="32"/>
          <w:highlight w:val="none"/>
          <w:lang w:val="en-US" w:eastAsia="zh-CN"/>
        </w:rPr>
        <w:t>万元，支出决算为22.05万元，完成预算的73.01%。2021年度“三公”经费支出决算数与预算数存在差异的主要原因是</w:t>
      </w:r>
      <w:r>
        <w:rPr>
          <w:rFonts w:hint="eastAsia" w:ascii="仿宋_GB2312" w:hAnsi="仿宋_GB2312" w:eastAsia="仿宋_GB2312" w:cs="仿宋_GB2312"/>
          <w:color w:val="auto"/>
          <w:sz w:val="32"/>
          <w:szCs w:val="32"/>
          <w:highlight w:val="none"/>
        </w:rPr>
        <w:t>严格执行公务接待制度、公车管理制度，厉行勤俭节约</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万元；公务用车购置及运行费支出决算19.89万元，完成预算的99.45%，占90.20%；公务接待费支出决算2.16万元，完成预算的21.18%，占9.80%。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预算为0万元，支出决算为0万元，2021年度“三公”经费支出决算数与预算数不存在差异。</w:t>
      </w:r>
      <w:r>
        <w:rPr>
          <w:rFonts w:hint="eastAsia" w:ascii="仿宋_GB2312" w:hAnsi="仿宋_GB2312" w:eastAsia="仿宋_GB2312" w:cs="仿宋_GB2312"/>
          <w:color w:val="auto"/>
          <w:sz w:val="32"/>
          <w:szCs w:val="32"/>
          <w:highlight w:val="none"/>
          <w:u w:val="none"/>
          <w:lang w:val="en-US" w:eastAsia="zh-CN"/>
        </w:rPr>
        <w:t>全</w:t>
      </w:r>
      <w:r>
        <w:rPr>
          <w:rFonts w:hint="eastAsia" w:ascii="仿宋_GB2312" w:hAnsi="仿宋_GB2312" w:eastAsia="仿宋_GB2312" w:cs="仿宋_GB2312"/>
          <w:color w:val="auto"/>
          <w:sz w:val="32"/>
          <w:szCs w:val="32"/>
          <w:highlight w:val="none"/>
        </w:rPr>
        <w:t>年因公出国（境）团组0个，累计0人次。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预算为20万元，支出决算为19.89万元，完成预算的99.45%。</w:t>
      </w:r>
      <w:r>
        <w:rPr>
          <w:rFonts w:hint="eastAsia" w:ascii="仿宋_GB2312" w:hAnsi="仿宋_GB2312" w:eastAsia="仿宋_GB2312" w:cs="仿宋_GB2312"/>
          <w:color w:val="auto"/>
          <w:sz w:val="32"/>
          <w:szCs w:val="32"/>
          <w:highlight w:val="none"/>
        </w:rPr>
        <w:t>决算数与预算数存在差异的主要原因是严格执行车辆管理规定，减少车辆运行支出。</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19.89万元。主要用于</w:t>
      </w:r>
      <w:r>
        <w:rPr>
          <w:rFonts w:hint="eastAsia" w:ascii="仿宋_GB2312" w:hAnsi="仿宋_GB2312" w:eastAsia="仿宋_GB2312" w:cs="仿宋_GB2312"/>
          <w:color w:val="auto"/>
          <w:sz w:val="32"/>
          <w:szCs w:val="32"/>
          <w:highlight w:val="none"/>
        </w:rPr>
        <w:t>车辆维修维护、保险、路桥费等。202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年期末，</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开支财政拨款的公务用车保有量为5辆。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预算为10.20万元，支出决算为2.16万元，完成预算的21.18%。决算数与预算数存在差异的主要原因是</w:t>
      </w:r>
      <w:r>
        <w:rPr>
          <w:rFonts w:hint="eastAsia" w:ascii="仿宋_GB2312" w:hAnsi="仿宋_GB2312" w:eastAsia="仿宋_GB2312" w:cs="仿宋_GB2312"/>
          <w:color w:val="auto"/>
          <w:sz w:val="32"/>
          <w:szCs w:val="32"/>
          <w:highlight w:val="none"/>
        </w:rPr>
        <w:t>认真执行中央八项规定，严格按照规定的范围和标准做好接待工作</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0万元。2021年共接待国（境）外来访团组0个、来访外宾0人次（不包括陪同人员）。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2.16万元。主要用于</w:t>
      </w:r>
      <w:r>
        <w:rPr>
          <w:rFonts w:hint="eastAsia" w:ascii="仿宋_GB2312" w:hAnsi="宋体" w:eastAsia="仿宋_GB2312" w:cs="Courier New"/>
          <w:color w:val="auto"/>
          <w:sz w:val="32"/>
          <w:szCs w:val="32"/>
          <w:highlight w:val="none"/>
        </w:rPr>
        <w:t>上级检查工作、案件协查和外地来许考察等</w:t>
      </w:r>
      <w:r>
        <w:rPr>
          <w:rFonts w:hint="eastAsia" w:ascii="仿宋_GB2312" w:hAnsi="仿宋_GB2312" w:eastAsia="仿宋_GB2312" w:cs="仿宋_GB2312"/>
          <w:color w:val="auto"/>
          <w:sz w:val="32"/>
          <w:szCs w:val="32"/>
          <w:highlight w:val="none"/>
          <w:lang w:val="en-US" w:eastAsia="zh-CN"/>
        </w:rPr>
        <w:t>。2021年共接待国内来访团组25个、来宾142人次（不包括陪同人员）。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年度政府性基金预算财政拨款支出年初预算为0万元，支出决算为0万元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情况说明：</w:t>
      </w: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2021年度机关运行经费年初预算为276.42万元，支出决算为250.96万元，完成年初预算的90.79%。决算数与年初预算数存在差异的主要原因是压缩经费支出。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753.89</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753.89</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2679.90万元，其中：基本支出1587.46万元；支出项目9个，支出金额1092.44万元。开展项目绩效自评项目9个，自评金额1092.44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我单位按照省厅和市委、市政府各项决策部署，解放思想、大胆探索、突出重点，敢于担当，采取强有力措施，推动了自然资源和规划工作高效率、高质量开展。二是项目绩效自评情况。我单位共有9个项目批复了绩效目标，项目金额1092.44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95.60分。其中：8个项目评价等级为“优”、1个项目评价等级为“良”、0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许昌市财政局和我单位主管部门共选取我单位</w:t>
      </w:r>
      <w:r>
        <w:rPr>
          <w:rFonts w:hint="eastAsia" w:ascii="仿宋_GB2312" w:hAnsi="仿宋_GB2312" w:eastAsia="仿宋_GB2312" w:cs="仿宋_GB2312"/>
          <w:color w:val="auto"/>
          <w:kern w:val="0"/>
          <w:sz w:val="32"/>
          <w:szCs w:val="32"/>
          <w:highlight w:val="none"/>
          <w:lang w:val="en-US" w:eastAsia="zh-CN"/>
        </w:rPr>
        <w:t>1个项目开展重点绩效评价：0个项目等次为“优”、0个项目等次为“良”，1个项目等次为“中”，0个项目等次为“差”。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widowControl/>
        <w:ind w:firstLine="640" w:firstLineChars="200"/>
        <w:jc w:val="left"/>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47E3B"/>
    <w:multiLevelType w:val="singleLevel"/>
    <w:tmpl w:val="F8747E3B"/>
    <w:lvl w:ilvl="0" w:tentative="0">
      <w:start w:val="1"/>
      <w:numFmt w:val="chineseCounting"/>
      <w:suff w:val="space"/>
      <w:lvlText w:val="第%1部分"/>
      <w:lvlJc w:val="left"/>
      <w:rPr>
        <w:rFonts w:hint="eastAsia"/>
      </w:rPr>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3501DF8"/>
    <w:rsid w:val="06E54240"/>
    <w:rsid w:val="08201BE9"/>
    <w:rsid w:val="09CB5F78"/>
    <w:rsid w:val="0B8C5719"/>
    <w:rsid w:val="0DBA593F"/>
    <w:rsid w:val="0E0D1416"/>
    <w:rsid w:val="10B57FE7"/>
    <w:rsid w:val="16006334"/>
    <w:rsid w:val="16932BF5"/>
    <w:rsid w:val="174F3FD9"/>
    <w:rsid w:val="18010010"/>
    <w:rsid w:val="1B122CF5"/>
    <w:rsid w:val="1F4601B0"/>
    <w:rsid w:val="247B7807"/>
    <w:rsid w:val="2C7219A3"/>
    <w:rsid w:val="2D7B23E8"/>
    <w:rsid w:val="314F070A"/>
    <w:rsid w:val="322F032F"/>
    <w:rsid w:val="35EF2360"/>
    <w:rsid w:val="36D61674"/>
    <w:rsid w:val="396808F7"/>
    <w:rsid w:val="3A5E69D2"/>
    <w:rsid w:val="3F5A5575"/>
    <w:rsid w:val="4195647D"/>
    <w:rsid w:val="4621216A"/>
    <w:rsid w:val="47370CD6"/>
    <w:rsid w:val="4E5D3AD2"/>
    <w:rsid w:val="4E8722FC"/>
    <w:rsid w:val="52EB3E8C"/>
    <w:rsid w:val="52FF414D"/>
    <w:rsid w:val="56DF17B4"/>
    <w:rsid w:val="5A025174"/>
    <w:rsid w:val="5B237C9F"/>
    <w:rsid w:val="5D2107A8"/>
    <w:rsid w:val="5FBFBD3D"/>
    <w:rsid w:val="60826649"/>
    <w:rsid w:val="697138CB"/>
    <w:rsid w:val="6BAC5181"/>
    <w:rsid w:val="6BAE515B"/>
    <w:rsid w:val="6D9642E2"/>
    <w:rsid w:val="73F251CA"/>
    <w:rsid w:val="75FD51ED"/>
    <w:rsid w:val="773439AB"/>
    <w:rsid w:val="77A42CC1"/>
    <w:rsid w:val="78F7624D"/>
    <w:rsid w:val="7C492D20"/>
    <w:rsid w:val="7DE55306"/>
    <w:rsid w:val="7EA0028D"/>
    <w:rsid w:val="ABEE7248"/>
    <w:rsid w:val="BDDF1B92"/>
    <w:rsid w:val="DD7FCE0C"/>
    <w:rsid w:val="DFEA1188"/>
    <w:rsid w:val="E7FF1929"/>
    <w:rsid w:val="FBFC617B"/>
    <w:rsid w:val="FF17A6CE"/>
    <w:rsid w:val="FFDD47A5"/>
    <w:rsid w:val="FFFF3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5">
    <w:name w:val="annotation text"/>
    <w:basedOn w:val="1"/>
    <w:qFormat/>
    <w:uiPriority w:val="0"/>
    <w:pPr>
      <w:jc w:val="left"/>
    </w:pPr>
  </w:style>
  <w:style w:type="paragraph" w:styleId="6">
    <w:name w:val="Balloon Text"/>
    <w:basedOn w:val="1"/>
    <w:link w:val="15"/>
    <w:qFormat/>
    <w:uiPriority w:val="0"/>
    <w:rPr>
      <w:kern w:val="2"/>
      <w:sz w:val="18"/>
      <w:szCs w:val="18"/>
    </w:rPr>
  </w:style>
  <w:style w:type="paragraph" w:styleId="7">
    <w:name w:val="footer"/>
    <w:basedOn w:val="1"/>
    <w:link w:val="16"/>
    <w:qFormat/>
    <w:uiPriority w:val="0"/>
    <w:pPr>
      <w:tabs>
        <w:tab w:val="center" w:pos="4153"/>
        <w:tab w:val="right" w:pos="8306"/>
      </w:tabs>
      <w:snapToGrid w:val="0"/>
      <w:jc w:val="left"/>
    </w:pPr>
    <w:rPr>
      <w:kern w:val="2"/>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footnote text"/>
    <w:basedOn w:val="1"/>
    <w:qFormat/>
    <w:uiPriority w:val="0"/>
    <w:pPr>
      <w:snapToGrid w:val="0"/>
      <w:jc w:val="left"/>
    </w:pPr>
    <w:rPr>
      <w:sz w:val="18"/>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character" w:styleId="14">
    <w:name w:val="footnote reference"/>
    <w:basedOn w:val="11"/>
    <w:qFormat/>
    <w:uiPriority w:val="0"/>
    <w:rPr>
      <w:vertAlign w:val="superscript"/>
    </w:rPr>
  </w:style>
  <w:style w:type="character" w:customStyle="1" w:styleId="15">
    <w:name w:val="批注框文本 Char Char"/>
    <w:basedOn w:val="11"/>
    <w:link w:val="6"/>
    <w:qFormat/>
    <w:uiPriority w:val="0"/>
    <w:rPr>
      <w:kern w:val="2"/>
      <w:sz w:val="18"/>
      <w:szCs w:val="18"/>
    </w:rPr>
  </w:style>
  <w:style w:type="character" w:customStyle="1" w:styleId="16">
    <w:name w:val="页脚 Char Char"/>
    <w:link w:val="7"/>
    <w:qFormat/>
    <w:uiPriority w:val="0"/>
    <w:rPr>
      <w:kern w:val="2"/>
      <w:sz w:val="18"/>
      <w:szCs w:val="18"/>
    </w:rPr>
  </w:style>
  <w:style w:type="character" w:customStyle="1" w:styleId="17">
    <w:name w:val="页眉 Char Char"/>
    <w:link w:val="8"/>
    <w:qFormat/>
    <w:uiPriority w:val="0"/>
    <w:rPr>
      <w:kern w:val="2"/>
      <w:sz w:val="18"/>
      <w:szCs w:val="18"/>
    </w:rPr>
  </w:style>
  <w:style w:type="character" w:customStyle="1" w:styleId="18">
    <w:name w:val="font01"/>
    <w:basedOn w:val="11"/>
    <w:qFormat/>
    <w:uiPriority w:val="0"/>
    <w:rPr>
      <w:rFonts w:hint="eastAsia" w:ascii="宋体" w:hAnsi="宋体" w:eastAsia="宋体" w:cs="宋体"/>
      <w:color w:val="000000"/>
      <w:sz w:val="22"/>
      <w:szCs w:val="22"/>
      <w:u w:val="none"/>
    </w:rPr>
  </w:style>
  <w:style w:type="character" w:customStyle="1" w:styleId="19">
    <w:name w:val="font51"/>
    <w:basedOn w:val="11"/>
    <w:qFormat/>
    <w:uiPriority w:val="0"/>
    <w:rPr>
      <w:rFonts w:hint="eastAsia" w:ascii="宋体" w:hAnsi="宋体" w:eastAsia="宋体" w:cs="宋体"/>
      <w:color w:val="000000"/>
      <w:sz w:val="24"/>
      <w:szCs w:val="24"/>
      <w:u w:val="none"/>
    </w:rPr>
  </w:style>
  <w:style w:type="character" w:customStyle="1" w:styleId="20">
    <w:name w:val="font41"/>
    <w:basedOn w:val="11"/>
    <w:qFormat/>
    <w:uiPriority w:val="0"/>
    <w:rPr>
      <w:rFonts w:hint="eastAsia" w:ascii="宋体" w:hAnsi="宋体" w:eastAsia="宋体" w:cs="宋体"/>
      <w:color w:val="000000"/>
      <w:sz w:val="24"/>
      <w:szCs w:val="24"/>
      <w:u w:val="none"/>
    </w:rPr>
  </w:style>
  <w:style w:type="character" w:customStyle="1" w:styleId="21">
    <w:name w:val="font11"/>
    <w:basedOn w:val="11"/>
    <w:qFormat/>
    <w:uiPriority w:val="0"/>
    <w:rPr>
      <w:rFonts w:hint="eastAsia" w:ascii="宋体" w:hAnsi="宋体" w:eastAsia="宋体" w:cs="宋体"/>
      <w:color w:val="000000"/>
      <w:sz w:val="20"/>
      <w:szCs w:val="20"/>
      <w:u w:val="none"/>
    </w:rPr>
  </w:style>
  <w:style w:type="character" w:customStyle="1" w:styleId="22">
    <w:name w:val="font21"/>
    <w:basedOn w:val="11"/>
    <w:qFormat/>
    <w:uiPriority w:val="0"/>
    <w:rPr>
      <w:rFonts w:hint="eastAsia" w:ascii="宋体" w:hAnsi="宋体" w:eastAsia="宋体" w:cs="宋体"/>
      <w:color w:val="000000"/>
      <w:sz w:val="22"/>
      <w:szCs w:val="22"/>
      <w:u w:val="none"/>
    </w:rPr>
  </w:style>
  <w:style w:type="paragraph" w:customStyle="1" w:styleId="23">
    <w:name w:val="标题1"/>
    <w:basedOn w:val="4"/>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40</Pages>
  <Words>12413</Words>
  <Characters>14924</Characters>
  <Lines>57</Lines>
  <Paragraphs>16</Paragraphs>
  <TotalTime>109</TotalTime>
  <ScaleCrop>false</ScaleCrop>
  <LinksUpToDate>false</LinksUpToDate>
  <CharactersWithSpaces>15175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2023-09-17T11:15:31Z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C6F9C7BADDCD41E7AB316CCFB267F827_13</vt:lpwstr>
  </property>
</Properties>
</file>