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lang w:eastAsia="zh-CN"/>
        </w:rPr>
      </w:pPr>
      <w:bookmarkStart w:id="0" w:name="_GoBack"/>
      <w:bookmarkEnd w:id="0"/>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lang w:val="en-US" w:eastAsia="zh-CN"/>
        </w:rPr>
        <w:t>许昌市粮油质量检测中心单位</w:t>
      </w:r>
      <w:r>
        <w:rPr>
          <w:rFonts w:hint="eastAsia" w:ascii="黑体" w:hAnsi="黑体" w:eastAsia="黑体" w:cs="黑体"/>
          <w:sz w:val="52"/>
          <w:szCs w:val="52"/>
          <w:highlight w:val="none"/>
        </w:rPr>
        <w:t>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许昌市粮油质量检测中心概况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lang w:eastAsia="zh-CN"/>
        </w:rPr>
        <w:t>单位</w:t>
      </w:r>
      <w:r>
        <w:rPr>
          <w:rFonts w:hint="eastAsia" w:ascii="宋体" w:hAnsi="宋体" w:cs="宋体"/>
          <w:sz w:val="32"/>
          <w:szCs w:val="32"/>
          <w:highlight w:val="none"/>
        </w:rPr>
        <w:t>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第一部分  许昌市粮油质量检测中心</w:t>
      </w:r>
    </w:p>
    <w:p>
      <w:pPr>
        <w:widowControl/>
        <w:jc w:val="center"/>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w:t>
      </w:r>
      <w:r>
        <w:rPr>
          <w:rFonts w:hint="eastAsia" w:ascii="黑体" w:hAnsi="黑体" w:eastAsia="黑体" w:cs="黑体"/>
          <w:kern w:val="0"/>
          <w:sz w:val="32"/>
          <w:szCs w:val="32"/>
          <w:highlight w:val="none"/>
          <w:lang w:eastAsia="zh-CN"/>
        </w:rPr>
        <w:t>单位</w:t>
      </w:r>
      <w:r>
        <w:rPr>
          <w:rFonts w:hint="eastAsia" w:ascii="黑体" w:hAnsi="黑体" w:eastAsia="黑体" w:cs="黑体"/>
          <w:bCs/>
          <w:sz w:val="32"/>
          <w:szCs w:val="32"/>
          <w:highlight w:val="none"/>
        </w:rPr>
        <w:t>职责</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许昌市粮油质量检测中心主要职责是为保证粮食产品质量提供检测保障：粮食收获质量调查和品质测报；粮食入库出库质量检验；粮食质量和原粮卫生的检验检测；粮食收购资格检验能力证明；粮油质量监督检查。</w:t>
      </w: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kern w:val="0"/>
          <w:sz w:val="32"/>
          <w:szCs w:val="32"/>
        </w:rPr>
        <w:t>许昌市粮油质量检测中心</w:t>
      </w:r>
      <w:r>
        <w:rPr>
          <w:rFonts w:hint="eastAsia" w:ascii="仿宋_GB2312" w:hAnsi="仿宋_GB2312" w:eastAsia="仿宋_GB2312" w:cs="仿宋_GB2312"/>
          <w:color w:val="auto"/>
          <w:kern w:val="0"/>
          <w:sz w:val="32"/>
          <w:szCs w:val="32"/>
          <w:highlight w:val="none"/>
          <w:lang w:val="en-US" w:eastAsia="zh-CN"/>
        </w:rPr>
        <w:t>内设机构3个，包括：综合科、业务科、检验科。</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从决算单位构成看，</w:t>
      </w:r>
      <w:r>
        <w:rPr>
          <w:rFonts w:hint="eastAsia" w:ascii="仿宋_GB2312" w:hAnsi="仿宋_GB2312" w:eastAsia="仿宋_GB2312" w:cs="仿宋_GB2312"/>
          <w:kern w:val="0"/>
          <w:sz w:val="32"/>
          <w:szCs w:val="32"/>
        </w:rPr>
        <w:t>许昌市粮油质量检测中心</w:t>
      </w:r>
      <w:r>
        <w:rPr>
          <w:rFonts w:hint="eastAsia" w:ascii="仿宋_GB2312" w:hAnsi="仿宋_GB2312" w:eastAsia="仿宋_GB2312" w:cs="仿宋_GB2312"/>
          <w:color w:val="auto"/>
          <w:kern w:val="0"/>
          <w:sz w:val="32"/>
          <w:szCs w:val="32"/>
          <w:highlight w:val="none"/>
          <w:lang w:val="en-US" w:eastAsia="zh-CN"/>
        </w:rPr>
        <w:t>单位决算包括：本级决算。</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纳入本单位</w:t>
      </w:r>
      <w:r>
        <w:rPr>
          <w:rFonts w:hint="default" w:ascii="仿宋_GB2312" w:hAnsi="仿宋_GB2312" w:eastAsia="仿宋_GB2312" w:cs="仿宋_GB2312"/>
          <w:color w:val="auto"/>
          <w:kern w:val="0"/>
          <w:sz w:val="32"/>
          <w:szCs w:val="32"/>
          <w:highlight w:val="none"/>
          <w:lang w:eastAsia="zh-CN"/>
        </w:rPr>
        <w:t>2021</w:t>
      </w:r>
      <w:r>
        <w:rPr>
          <w:rFonts w:hint="eastAsia" w:ascii="仿宋_GB2312" w:hAnsi="仿宋_GB2312" w:eastAsia="仿宋_GB2312" w:cs="仿宋_GB2312"/>
          <w:color w:val="auto"/>
          <w:kern w:val="0"/>
          <w:sz w:val="32"/>
          <w:szCs w:val="32"/>
          <w:highlight w:val="none"/>
          <w:lang w:val="en-US" w:eastAsia="zh-CN"/>
        </w:rPr>
        <w:t>年度单位决算编制范围的单位共1个，具体是：</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许昌市粮油质量检测中心</w:t>
      </w:r>
    </w:p>
    <w:p>
      <w:pPr>
        <w:widowControl/>
        <w:ind w:firstLine="640" w:firstLineChars="200"/>
        <w:jc w:val="left"/>
        <w:rPr>
          <w:rFonts w:hint="eastAsia" w:ascii="仿宋_GB2312" w:hAnsi="仿宋_GB2312" w:eastAsia="仿宋_GB2312" w:cs="仿宋_GB2312"/>
          <w:kern w:val="0"/>
          <w:sz w:val="32"/>
          <w:szCs w:val="32"/>
          <w:highlight w:val="none"/>
        </w:rPr>
      </w:pPr>
    </w:p>
    <w:p>
      <w:pPr>
        <w:widowControl/>
        <w:jc w:val="left"/>
        <w:rPr>
          <w:rFonts w:hint="eastAsia" w:ascii="黑体" w:hAnsi="宋体" w:eastAsia="黑体" w:cs="宋体"/>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tbl>
      <w:tblPr>
        <w:tblStyle w:val="6"/>
        <w:tblpPr w:leftFromText="180" w:rightFromText="180" w:vertAnchor="text" w:horzAnchor="page" w:tblpX="2102" w:tblpY="599"/>
        <w:tblOverlap w:val="never"/>
        <w:tblW w:w="1251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428"/>
        <w:gridCol w:w="778"/>
        <w:gridCol w:w="1038"/>
        <w:gridCol w:w="4168"/>
        <w:gridCol w:w="778"/>
        <w:gridCol w:w="13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5" w:hRule="atLeast"/>
        </w:trPr>
        <w:tc>
          <w:tcPr>
            <w:tcW w:w="12512" w:type="dxa"/>
            <w:gridSpan w:val="6"/>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4428" w:type="dxa"/>
            <w:tcBorders>
              <w:top w:val="nil"/>
              <w:left w:val="nil"/>
              <w:bottom w:val="nil"/>
              <w:right w:val="nil"/>
            </w:tcBorders>
            <w:noWrap/>
            <w:vAlign w:val="bottom"/>
          </w:tcPr>
          <w:p>
            <w:pPr>
              <w:rPr>
                <w:rFonts w:hint="eastAsia" w:ascii="Arial" w:hAnsi="Arial" w:cs="Arial"/>
                <w:i w:val="0"/>
                <w:iCs w:val="0"/>
                <w:color w:val="000000"/>
                <w:sz w:val="18"/>
                <w:szCs w:val="18"/>
                <w:u w:val="none"/>
              </w:rPr>
            </w:pPr>
          </w:p>
        </w:tc>
        <w:tc>
          <w:tcPr>
            <w:tcW w:w="778"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038"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4168"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77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322"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4428" w:type="dxa"/>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：许昌市粮油质量检测中心</w:t>
            </w:r>
          </w:p>
        </w:tc>
        <w:tc>
          <w:tcPr>
            <w:tcW w:w="77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3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16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100"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244"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6268" w:type="dxa"/>
            <w:gridSpan w:val="3"/>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2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03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416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32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2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778"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03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16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778"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32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2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55.10</w:t>
            </w:r>
          </w:p>
        </w:tc>
        <w:tc>
          <w:tcPr>
            <w:tcW w:w="416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32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2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16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32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2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16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32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2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16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32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2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16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32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2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0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16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32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2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0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16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32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2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0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w:t>
            </w:r>
          </w:p>
        </w:tc>
        <w:tc>
          <w:tcPr>
            <w:tcW w:w="416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32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28"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0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16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32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28"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16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32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28"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0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16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32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28"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0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16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32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28"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0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16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32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28"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0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16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32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28"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0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16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32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28"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0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16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32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28"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0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16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32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28"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0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16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32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28"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0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16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32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28"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0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16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32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28"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0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16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32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28"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0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16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32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28"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0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16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32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28" w:type="dxa"/>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0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16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32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28"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0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16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32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28"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0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16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32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2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0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56.29</w:t>
            </w:r>
          </w:p>
        </w:tc>
        <w:tc>
          <w:tcPr>
            <w:tcW w:w="416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32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2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0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16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32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2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0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189.64</w:t>
            </w:r>
          </w:p>
        </w:tc>
        <w:tc>
          <w:tcPr>
            <w:tcW w:w="416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32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28"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0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168"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322"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2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778" w:type="dxa"/>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0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245.93</w:t>
            </w:r>
          </w:p>
        </w:tc>
        <w:tc>
          <w:tcPr>
            <w:tcW w:w="416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77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32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245.93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512" w:type="dxa"/>
            <w:gridSpan w:val="6"/>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注：本表反映单位本年度的总收支和年末结转结余情况。本表金额转换为万元时，因四舍五入可能存在尾差。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pPr w:leftFromText="180" w:rightFromText="180" w:vertAnchor="text" w:horzAnchor="page" w:tblpX="1802" w:tblpY="542"/>
        <w:tblOverlap w:val="never"/>
        <w:tblW w:w="1305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9"/>
        <w:gridCol w:w="329"/>
        <w:gridCol w:w="329"/>
        <w:gridCol w:w="4850"/>
        <w:gridCol w:w="1356"/>
        <w:gridCol w:w="1143"/>
        <w:gridCol w:w="907"/>
        <w:gridCol w:w="907"/>
        <w:gridCol w:w="900"/>
        <w:gridCol w:w="966"/>
        <w:gridCol w:w="10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3054" w:type="dxa"/>
            <w:gridSpan w:val="11"/>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329"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329"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29"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85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35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4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0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0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0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004"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7193" w:type="dxa"/>
            <w:gridSpan w:val="5"/>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：许昌市粮油质量检测中心</w:t>
            </w:r>
          </w:p>
        </w:tc>
        <w:tc>
          <w:tcPr>
            <w:tcW w:w="114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0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0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0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004"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837"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356"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143"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90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90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90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966"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038"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4850"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35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0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0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6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3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850"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35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0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0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6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3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850"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35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0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0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6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3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837"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35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4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0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0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9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6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03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837"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35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56.29</w:t>
            </w:r>
          </w:p>
        </w:tc>
        <w:tc>
          <w:tcPr>
            <w:tcW w:w="11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55.10</w:t>
            </w:r>
          </w:p>
        </w:tc>
        <w:tc>
          <w:tcPr>
            <w:tcW w:w="9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9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9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0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48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35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0.27</w:t>
            </w:r>
          </w:p>
        </w:tc>
        <w:tc>
          <w:tcPr>
            <w:tcW w:w="11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0.27</w:t>
            </w:r>
          </w:p>
        </w:tc>
        <w:tc>
          <w:tcPr>
            <w:tcW w:w="9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w:t>
            </w:r>
          </w:p>
        </w:tc>
        <w:tc>
          <w:tcPr>
            <w:tcW w:w="48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人大事务</w:t>
            </w:r>
          </w:p>
        </w:tc>
        <w:tc>
          <w:tcPr>
            <w:tcW w:w="135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0.04</w:t>
            </w:r>
          </w:p>
        </w:tc>
        <w:tc>
          <w:tcPr>
            <w:tcW w:w="11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0.04</w:t>
            </w:r>
          </w:p>
        </w:tc>
        <w:tc>
          <w:tcPr>
            <w:tcW w:w="9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2010150</w:t>
            </w:r>
          </w:p>
        </w:tc>
        <w:tc>
          <w:tcPr>
            <w:tcW w:w="48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35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0.04</w:t>
            </w:r>
          </w:p>
        </w:tc>
        <w:tc>
          <w:tcPr>
            <w:tcW w:w="11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0.04</w:t>
            </w:r>
          </w:p>
        </w:tc>
        <w:tc>
          <w:tcPr>
            <w:tcW w:w="9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48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35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0.23</w:t>
            </w:r>
          </w:p>
        </w:tc>
        <w:tc>
          <w:tcPr>
            <w:tcW w:w="11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0.23</w:t>
            </w:r>
          </w:p>
        </w:tc>
        <w:tc>
          <w:tcPr>
            <w:tcW w:w="9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48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135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0.23</w:t>
            </w:r>
          </w:p>
        </w:tc>
        <w:tc>
          <w:tcPr>
            <w:tcW w:w="11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0.23</w:t>
            </w:r>
          </w:p>
        </w:tc>
        <w:tc>
          <w:tcPr>
            <w:tcW w:w="9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48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35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6.45</w:t>
            </w:r>
          </w:p>
        </w:tc>
        <w:tc>
          <w:tcPr>
            <w:tcW w:w="11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6.45</w:t>
            </w:r>
          </w:p>
        </w:tc>
        <w:tc>
          <w:tcPr>
            <w:tcW w:w="9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48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35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6.45</w:t>
            </w:r>
          </w:p>
        </w:tc>
        <w:tc>
          <w:tcPr>
            <w:tcW w:w="11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6.45</w:t>
            </w:r>
          </w:p>
        </w:tc>
        <w:tc>
          <w:tcPr>
            <w:tcW w:w="9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48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135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2.55</w:t>
            </w:r>
          </w:p>
        </w:tc>
        <w:tc>
          <w:tcPr>
            <w:tcW w:w="11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2.55</w:t>
            </w:r>
          </w:p>
        </w:tc>
        <w:tc>
          <w:tcPr>
            <w:tcW w:w="9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48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35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2.45</w:t>
            </w:r>
          </w:p>
        </w:tc>
        <w:tc>
          <w:tcPr>
            <w:tcW w:w="11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2.45</w:t>
            </w:r>
          </w:p>
        </w:tc>
        <w:tc>
          <w:tcPr>
            <w:tcW w:w="9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2080506</w:t>
            </w:r>
          </w:p>
        </w:tc>
        <w:tc>
          <w:tcPr>
            <w:tcW w:w="48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135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w:t>
            </w:r>
          </w:p>
        </w:tc>
        <w:tc>
          <w:tcPr>
            <w:tcW w:w="11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w:t>
            </w:r>
          </w:p>
        </w:tc>
        <w:tc>
          <w:tcPr>
            <w:tcW w:w="9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48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35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0.76</w:t>
            </w:r>
          </w:p>
        </w:tc>
        <w:tc>
          <w:tcPr>
            <w:tcW w:w="11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0.76</w:t>
            </w:r>
          </w:p>
        </w:tc>
        <w:tc>
          <w:tcPr>
            <w:tcW w:w="9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48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35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0.76</w:t>
            </w:r>
          </w:p>
        </w:tc>
        <w:tc>
          <w:tcPr>
            <w:tcW w:w="11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0.76</w:t>
            </w:r>
          </w:p>
        </w:tc>
        <w:tc>
          <w:tcPr>
            <w:tcW w:w="9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48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135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0.76</w:t>
            </w:r>
          </w:p>
        </w:tc>
        <w:tc>
          <w:tcPr>
            <w:tcW w:w="11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0.76</w:t>
            </w:r>
          </w:p>
        </w:tc>
        <w:tc>
          <w:tcPr>
            <w:tcW w:w="9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w:t>
            </w:r>
          </w:p>
        </w:tc>
        <w:tc>
          <w:tcPr>
            <w:tcW w:w="48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粮油物资储备支出</w:t>
            </w:r>
          </w:p>
        </w:tc>
        <w:tc>
          <w:tcPr>
            <w:tcW w:w="135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48.81</w:t>
            </w:r>
          </w:p>
        </w:tc>
        <w:tc>
          <w:tcPr>
            <w:tcW w:w="11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47.62</w:t>
            </w:r>
          </w:p>
        </w:tc>
        <w:tc>
          <w:tcPr>
            <w:tcW w:w="9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22201</w:t>
            </w:r>
          </w:p>
        </w:tc>
        <w:tc>
          <w:tcPr>
            <w:tcW w:w="48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粮油物资事务</w:t>
            </w:r>
          </w:p>
        </w:tc>
        <w:tc>
          <w:tcPr>
            <w:tcW w:w="135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48.81</w:t>
            </w:r>
          </w:p>
        </w:tc>
        <w:tc>
          <w:tcPr>
            <w:tcW w:w="11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47.62</w:t>
            </w:r>
          </w:p>
        </w:tc>
        <w:tc>
          <w:tcPr>
            <w:tcW w:w="9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2220150</w:t>
            </w:r>
          </w:p>
        </w:tc>
        <w:tc>
          <w:tcPr>
            <w:tcW w:w="48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35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47.62</w:t>
            </w:r>
          </w:p>
        </w:tc>
        <w:tc>
          <w:tcPr>
            <w:tcW w:w="11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47.62</w:t>
            </w:r>
          </w:p>
        </w:tc>
        <w:tc>
          <w:tcPr>
            <w:tcW w:w="9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2220199</w:t>
            </w:r>
          </w:p>
        </w:tc>
        <w:tc>
          <w:tcPr>
            <w:tcW w:w="48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其他粮油物资事务支出</w:t>
            </w:r>
          </w:p>
        </w:tc>
        <w:tc>
          <w:tcPr>
            <w:tcW w:w="135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w:t>
            </w:r>
          </w:p>
        </w:tc>
        <w:tc>
          <w:tcPr>
            <w:tcW w:w="11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054" w:type="dxa"/>
            <w:gridSpan w:val="11"/>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注：本表反映单位本年度取得的各项收入情况。本表金额转换为万元时，因四舍五入可能存在尾差。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326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9"/>
        <w:gridCol w:w="329"/>
        <w:gridCol w:w="329"/>
        <w:gridCol w:w="4980"/>
        <w:gridCol w:w="1347"/>
        <w:gridCol w:w="1347"/>
        <w:gridCol w:w="1347"/>
        <w:gridCol w:w="1136"/>
        <w:gridCol w:w="1136"/>
        <w:gridCol w:w="11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3267"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gridSpan w:val="5"/>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：许昌市粮油质量检测中心</w:t>
            </w: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368"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368"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368"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368"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1368"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368"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17"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36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6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6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6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6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6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17"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36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6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6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6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6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6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17"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36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6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6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6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6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6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36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6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6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36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36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6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82.69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72.37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10.31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人大事务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2010150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发展与改革事务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2010450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粮油物资储备支出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64.24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60.68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粮油物资事务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64.24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60.68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2220150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60.68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60.68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2220199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其他粮油物资事务支出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注：本表反映单位本年度各项支出情况。本表金额转换为万元时，因四舍五入可能存在尾差。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380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689"/>
        <w:gridCol w:w="585"/>
        <w:gridCol w:w="1064"/>
        <w:gridCol w:w="4170"/>
        <w:gridCol w:w="585"/>
        <w:gridCol w:w="878"/>
        <w:gridCol w:w="1071"/>
        <w:gridCol w:w="882"/>
        <w:gridCol w:w="8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3807"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gridSpan w:val="3"/>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：许昌市粮油质量检测中心</w:t>
            </w: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0" w:type="auto"/>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3363"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8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09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76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8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0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10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10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3363"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8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9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76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8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0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0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0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64.24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79.76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79.76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24.66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24.66</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79.76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79.76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79.76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3807"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注：本表反映单位本年度一般公共预算财政拨款、政府性基金预算财政拨款和国有资本经营预算财政拨款的总收支和年末结转结余情况。本表金额转换为万元时，因四舍五入可能存在尾差。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200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016"/>
        <w:gridCol w:w="222"/>
        <w:gridCol w:w="222"/>
        <w:gridCol w:w="3956"/>
        <w:gridCol w:w="1207"/>
        <w:gridCol w:w="1207"/>
        <w:gridCol w:w="21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2001" w:type="dxa"/>
            <w:gridSpan w:val="7"/>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单位：许昌市粮油质量检测中心</w:t>
            </w: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942"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17"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31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231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31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1017"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31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31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31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17"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31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31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31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79.76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69.45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人大事务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2010150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发展与改革事务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2010450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粮油物资储备支出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64.24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60.68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粮油物资事务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64.24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60.68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2220150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60.68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60.68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2220199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其他粮油物资事务支出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7"/>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注：本表反映单位本年度一般公共预算财政拨款支出情况。本套报表金额单位转换时可能存在尾数误差。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4544"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66"/>
        <w:gridCol w:w="3516"/>
        <w:gridCol w:w="766"/>
        <w:gridCol w:w="766"/>
        <w:gridCol w:w="2416"/>
        <w:gridCol w:w="656"/>
        <w:gridCol w:w="766"/>
        <w:gridCol w:w="4396"/>
        <w:gridCol w:w="6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4544"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560" w:type="dxa"/>
            <w:gridSpan w:val="2"/>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：许昌市粮油质量检测中心</w:t>
            </w: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0" w:type="auto"/>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56"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86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18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75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46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20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75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39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16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56"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86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8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5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46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5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39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6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62.69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赠与</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65.28</w:t>
            </w:r>
          </w:p>
        </w:tc>
        <w:tc>
          <w:tcPr>
            <w:tcW w:w="0" w:type="auto"/>
            <w:gridSpan w:val="5"/>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注：本表反映单位本年度一般公共预算财政拨款基本支出明细情况。本表金额转换为万元时，因四舍五入可能存在尾差。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324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80"/>
        <w:gridCol w:w="1128"/>
        <w:gridCol w:w="1104"/>
        <w:gridCol w:w="1104"/>
        <w:gridCol w:w="1104"/>
        <w:gridCol w:w="1104"/>
        <w:gridCol w:w="1104"/>
        <w:gridCol w:w="1104"/>
        <w:gridCol w:w="1104"/>
        <w:gridCol w:w="1104"/>
        <w:gridCol w:w="1104"/>
        <w:gridCol w:w="11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13248" w:type="dxa"/>
            <w:gridSpan w:val="12"/>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30"/>
                <w:szCs w:val="30"/>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jc w:val="right"/>
              <w:rPr>
                <w:rFonts w:hint="default" w:ascii="Arial" w:hAnsi="Arial" w:cs="Arial"/>
                <w:i w:val="0"/>
                <w:iCs w:val="0"/>
                <w:color w:val="000000"/>
                <w:sz w:val="20"/>
                <w:szCs w:val="20"/>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：许昌市粮油质量检测中心</w:t>
            </w: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624"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6624"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2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312"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10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110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0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312"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10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08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2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0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10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10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10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0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0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0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10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10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10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2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0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0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0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0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0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10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10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10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0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10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w:t>
            </w:r>
            <w:r>
              <w:rPr>
                <w:rFonts w:hint="eastAsia" w:ascii="宋体" w:hAnsi="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nil"/>
              <w:left w:val="nil"/>
              <w:bottom w:val="single" w:color="000000" w:sz="4" w:space="0"/>
              <w:right w:val="single" w:color="000000" w:sz="4" w:space="0"/>
            </w:tcBorders>
            <w:noWrap/>
            <w:vAlign w:val="center"/>
          </w:tcPr>
          <w:p>
            <w:pPr>
              <w:jc w:val="right"/>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kern w:val="0"/>
                <w:sz w:val="22"/>
                <w:szCs w:val="22"/>
                <w:u w:val="none"/>
                <w:lang w:val="en-US" w:eastAsia="zh-CN" w:bidi="ar"/>
              </w:rPr>
              <w:t>0.22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3248" w:type="dxa"/>
            <w:gridSpan w:val="1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单位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6"/>
        <w:tblW w:w="1254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30"/>
        <w:gridCol w:w="430"/>
        <w:gridCol w:w="430"/>
        <w:gridCol w:w="2122"/>
        <w:gridCol w:w="1630"/>
        <w:gridCol w:w="1630"/>
        <w:gridCol w:w="1630"/>
        <w:gridCol w:w="1630"/>
        <w:gridCol w:w="1630"/>
        <w:gridCol w:w="16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2547"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：许昌市粮油质量检测中心</w:t>
            </w: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248"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248"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3744"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1248"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17"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24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4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4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24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24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24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17"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4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4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4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4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4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4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17"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4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4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4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4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4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4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注：本表反映单位本年度政府性基金预算财政拨款收入、支出及结转和结余情况。本表金额转换为万元时，因四舍五入可能存在尾差。</w:t>
            </w:r>
          </w:p>
        </w:tc>
      </w:tr>
    </w:tbl>
    <w:p>
      <w:pPr>
        <w:jc w:val="both"/>
        <w:outlineLvl w:val="9"/>
        <w:rPr>
          <w:rFonts w:hint="eastAsia" w:ascii="宋体" w:hAnsi="宋体" w:eastAsia="宋体" w:cs="宋体"/>
          <w:sz w:val="22"/>
          <w:szCs w:val="22"/>
          <w:highlight w:val="none"/>
        </w:rPr>
        <w:sectPr>
          <w:pgSz w:w="16838" w:h="11906" w:orient="landscape"/>
          <w:pgMar w:top="1800" w:right="1440" w:bottom="1800" w:left="1440" w:header="720" w:footer="720" w:gutter="0"/>
          <w:pgNumType w:fmt="numberInDash"/>
          <w:cols w:space="720" w:num="1"/>
          <w:docGrid w:type="lines" w:linePitch="312" w:charSpace="0"/>
        </w:sectPr>
      </w:pPr>
      <w:r>
        <w:rPr>
          <w:rFonts w:hint="eastAsia" w:ascii="宋体" w:hAnsi="宋体" w:eastAsia="宋体" w:cs="宋体"/>
          <w:color w:val="auto"/>
          <w:sz w:val="22"/>
          <w:szCs w:val="22"/>
          <w:highlight w:val="none"/>
          <w:lang w:val="en-US" w:eastAsia="zh-CN"/>
        </w:rPr>
        <w:t>说明：我单位没有政府性基金收入，也没有使用政府性基金安排的支出，故本表无数据。</w:t>
      </w: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590" w:lineRule="exact"/>
        <w:ind w:firstLine="640" w:firstLineChars="200"/>
        <w:rPr>
          <w:rFonts w:hint="default" w:ascii="黑体" w:hAnsi="黑体" w:eastAsia="仿宋_GB2312" w:cs="黑体"/>
          <w:sz w:val="32"/>
          <w:szCs w:val="32"/>
          <w:highlight w:val="none"/>
          <w:lang w:val="en-US" w:eastAsia="zh-CN"/>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w:t>
      </w:r>
      <w:r>
        <w:rPr>
          <w:rFonts w:hint="eastAsia" w:ascii="仿宋_GB2312" w:hAnsi="仿宋_GB2312" w:eastAsia="仿宋_GB2312" w:cs="仿宋_GB2312"/>
          <w:sz w:val="32"/>
          <w:szCs w:val="32"/>
          <w:highlight w:val="none"/>
          <w:lang w:val="en-US" w:eastAsia="zh-CN"/>
        </w:rPr>
        <w:t>245.93</w:t>
      </w:r>
      <w:r>
        <w:rPr>
          <w:rFonts w:hint="eastAsia" w:ascii="仿宋_GB2312" w:hAnsi="仿宋_GB2312" w:eastAsia="仿宋_GB2312" w:cs="仿宋_GB2312"/>
          <w:sz w:val="32"/>
          <w:szCs w:val="32"/>
          <w:highlight w:val="none"/>
        </w:rPr>
        <w:t>万元。与上年度相比，收、支总计各减少</w:t>
      </w:r>
      <w:r>
        <w:rPr>
          <w:rFonts w:hint="eastAsia" w:ascii="仿宋_GB2312" w:hAnsi="仿宋_GB2312" w:eastAsia="仿宋_GB2312" w:cs="仿宋_GB2312"/>
          <w:sz w:val="32"/>
          <w:szCs w:val="32"/>
          <w:highlight w:val="none"/>
          <w:lang w:val="en-US" w:eastAsia="zh-CN"/>
        </w:rPr>
        <w:t>76.14</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23.64</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2020年有粮食质检体系建设结余资金购置设备项目支出26.13万元、粮食质检体系建设实验室改造项目支出15.83万元。2021年无该2项项目支出，其他项目支出较少。</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w:t>
      </w:r>
      <w:r>
        <w:rPr>
          <w:rFonts w:hint="eastAsia" w:ascii="仿宋_GB2312" w:hAnsi="仿宋_GB2312" w:eastAsia="仿宋_GB2312" w:cs="仿宋_GB2312"/>
          <w:sz w:val="32"/>
          <w:szCs w:val="32"/>
          <w:highlight w:val="none"/>
          <w:lang w:val="en-US" w:eastAsia="zh-CN"/>
        </w:rPr>
        <w:t>56.29</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cs="仿宋_GB2312"/>
          <w:sz w:val="32"/>
          <w:szCs w:val="32"/>
          <w:highlight w:val="none"/>
          <w:lang w:val="en-US" w:eastAsia="zh-CN"/>
        </w:rPr>
        <w:t>55.10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97.89</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万元；事业收入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万元；经营收入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万元；附属单位上缴收入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万元；其他收入</w:t>
      </w:r>
      <w:r>
        <w:rPr>
          <w:rFonts w:hint="eastAsia" w:ascii="仿宋_GB2312" w:hAnsi="仿宋_GB2312" w:eastAsia="仿宋_GB2312" w:cs="仿宋_GB2312"/>
          <w:sz w:val="32"/>
          <w:szCs w:val="32"/>
          <w:highlight w:val="none"/>
          <w:lang w:val="en-US" w:eastAsia="zh-CN"/>
        </w:rPr>
        <w:t>1.18</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2.11</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w:t>
      </w:r>
      <w:r>
        <w:rPr>
          <w:rFonts w:hint="eastAsia" w:ascii="仿宋_GB2312" w:hAnsi="仿宋_GB2312" w:eastAsia="仿宋_GB2312" w:cs="仿宋_GB2312"/>
          <w:sz w:val="32"/>
          <w:szCs w:val="32"/>
          <w:highlight w:val="none"/>
          <w:lang w:val="en-US" w:eastAsia="zh-CN"/>
        </w:rPr>
        <w:t>82.69</w:t>
      </w:r>
      <w:r>
        <w:rPr>
          <w:rFonts w:hint="eastAsia" w:ascii="仿宋_GB2312" w:hAnsi="仿宋_GB2312" w:eastAsia="仿宋_GB2312" w:cs="仿宋_GB2312"/>
          <w:sz w:val="32"/>
          <w:szCs w:val="32"/>
          <w:highlight w:val="none"/>
        </w:rPr>
        <w:t>万元，其中：基本支出</w:t>
      </w:r>
      <w:r>
        <w:rPr>
          <w:rFonts w:hint="eastAsia" w:ascii="仿宋_GB2312" w:hAnsi="仿宋_GB2312" w:eastAsia="仿宋_GB2312" w:cs="仿宋_GB2312"/>
          <w:sz w:val="32"/>
          <w:szCs w:val="32"/>
          <w:highlight w:val="none"/>
          <w:lang w:val="en-US" w:eastAsia="zh-CN"/>
        </w:rPr>
        <w:t>72.37</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87.53</w:t>
      </w:r>
      <w:r>
        <w:rPr>
          <w:rFonts w:hint="eastAsia" w:ascii="仿宋_GB2312" w:hAnsi="仿宋_GB2312" w:eastAsia="仿宋_GB2312" w:cs="仿宋_GB2312"/>
          <w:sz w:val="32"/>
          <w:szCs w:val="32"/>
          <w:highlight w:val="none"/>
        </w:rPr>
        <w:t>%；项目支出</w:t>
      </w:r>
      <w:r>
        <w:rPr>
          <w:rFonts w:hint="eastAsia" w:ascii="仿宋_GB2312" w:hAnsi="仿宋_GB2312" w:eastAsia="仿宋_GB2312" w:cs="仿宋_GB2312"/>
          <w:sz w:val="32"/>
          <w:szCs w:val="32"/>
          <w:highlight w:val="none"/>
          <w:lang w:val="en-US" w:eastAsia="zh-CN"/>
        </w:rPr>
        <w:t>10.31</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12.47</w:t>
      </w:r>
      <w:r>
        <w:rPr>
          <w:rFonts w:hint="eastAsia" w:ascii="仿宋_GB2312" w:hAnsi="仿宋_GB2312" w:eastAsia="仿宋_GB2312" w:cs="仿宋_GB2312"/>
          <w:sz w:val="32"/>
          <w:szCs w:val="32"/>
          <w:highlight w:val="none"/>
        </w:rPr>
        <w:t>%；上缴上级支出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经营支出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对附属单位补助支出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w:t>
      </w:r>
      <w:r>
        <w:rPr>
          <w:rFonts w:hint="eastAsia" w:ascii="仿宋_GB2312" w:hAnsi="仿宋_GB2312" w:eastAsia="仿宋_GB2312" w:cs="仿宋_GB2312"/>
          <w:sz w:val="32"/>
          <w:szCs w:val="32"/>
          <w:highlight w:val="none"/>
          <w:lang w:val="en-US" w:eastAsia="zh-CN"/>
        </w:rPr>
        <w:t>79.76</w:t>
      </w:r>
      <w:r>
        <w:rPr>
          <w:rFonts w:hint="eastAsia" w:ascii="仿宋_GB2312" w:hAnsi="仿宋_GB2312" w:eastAsia="仿宋_GB2312" w:cs="仿宋_GB2312"/>
          <w:sz w:val="32"/>
          <w:szCs w:val="32"/>
          <w:highlight w:val="none"/>
        </w:rPr>
        <w:t>万元。与上年度相比，财政拨款收、支总计各减少</w:t>
      </w:r>
      <w:r>
        <w:rPr>
          <w:rFonts w:hint="eastAsia" w:ascii="仿宋_GB2312" w:hAnsi="仿宋_GB2312" w:eastAsia="仿宋_GB2312" w:cs="仿宋_GB2312"/>
          <w:sz w:val="32"/>
          <w:szCs w:val="32"/>
          <w:highlight w:val="none"/>
          <w:lang w:val="en-US" w:eastAsia="zh-CN"/>
        </w:rPr>
        <w:t>44.76</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35.95</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2020年有粮食质检体系建设结余资金购置设备项目支出26.13万元、粮食质检体系建设实验室改造项目支出15.83万元。2021年无该两项项目支出，其他项目支出较少。</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79.76</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eastAsia="zh-CN"/>
        </w:rPr>
        <w:t>本年</w:t>
      </w:r>
      <w:r>
        <w:rPr>
          <w:rFonts w:hint="eastAsia" w:ascii="仿宋_GB2312" w:hAnsi="仿宋_GB2312" w:eastAsia="仿宋_GB2312" w:cs="仿宋_GB2312"/>
          <w:sz w:val="32"/>
          <w:szCs w:val="32"/>
          <w:highlight w:val="none"/>
        </w:rPr>
        <w:t>支出合计的</w:t>
      </w:r>
      <w:r>
        <w:rPr>
          <w:rFonts w:hint="eastAsia" w:ascii="仿宋_GB2312" w:hAnsi="仿宋_GB2312" w:eastAsia="仿宋_GB2312" w:cs="仿宋_GB2312"/>
          <w:sz w:val="32"/>
          <w:szCs w:val="32"/>
          <w:highlight w:val="none"/>
          <w:lang w:val="en-US" w:eastAsia="zh-CN"/>
        </w:rPr>
        <w:t>96.45</w:t>
      </w:r>
      <w:r>
        <w:rPr>
          <w:rFonts w:hint="eastAsia" w:ascii="仿宋_GB2312" w:hAnsi="仿宋_GB2312" w:eastAsia="仿宋_GB2312" w:cs="仿宋_GB2312"/>
          <w:sz w:val="32"/>
          <w:szCs w:val="32"/>
          <w:highlight w:val="none"/>
        </w:rPr>
        <w:t>%。与上年度相比，一般公共预算财政拨款支出减少</w:t>
      </w:r>
      <w:r>
        <w:rPr>
          <w:rFonts w:hint="eastAsia" w:ascii="仿宋_GB2312" w:hAnsi="仿宋_GB2312" w:eastAsia="仿宋_GB2312" w:cs="仿宋_GB2312"/>
          <w:sz w:val="32"/>
          <w:szCs w:val="32"/>
          <w:highlight w:val="none"/>
          <w:lang w:val="en-US" w:eastAsia="zh-CN"/>
        </w:rPr>
        <w:t>44.76</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35.95</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2020年有粮食质检体系建设结余资金购置设备项目支出26.13万元、粮食质检体系建设实验室改造项目支出15.83万元。2021年无该2项项目支出，其他项目支出较少</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widowControl/>
        <w:spacing w:line="590" w:lineRule="exact"/>
        <w:ind w:firstLine="640" w:firstLineChars="200"/>
        <w:rPr>
          <w:rFonts w:hint="eastAsia" w:ascii="仿宋_GB2312" w:hAnsi="仿宋_GB2312" w:eastAsia="仿宋_GB2312" w:cs="仿宋_GB2312"/>
          <w:sz w:val="32"/>
          <w:szCs w:val="32"/>
          <w:highlight w:val="none"/>
          <w:lang w:val="en-US" w:eastAsia="zh-CN"/>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79.76</w:t>
      </w:r>
      <w:r>
        <w:rPr>
          <w:rFonts w:hint="eastAsia" w:ascii="仿宋_GB2312" w:hAnsi="仿宋_GB2312" w:eastAsia="仿宋_GB2312" w:cs="仿宋_GB2312"/>
          <w:sz w:val="32"/>
          <w:szCs w:val="32"/>
          <w:highlight w:val="none"/>
        </w:rPr>
        <w:t>万元，主要用于以下方面：一般公共服务（类）支出</w:t>
      </w:r>
      <w:r>
        <w:rPr>
          <w:rFonts w:hint="eastAsia" w:ascii="仿宋_GB2312" w:hAnsi="仿宋_GB2312" w:eastAsia="仿宋_GB2312" w:cs="仿宋_GB2312"/>
          <w:sz w:val="32"/>
          <w:szCs w:val="32"/>
          <w:highlight w:val="none"/>
          <w:lang w:val="en-US" w:eastAsia="zh-CN"/>
        </w:rPr>
        <w:t>7.02</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8.80</w:t>
      </w:r>
      <w:r>
        <w:rPr>
          <w:rFonts w:hint="eastAsia" w:ascii="仿宋_GB2312" w:hAnsi="仿宋_GB2312" w:eastAsia="仿宋_GB2312" w:cs="仿宋_GB2312"/>
          <w:sz w:val="32"/>
          <w:szCs w:val="32"/>
          <w:highlight w:val="none"/>
        </w:rPr>
        <w:t>%；社会保障和就业支出（类）支出</w:t>
      </w:r>
      <w:r>
        <w:rPr>
          <w:rFonts w:hint="eastAsia" w:ascii="仿宋_GB2312" w:hAnsi="仿宋_GB2312" w:eastAsia="仿宋_GB2312" w:cs="仿宋_GB2312"/>
          <w:sz w:val="32"/>
          <w:szCs w:val="32"/>
          <w:highlight w:val="none"/>
          <w:lang w:val="en-US" w:eastAsia="zh-CN"/>
        </w:rPr>
        <w:t>6.97</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8.74</w:t>
      </w:r>
      <w:r>
        <w:rPr>
          <w:rFonts w:hint="eastAsia" w:ascii="仿宋_GB2312" w:hAnsi="仿宋_GB2312" w:eastAsia="仿宋_GB2312" w:cs="仿宋_GB2312"/>
          <w:sz w:val="32"/>
          <w:szCs w:val="32"/>
          <w:highlight w:val="none"/>
        </w:rPr>
        <w:t>%；卫生健康支出（类）支出</w:t>
      </w:r>
      <w:r>
        <w:rPr>
          <w:rFonts w:hint="eastAsia" w:ascii="仿宋_GB2312" w:hAnsi="仿宋_GB2312" w:eastAsia="仿宋_GB2312" w:cs="仿宋_GB2312"/>
          <w:sz w:val="32"/>
          <w:szCs w:val="32"/>
          <w:highlight w:val="none"/>
          <w:lang w:val="en-US" w:eastAsia="zh-CN"/>
        </w:rPr>
        <w:t>1.53</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1.92</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粮油物资储备支出（类）支出</w:t>
      </w:r>
      <w:r>
        <w:rPr>
          <w:rFonts w:hint="eastAsia" w:ascii="仿宋_GB2312" w:hAnsi="仿宋_GB2312" w:eastAsia="仿宋_GB2312" w:cs="仿宋_GB2312"/>
          <w:sz w:val="32"/>
          <w:szCs w:val="32"/>
          <w:highlight w:val="none"/>
          <w:lang w:val="en-US" w:eastAsia="zh-CN"/>
        </w:rPr>
        <w:t>64.24</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80.54</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59.77</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79.76</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133.44</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1．一般公共服务支出（类）人大事务（款）事业运行（项）。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0.05</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0.04</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80.00</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w:t>
      </w:r>
      <w:r>
        <w:rPr>
          <w:rFonts w:hint="eastAsia" w:ascii="仿宋_GB2312" w:hAnsi="仿宋_GB2312" w:eastAsia="仿宋_GB2312" w:cs="仿宋_GB2312"/>
          <w:sz w:val="32"/>
          <w:szCs w:val="32"/>
          <w:highlight w:val="none"/>
          <w:lang w:eastAsia="zh-CN"/>
        </w:rPr>
        <w:t>的主要原因是系统四舍五入</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2．一般公共服务支出（类）发展与改革事务（款）事业运行（项）。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6.75</w:t>
      </w:r>
      <w:r>
        <w:rPr>
          <w:rFonts w:hint="eastAsia" w:ascii="仿宋_GB2312" w:hAnsi="仿宋_GB2312" w:eastAsia="仿宋_GB2312" w:cs="仿宋_GB2312"/>
          <w:sz w:val="32"/>
          <w:szCs w:val="32"/>
          <w:highlight w:val="none"/>
        </w:rPr>
        <w:t>万元。决算数与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w:t>
      </w:r>
      <w:r>
        <w:rPr>
          <w:rFonts w:hint="eastAsia" w:ascii="仿宋_GB2312" w:hAnsi="仿宋_GB2312" w:eastAsia="仿宋_GB2312" w:cs="仿宋_GB2312"/>
          <w:sz w:val="32"/>
          <w:szCs w:val="32"/>
          <w:highlight w:val="none"/>
          <w:lang w:eastAsia="zh-CN"/>
        </w:rPr>
        <w:t>的主要原因是年中安排</w:t>
      </w:r>
      <w:r>
        <w:rPr>
          <w:rFonts w:hint="eastAsia" w:ascii="仿宋_GB2312" w:hAnsi="仿宋_GB2312" w:eastAsia="仿宋_GB2312" w:cs="仿宋_GB2312"/>
          <w:sz w:val="32"/>
          <w:szCs w:val="32"/>
          <w:highlight w:val="none"/>
          <w:lang w:val="en-US" w:eastAsia="zh-CN"/>
        </w:rPr>
        <w:t>2021年</w:t>
      </w:r>
      <w:r>
        <w:rPr>
          <w:rFonts w:hint="eastAsia" w:ascii="仿宋_GB2312" w:hAnsi="仿宋_GB2312" w:eastAsia="仿宋_GB2312" w:cs="仿宋_GB2312"/>
          <w:sz w:val="32"/>
          <w:szCs w:val="32"/>
          <w:highlight w:val="none"/>
          <w:lang w:eastAsia="zh-CN"/>
        </w:rPr>
        <w:t>项目资金</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3</w:t>
      </w:r>
      <w:r>
        <w:rPr>
          <w:rFonts w:hint="eastAsia" w:ascii="仿宋_GB2312" w:hAnsi="仿宋_GB2312" w:eastAsia="仿宋_GB2312" w:cs="仿宋_GB2312"/>
          <w:b/>
          <w:bCs/>
          <w:sz w:val="32"/>
          <w:szCs w:val="32"/>
          <w:highlight w:val="none"/>
        </w:rPr>
        <w:t>．一般公共服务支出（类）群众团体事务（款）工会事务（项）。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0.23</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0.23</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w:t>
      </w:r>
      <w:r>
        <w:rPr>
          <w:rFonts w:hint="eastAsia" w:ascii="仿宋_GB2312" w:hAnsi="仿宋_GB2312" w:eastAsia="仿宋_GB2312" w:cs="仿宋_GB2312"/>
          <w:sz w:val="32"/>
          <w:szCs w:val="32"/>
          <w:highlight w:val="none"/>
          <w:lang w:val="en-US" w:eastAsia="zh-CN"/>
        </w:rPr>
        <w:t>不</w:t>
      </w:r>
      <w:r>
        <w:rPr>
          <w:rFonts w:hint="eastAsia" w:ascii="仿宋_GB2312" w:hAnsi="仿宋_GB2312" w:eastAsia="仿宋_GB2312" w:cs="仿宋_GB2312"/>
          <w:sz w:val="32"/>
          <w:szCs w:val="32"/>
          <w:highlight w:val="none"/>
        </w:rPr>
        <w:t>存在差异。</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4</w:t>
      </w:r>
      <w:r>
        <w:rPr>
          <w:rFonts w:hint="eastAsia" w:ascii="仿宋_GB2312" w:hAnsi="仿宋_GB2312" w:eastAsia="仿宋_GB2312" w:cs="仿宋_GB2312"/>
          <w:b/>
          <w:bCs/>
          <w:sz w:val="32"/>
          <w:szCs w:val="32"/>
          <w:highlight w:val="none"/>
        </w:rPr>
        <w:t>．社会保障和就业支出（类）行政事业单位养老支出（款） 事业单位离退休（项）。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2.50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2.55</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102.00</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w:t>
      </w:r>
      <w:r>
        <w:rPr>
          <w:rFonts w:hint="eastAsia" w:ascii="仿宋_GB2312" w:hAnsi="仿宋_GB2312" w:eastAsia="仿宋_GB2312" w:cs="仿宋_GB2312"/>
          <w:sz w:val="32"/>
          <w:szCs w:val="32"/>
          <w:highlight w:val="none"/>
          <w:lang w:eastAsia="zh-CN"/>
        </w:rPr>
        <w:t>的主要原因是系统四舍五入</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5</w:t>
      </w:r>
      <w:r>
        <w:rPr>
          <w:rFonts w:hint="eastAsia" w:ascii="仿宋_GB2312" w:hAnsi="仿宋_GB2312" w:eastAsia="仿宋_GB2312" w:cs="仿宋_GB2312"/>
          <w:b/>
          <w:bCs/>
          <w:sz w:val="32"/>
          <w:szCs w:val="32"/>
          <w:highlight w:val="none"/>
        </w:rPr>
        <w:t>．社会保障和就业支出（类）行政事业单位养老支出（款） 机关事业单位基本养老保险缴费支出（项）。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2.86</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2.97</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103.85</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w:t>
      </w:r>
      <w:r>
        <w:rPr>
          <w:rFonts w:hint="eastAsia" w:ascii="仿宋_GB2312" w:hAnsi="仿宋_GB2312" w:eastAsia="仿宋_GB2312" w:cs="仿宋_GB2312"/>
          <w:sz w:val="32"/>
          <w:szCs w:val="32"/>
          <w:highlight w:val="none"/>
          <w:lang w:eastAsia="zh-CN"/>
        </w:rPr>
        <w:t>的主要原因是人员增加薪级</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6</w:t>
      </w:r>
      <w:r>
        <w:rPr>
          <w:rFonts w:hint="eastAsia" w:ascii="仿宋_GB2312" w:hAnsi="仿宋_GB2312" w:eastAsia="仿宋_GB2312" w:cs="仿宋_GB2312"/>
          <w:b/>
          <w:bCs/>
          <w:sz w:val="32"/>
          <w:szCs w:val="32"/>
          <w:highlight w:val="none"/>
        </w:rPr>
        <w:t>．社会保障和就业支出（类）行政事业单位养老支出（款） 机关事业单位职业年金缴费支出（项）。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1.57</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1.45</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92.36</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w:t>
      </w:r>
      <w:r>
        <w:rPr>
          <w:rFonts w:hint="eastAsia" w:ascii="仿宋_GB2312" w:hAnsi="仿宋_GB2312" w:eastAsia="仿宋_GB2312" w:cs="仿宋_GB2312"/>
          <w:sz w:val="32"/>
          <w:szCs w:val="32"/>
          <w:highlight w:val="none"/>
          <w:lang w:eastAsia="zh-CN"/>
        </w:rPr>
        <w:t>的主要原因是当年</w:t>
      </w:r>
      <w:r>
        <w:rPr>
          <w:rFonts w:hint="eastAsia" w:ascii="仿宋_GB2312" w:hAnsi="仿宋_GB2312" w:eastAsia="仿宋_GB2312" w:cs="仿宋_GB2312"/>
          <w:sz w:val="32"/>
          <w:szCs w:val="32"/>
          <w:highlight w:val="none"/>
          <w:lang w:val="en-US" w:eastAsia="zh-CN"/>
        </w:rPr>
        <w:t>7月份</w:t>
      </w:r>
      <w:r>
        <w:rPr>
          <w:rFonts w:hint="eastAsia" w:ascii="仿宋_GB2312" w:hAnsi="仿宋_GB2312" w:eastAsia="仿宋_GB2312" w:cs="仿宋_GB2312"/>
          <w:sz w:val="32"/>
          <w:szCs w:val="32"/>
          <w:highlight w:val="none"/>
          <w:lang w:eastAsia="zh-CN"/>
        </w:rPr>
        <w:t>职业年金基数调整</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7</w:t>
      </w:r>
      <w:r>
        <w:rPr>
          <w:rFonts w:hint="eastAsia" w:ascii="仿宋_GB2312" w:hAnsi="仿宋_GB2312" w:eastAsia="仿宋_GB2312" w:cs="仿宋_GB2312"/>
          <w:b/>
          <w:bCs/>
          <w:sz w:val="32"/>
          <w:szCs w:val="32"/>
          <w:highlight w:val="none"/>
        </w:rPr>
        <w:t>．卫生健康支出（类）行政事业单位医疗（款）事业单位医疗（项）。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1.48</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1.53</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103.38</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w:t>
      </w:r>
      <w:r>
        <w:rPr>
          <w:rFonts w:hint="eastAsia" w:ascii="仿宋_GB2312" w:hAnsi="仿宋_GB2312" w:eastAsia="仿宋_GB2312" w:cs="仿宋_GB2312"/>
          <w:sz w:val="32"/>
          <w:szCs w:val="32"/>
          <w:highlight w:val="none"/>
          <w:lang w:eastAsia="zh-CN"/>
        </w:rPr>
        <w:t>的主要原因是当年</w:t>
      </w:r>
      <w:r>
        <w:rPr>
          <w:rFonts w:hint="eastAsia" w:ascii="仿宋_GB2312" w:hAnsi="仿宋_GB2312" w:eastAsia="仿宋_GB2312" w:cs="仿宋_GB2312"/>
          <w:sz w:val="32"/>
          <w:szCs w:val="32"/>
          <w:highlight w:val="none"/>
          <w:lang w:val="en-US" w:eastAsia="zh-CN"/>
        </w:rPr>
        <w:t>7月份医疗保险基数调整</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8</w:t>
      </w:r>
      <w:r>
        <w:rPr>
          <w:rFonts w:hint="eastAsia" w:ascii="仿宋_GB2312" w:hAnsi="仿宋_GB2312" w:eastAsia="仿宋_GB2312" w:cs="仿宋_GB2312"/>
          <w:b/>
          <w:bCs/>
          <w:sz w:val="32"/>
          <w:szCs w:val="32"/>
          <w:highlight w:val="none"/>
        </w:rPr>
        <w:t>．粮油物资储备支出（类）粮油物资事务（款）事业运行（项）。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51.08</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60.68</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118.79</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2021年度省下达粮食扦样及检样任务增多</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9</w:t>
      </w:r>
      <w:r>
        <w:rPr>
          <w:rFonts w:hint="eastAsia" w:ascii="仿宋_GB2312" w:hAnsi="仿宋_GB2312" w:eastAsia="仿宋_GB2312" w:cs="仿宋_GB2312"/>
          <w:b/>
          <w:bCs/>
          <w:sz w:val="32"/>
          <w:szCs w:val="32"/>
          <w:highlight w:val="none"/>
        </w:rPr>
        <w:t>．粮油物资储备支出（类）粮油物资事务（款）其他粮油物资事务支出（项）。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3.56</w:t>
      </w:r>
      <w:r>
        <w:rPr>
          <w:rFonts w:hint="eastAsia" w:ascii="仿宋_GB2312" w:hAnsi="仿宋_GB2312" w:eastAsia="仿宋_GB2312" w:cs="仿宋_GB2312"/>
          <w:sz w:val="32"/>
          <w:szCs w:val="32"/>
          <w:highlight w:val="none"/>
        </w:rPr>
        <w:t>万元。决算数与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w:t>
      </w:r>
      <w:r>
        <w:rPr>
          <w:rFonts w:hint="eastAsia" w:ascii="仿宋_GB2312" w:hAnsi="仿宋_GB2312" w:eastAsia="仿宋_GB2312" w:cs="仿宋_GB2312"/>
          <w:sz w:val="32"/>
          <w:szCs w:val="32"/>
          <w:highlight w:val="none"/>
          <w:lang w:eastAsia="zh-CN"/>
        </w:rPr>
        <w:t>的主要原因是使用上年结转资金支付上年度项目质保金</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cs="仿宋_GB2312"/>
          <w:sz w:val="32"/>
          <w:szCs w:val="32"/>
          <w:highlight w:val="none"/>
          <w:lang w:val="en-US" w:eastAsia="zh-CN"/>
        </w:rPr>
        <w:t>69.45</w:t>
      </w:r>
      <w:r>
        <w:rPr>
          <w:rFonts w:hint="eastAsia" w:ascii="仿宋_GB2312" w:hAnsi="仿宋_GB2312" w:eastAsia="仿宋_GB2312" w:cs="仿宋_GB2312"/>
          <w:sz w:val="32"/>
          <w:szCs w:val="32"/>
          <w:highlight w:val="none"/>
        </w:rPr>
        <w:t>万元。其中：人员经费</w:t>
      </w:r>
      <w:r>
        <w:rPr>
          <w:rFonts w:hint="eastAsia" w:ascii="仿宋_GB2312" w:hAnsi="仿宋_GB2312" w:eastAsia="仿宋_GB2312" w:cs="仿宋_GB2312"/>
          <w:sz w:val="32"/>
          <w:szCs w:val="32"/>
          <w:highlight w:val="none"/>
          <w:lang w:val="en-US" w:eastAsia="zh-CN"/>
        </w:rPr>
        <w:t>65.28</w:t>
      </w:r>
      <w:r>
        <w:rPr>
          <w:rFonts w:hint="eastAsia" w:ascii="仿宋_GB2312" w:hAnsi="仿宋_GB2312" w:eastAsia="仿宋_GB2312" w:cs="仿宋_GB2312"/>
          <w:sz w:val="32"/>
          <w:szCs w:val="32"/>
          <w:highlight w:val="none"/>
        </w:rPr>
        <w:t>万元，主要包括：基本工资、津贴补贴、</w:t>
      </w:r>
      <w:r>
        <w:rPr>
          <w:rFonts w:hint="eastAsia" w:ascii="仿宋_GB2312" w:hAnsi="仿宋_GB2312" w:eastAsia="仿宋_GB2312" w:cs="仿宋_GB2312"/>
          <w:sz w:val="32"/>
          <w:szCs w:val="32"/>
          <w:highlight w:val="none"/>
          <w:lang w:eastAsia="zh-CN"/>
        </w:rPr>
        <w:t>奖金、</w:t>
      </w:r>
      <w:r>
        <w:rPr>
          <w:rFonts w:hint="eastAsia" w:ascii="仿宋_GB2312" w:hAnsi="仿宋_GB2312" w:eastAsia="仿宋_GB2312" w:cs="仿宋_GB2312"/>
          <w:sz w:val="32"/>
          <w:szCs w:val="32"/>
          <w:highlight w:val="none"/>
        </w:rPr>
        <w:t>绩效工资、机关事业单位基本养老保险缴费、职业年金缴费、</w:t>
      </w:r>
      <w:r>
        <w:rPr>
          <w:rFonts w:hint="eastAsia" w:ascii="仿宋_GB2312" w:hAnsi="仿宋_GB2312" w:eastAsia="仿宋_GB2312" w:cs="仿宋_GB2312"/>
          <w:sz w:val="32"/>
          <w:szCs w:val="32"/>
          <w:highlight w:val="none"/>
          <w:lang w:eastAsia="zh-CN"/>
        </w:rPr>
        <w:t>职工基本医疗保险缴费、</w:t>
      </w:r>
      <w:r>
        <w:rPr>
          <w:rFonts w:hint="eastAsia" w:ascii="仿宋_GB2312" w:hAnsi="仿宋_GB2312" w:eastAsia="仿宋_GB2312" w:cs="仿宋_GB2312"/>
          <w:sz w:val="32"/>
          <w:szCs w:val="32"/>
          <w:highlight w:val="none"/>
        </w:rPr>
        <w:t>其他社会保障缴费、住房公积金</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其他工资福利支出、退休费、生活补助；公用经费</w:t>
      </w:r>
      <w:r>
        <w:rPr>
          <w:rFonts w:hint="eastAsia" w:ascii="仿宋_GB2312" w:hAnsi="仿宋_GB2312" w:eastAsia="仿宋_GB2312" w:cs="仿宋_GB2312"/>
          <w:sz w:val="32"/>
          <w:szCs w:val="32"/>
          <w:highlight w:val="none"/>
          <w:lang w:val="en-US" w:eastAsia="zh-CN"/>
        </w:rPr>
        <w:t>4.17</w:t>
      </w:r>
      <w:r>
        <w:rPr>
          <w:rFonts w:hint="eastAsia" w:ascii="仿宋_GB2312" w:hAnsi="仿宋_GB2312" w:eastAsia="仿宋_GB2312" w:cs="仿宋_GB2312"/>
          <w:sz w:val="32"/>
          <w:szCs w:val="32"/>
          <w:highlight w:val="none"/>
        </w:rPr>
        <w:t>万元，主要包括：办公费、邮电费、取暖费、差旅费、培训费、工会经费、福利费、公务用车运行维护费。</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lang w:eastAsia="zh-CN"/>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sz w:val="32"/>
          <w:szCs w:val="32"/>
          <w:highlight w:val="none"/>
          <w:lang w:val="en-US" w:eastAsia="zh-CN"/>
        </w:rPr>
        <w:t>1.22</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81.97</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年度“三公”经费支出决算数与</w:t>
      </w:r>
      <w:r>
        <w:rPr>
          <w:rFonts w:hint="eastAsia" w:ascii="仿宋_GB2312" w:hAnsi="仿宋_GB2312" w:eastAsia="仿宋_GB2312" w:cs="仿宋_GB2312"/>
          <w:sz w:val="32"/>
          <w:szCs w:val="32"/>
          <w:lang w:eastAsia="zh-CN"/>
        </w:rPr>
        <w:t>预算数</w:t>
      </w:r>
      <w:r>
        <w:rPr>
          <w:rFonts w:hint="eastAsia" w:ascii="仿宋_GB2312" w:hAnsi="仿宋_GB2312" w:eastAsia="仿宋_GB2312" w:cs="仿宋_GB2312"/>
          <w:sz w:val="32"/>
          <w:szCs w:val="32"/>
        </w:rPr>
        <w:t>存在差异的主要原因是</w:t>
      </w:r>
      <w:r>
        <w:rPr>
          <w:rFonts w:hint="eastAsia" w:ascii="仿宋_GB2312" w:hAnsi="仿宋_GB2312" w:eastAsia="仿宋_GB2312" w:cs="仿宋_GB2312"/>
          <w:sz w:val="32"/>
          <w:szCs w:val="32"/>
          <w:lang w:eastAsia="zh-CN"/>
        </w:rPr>
        <w:t>厉行节约，缩减开支。</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color w:val="0000FF"/>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年度“三公”经费财政拨款支出决算中，因公出国（境）费支出决算</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万元；公务用车购置及运行费支出决算</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%；公务接待费支出决算</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，完成预算的</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。具体情况如下：</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1．因公出国（境）费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万元。决算数与预算数不存在差异。因公出国（境）团组数0个，因公出国（境）人次数0人。</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%。决算数与预算数</w:t>
      </w:r>
      <w:r>
        <w:rPr>
          <w:rFonts w:hint="eastAsia" w:ascii="仿宋_GB2312" w:hAnsi="仿宋_GB2312" w:eastAsia="仿宋_GB2312" w:cs="仿宋_GB2312"/>
          <w:sz w:val="32"/>
          <w:szCs w:val="32"/>
          <w:highlight w:val="none"/>
          <w:lang w:val="en-US" w:eastAsia="zh-CN"/>
        </w:rPr>
        <w:t>不</w:t>
      </w:r>
      <w:r>
        <w:rPr>
          <w:rFonts w:hint="eastAsia" w:ascii="仿宋_GB2312" w:hAnsi="仿宋_GB2312" w:eastAsia="仿宋_GB2312" w:cs="仿宋_GB2312"/>
          <w:sz w:val="32"/>
          <w:szCs w:val="32"/>
          <w:highlight w:val="none"/>
        </w:rPr>
        <w:t>存在差异。其中：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sz w:val="32"/>
          <w:szCs w:val="32"/>
          <w:highlight w:val="none"/>
          <w:lang w:eastAsia="zh-CN"/>
        </w:rPr>
        <w:t>公车保险、保养、维修、加油</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年期末，单位开支财政拨款的公务用车保有量为</w:t>
      </w:r>
      <w:r>
        <w:rPr>
          <w:rFonts w:hint="eastAsia" w:ascii="仿宋_GB2312" w:hAnsi="仿宋_GB2312" w:eastAsia="仿宋_GB2312" w:cs="仿宋_GB2312"/>
          <w:sz w:val="32"/>
          <w:szCs w:val="32"/>
          <w:highlight w:val="none"/>
          <w:lang w:val="en-US" w:eastAsia="zh-CN"/>
        </w:rPr>
        <w:t>1辆</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0.22</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完成预算的0.00%。</w:t>
      </w:r>
      <w:r>
        <w:rPr>
          <w:rFonts w:hint="eastAsia" w:ascii="仿宋_GB2312" w:hAnsi="仿宋_GB2312" w:eastAsia="仿宋_GB2312" w:cs="仿宋_GB2312"/>
          <w:sz w:val="32"/>
          <w:szCs w:val="32"/>
          <w:highlight w:val="none"/>
        </w:rPr>
        <w:t>决算数与预算数存在差异的主要原因是</w:t>
      </w:r>
      <w:r>
        <w:rPr>
          <w:rFonts w:hint="eastAsia" w:ascii="仿宋_GB2312" w:hAnsi="仿宋_GB2312" w:eastAsia="仿宋_GB2312" w:cs="仿宋_GB2312"/>
          <w:sz w:val="32"/>
          <w:szCs w:val="32"/>
          <w:highlight w:val="none"/>
          <w:lang w:eastAsia="zh-CN"/>
        </w:rPr>
        <w:t>厉行节约，缩减开支。</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年度政府性基金预算财政拨款支出预算为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完成预算的</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lang w:eastAsia="zh-CN"/>
        </w:rPr>
        <w:t>不存在</w:t>
      </w:r>
      <w:r>
        <w:rPr>
          <w:rFonts w:hint="eastAsia" w:ascii="仿宋_GB2312" w:hAnsi="仿宋_GB2312" w:eastAsia="仿宋_GB2312" w:cs="仿宋_GB2312"/>
          <w:sz w:val="32"/>
          <w:szCs w:val="32"/>
          <w:highlight w:val="none"/>
        </w:rPr>
        <w:t>项目年末结转和结余资金数额较大</w:t>
      </w:r>
      <w:r>
        <w:rPr>
          <w:rFonts w:hint="eastAsia" w:ascii="仿宋_GB2312" w:hAnsi="仿宋_GB2312" w:eastAsia="仿宋_GB2312" w:cs="仿宋_GB2312"/>
          <w:sz w:val="32"/>
          <w:szCs w:val="32"/>
          <w:highlight w:val="none"/>
          <w:lang w:eastAsia="zh-CN"/>
        </w:rPr>
        <w:t>。情况说明：</w:t>
      </w:r>
      <w:r>
        <w:rPr>
          <w:rFonts w:hint="eastAsia" w:ascii="仿宋_GB2312" w:hAnsi="仿宋_GB2312" w:eastAsia="仿宋_GB2312" w:cs="仿宋_GB2312"/>
          <w:color w:val="auto"/>
          <w:sz w:val="32"/>
          <w:szCs w:val="32"/>
          <w:highlight w:val="none"/>
          <w:lang w:val="en-US" w:eastAsia="zh-CN"/>
        </w:rPr>
        <w:t>我单位2021年度没有政府性基金收入，也没有使用政府性基金安排的支出。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rPr>
        <w:t>我单位不是行政机关，也不是参照公务员管理事业单位，没有机关运行经费支出。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年度政府采购支出总额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万元，其中：政府采购货物支出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万元、政府采购工程支出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万元、政府采购服务支出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万元。授予中小企业合同金额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万元，其中：授予小微企业合同金额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年期末，我单位共有车辆</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辆；单位价值50万元以上通用设备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台（套）。</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2021年我单位纳入预算绩效管理的支出总额为82.69万元，其中：基本支出72.38万元；支出项目2个，支出金额10.31万元。开展项目绩效自评项目2个，自评金额10.31万元；纳入重点绩效评价0个，评价金额0.00万元。</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C00000"/>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单位对本单位整体绩效目标和项目支出绩效目标进行了自评。一是单位整体绩效自评情况。2021年度我单位较为圆满的完成了年初设定的整体绩效目标。二是项目绩效自评情况。我单位共有2个项目批复了绩效目标，项目金额10.31万元。</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94.5分。其中：2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2021年度我单位没有开展重点绩效评价的项目。</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wMjRmZmNkODhhNTY5NzdjNTUyNjQ3ZDI1YWRhNTAifQ=="/>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25097F"/>
    <w:rsid w:val="01322275"/>
    <w:rsid w:val="01DC6F05"/>
    <w:rsid w:val="01FC18B1"/>
    <w:rsid w:val="022278B2"/>
    <w:rsid w:val="02385327"/>
    <w:rsid w:val="0247556A"/>
    <w:rsid w:val="02A3489A"/>
    <w:rsid w:val="02CA138D"/>
    <w:rsid w:val="033646FC"/>
    <w:rsid w:val="03BB3735"/>
    <w:rsid w:val="03C75F80"/>
    <w:rsid w:val="0478364D"/>
    <w:rsid w:val="04D20B77"/>
    <w:rsid w:val="051A0D14"/>
    <w:rsid w:val="053D4C0D"/>
    <w:rsid w:val="0557532E"/>
    <w:rsid w:val="059A48B3"/>
    <w:rsid w:val="05B70598"/>
    <w:rsid w:val="077E1111"/>
    <w:rsid w:val="0799329C"/>
    <w:rsid w:val="07C428D5"/>
    <w:rsid w:val="07E6312F"/>
    <w:rsid w:val="081303C8"/>
    <w:rsid w:val="08397436"/>
    <w:rsid w:val="086F16A7"/>
    <w:rsid w:val="08E142E5"/>
    <w:rsid w:val="0935611C"/>
    <w:rsid w:val="0A0F7225"/>
    <w:rsid w:val="0A2B7D82"/>
    <w:rsid w:val="0A3E361F"/>
    <w:rsid w:val="0ADC40E9"/>
    <w:rsid w:val="0AE607F4"/>
    <w:rsid w:val="0B386127"/>
    <w:rsid w:val="0B451598"/>
    <w:rsid w:val="0BEC73F4"/>
    <w:rsid w:val="0C392698"/>
    <w:rsid w:val="0CBE36B7"/>
    <w:rsid w:val="0D282185"/>
    <w:rsid w:val="0EDD34DE"/>
    <w:rsid w:val="10596B94"/>
    <w:rsid w:val="10BD36F6"/>
    <w:rsid w:val="11BF0649"/>
    <w:rsid w:val="123E3E08"/>
    <w:rsid w:val="133212F4"/>
    <w:rsid w:val="13D22E22"/>
    <w:rsid w:val="13DB3D64"/>
    <w:rsid w:val="14D37BDD"/>
    <w:rsid w:val="151B08BC"/>
    <w:rsid w:val="155142DE"/>
    <w:rsid w:val="161C2DFF"/>
    <w:rsid w:val="16373578"/>
    <w:rsid w:val="16D3336B"/>
    <w:rsid w:val="17200028"/>
    <w:rsid w:val="17530611"/>
    <w:rsid w:val="17806C36"/>
    <w:rsid w:val="17A74F62"/>
    <w:rsid w:val="17AC582C"/>
    <w:rsid w:val="18001E6B"/>
    <w:rsid w:val="18A47774"/>
    <w:rsid w:val="18F54C3F"/>
    <w:rsid w:val="198F5D76"/>
    <w:rsid w:val="1A8D28EB"/>
    <w:rsid w:val="1A9F2D78"/>
    <w:rsid w:val="1AEC6A7B"/>
    <w:rsid w:val="1B2E6FD8"/>
    <w:rsid w:val="1B877D21"/>
    <w:rsid w:val="1C4319A9"/>
    <w:rsid w:val="1C5D110F"/>
    <w:rsid w:val="1E443B4B"/>
    <w:rsid w:val="1E641526"/>
    <w:rsid w:val="1E994F4A"/>
    <w:rsid w:val="1EAB5F46"/>
    <w:rsid w:val="1EAF0224"/>
    <w:rsid w:val="1F2230A4"/>
    <w:rsid w:val="1FCD4EA9"/>
    <w:rsid w:val="200A7EAB"/>
    <w:rsid w:val="20210932"/>
    <w:rsid w:val="202448E0"/>
    <w:rsid w:val="20E50D7C"/>
    <w:rsid w:val="20F614FE"/>
    <w:rsid w:val="21302EEA"/>
    <w:rsid w:val="217B7E84"/>
    <w:rsid w:val="21DB7D1F"/>
    <w:rsid w:val="21DD17E4"/>
    <w:rsid w:val="21FF50C2"/>
    <w:rsid w:val="22376FB5"/>
    <w:rsid w:val="228C2DF9"/>
    <w:rsid w:val="229E7CA9"/>
    <w:rsid w:val="22C87961"/>
    <w:rsid w:val="23E152D7"/>
    <w:rsid w:val="23EE2489"/>
    <w:rsid w:val="2423778D"/>
    <w:rsid w:val="24A04008"/>
    <w:rsid w:val="25343CB5"/>
    <w:rsid w:val="255D43C8"/>
    <w:rsid w:val="2566743B"/>
    <w:rsid w:val="25EC0D13"/>
    <w:rsid w:val="26714EF8"/>
    <w:rsid w:val="26876BDD"/>
    <w:rsid w:val="26B172D2"/>
    <w:rsid w:val="26E66850"/>
    <w:rsid w:val="2714632A"/>
    <w:rsid w:val="27541E73"/>
    <w:rsid w:val="2786566E"/>
    <w:rsid w:val="27B0539E"/>
    <w:rsid w:val="27E15995"/>
    <w:rsid w:val="28202567"/>
    <w:rsid w:val="28B5670F"/>
    <w:rsid w:val="291853E7"/>
    <w:rsid w:val="29365CF8"/>
    <w:rsid w:val="299469B3"/>
    <w:rsid w:val="2A805789"/>
    <w:rsid w:val="2ADC0D75"/>
    <w:rsid w:val="2AE674AF"/>
    <w:rsid w:val="2B4A0E52"/>
    <w:rsid w:val="2C975890"/>
    <w:rsid w:val="2CC118F2"/>
    <w:rsid w:val="2DEF21BB"/>
    <w:rsid w:val="2DEF5102"/>
    <w:rsid w:val="2E4A2F05"/>
    <w:rsid w:val="2EC01F0A"/>
    <w:rsid w:val="2EC61441"/>
    <w:rsid w:val="2ECC1061"/>
    <w:rsid w:val="2F313E39"/>
    <w:rsid w:val="2FA476AD"/>
    <w:rsid w:val="30200388"/>
    <w:rsid w:val="303F7540"/>
    <w:rsid w:val="30FD3114"/>
    <w:rsid w:val="31010E56"/>
    <w:rsid w:val="31853836"/>
    <w:rsid w:val="31C14142"/>
    <w:rsid w:val="31DD00BF"/>
    <w:rsid w:val="3293174C"/>
    <w:rsid w:val="32BB38D4"/>
    <w:rsid w:val="32C9376D"/>
    <w:rsid w:val="33780472"/>
    <w:rsid w:val="33AF0905"/>
    <w:rsid w:val="355932F4"/>
    <w:rsid w:val="35611882"/>
    <w:rsid w:val="366F0C9C"/>
    <w:rsid w:val="36746FC3"/>
    <w:rsid w:val="368763AE"/>
    <w:rsid w:val="37030562"/>
    <w:rsid w:val="395D59E7"/>
    <w:rsid w:val="39A93932"/>
    <w:rsid w:val="3A441007"/>
    <w:rsid w:val="3A733CC6"/>
    <w:rsid w:val="3A915562"/>
    <w:rsid w:val="3B8D4765"/>
    <w:rsid w:val="3BF10423"/>
    <w:rsid w:val="3C000DBA"/>
    <w:rsid w:val="3DC045D3"/>
    <w:rsid w:val="3E504FFB"/>
    <w:rsid w:val="3E615CD0"/>
    <w:rsid w:val="3E8D458B"/>
    <w:rsid w:val="3E9C47F6"/>
    <w:rsid w:val="3EED2A1A"/>
    <w:rsid w:val="3F8B0112"/>
    <w:rsid w:val="3F9B24F2"/>
    <w:rsid w:val="3FAB3095"/>
    <w:rsid w:val="3FE45947"/>
    <w:rsid w:val="41242965"/>
    <w:rsid w:val="421D2F81"/>
    <w:rsid w:val="42312C1E"/>
    <w:rsid w:val="43514C55"/>
    <w:rsid w:val="435671EA"/>
    <w:rsid w:val="43931DE2"/>
    <w:rsid w:val="440809E9"/>
    <w:rsid w:val="442407A6"/>
    <w:rsid w:val="44805EA1"/>
    <w:rsid w:val="44CB5602"/>
    <w:rsid w:val="45710696"/>
    <w:rsid w:val="45D976F4"/>
    <w:rsid w:val="46142B1B"/>
    <w:rsid w:val="471A0124"/>
    <w:rsid w:val="47E60DD0"/>
    <w:rsid w:val="48735039"/>
    <w:rsid w:val="492C684B"/>
    <w:rsid w:val="49500594"/>
    <w:rsid w:val="49A11295"/>
    <w:rsid w:val="49E7604E"/>
    <w:rsid w:val="4B4204B1"/>
    <w:rsid w:val="4BA34342"/>
    <w:rsid w:val="4BF67CDD"/>
    <w:rsid w:val="4C06606A"/>
    <w:rsid w:val="4C5826BB"/>
    <w:rsid w:val="4CD3324F"/>
    <w:rsid w:val="4D173441"/>
    <w:rsid w:val="4D603DD6"/>
    <w:rsid w:val="4EAC1FAA"/>
    <w:rsid w:val="4EB40E5E"/>
    <w:rsid w:val="4EBF010F"/>
    <w:rsid w:val="4F471EB0"/>
    <w:rsid w:val="4FEB08B0"/>
    <w:rsid w:val="509D3A52"/>
    <w:rsid w:val="50C51101"/>
    <w:rsid w:val="50D2426D"/>
    <w:rsid w:val="51331326"/>
    <w:rsid w:val="515B7B81"/>
    <w:rsid w:val="51740A7F"/>
    <w:rsid w:val="51A5541E"/>
    <w:rsid w:val="51C96242"/>
    <w:rsid w:val="52207416"/>
    <w:rsid w:val="52210A27"/>
    <w:rsid w:val="52462715"/>
    <w:rsid w:val="52902C16"/>
    <w:rsid w:val="529102F8"/>
    <w:rsid w:val="53906AE1"/>
    <w:rsid w:val="542D5B65"/>
    <w:rsid w:val="54F46F60"/>
    <w:rsid w:val="55A37BEA"/>
    <w:rsid w:val="56362CD2"/>
    <w:rsid w:val="56A46172"/>
    <w:rsid w:val="56FB2454"/>
    <w:rsid w:val="5784687B"/>
    <w:rsid w:val="57846959"/>
    <w:rsid w:val="578E6A87"/>
    <w:rsid w:val="58150BC0"/>
    <w:rsid w:val="589776C4"/>
    <w:rsid w:val="58FC693A"/>
    <w:rsid w:val="59357C33"/>
    <w:rsid w:val="59C52952"/>
    <w:rsid w:val="5A170728"/>
    <w:rsid w:val="5A1F143C"/>
    <w:rsid w:val="5A3D3D89"/>
    <w:rsid w:val="5AC2203A"/>
    <w:rsid w:val="5AE7673E"/>
    <w:rsid w:val="5AF50F3E"/>
    <w:rsid w:val="5C5459E8"/>
    <w:rsid w:val="5CBB3334"/>
    <w:rsid w:val="5CC826A5"/>
    <w:rsid w:val="5D115FAF"/>
    <w:rsid w:val="5D8A4BFD"/>
    <w:rsid w:val="5E3B4DCD"/>
    <w:rsid w:val="5F02460D"/>
    <w:rsid w:val="5F42562D"/>
    <w:rsid w:val="5F614E15"/>
    <w:rsid w:val="60DC7BDA"/>
    <w:rsid w:val="62811722"/>
    <w:rsid w:val="629D0130"/>
    <w:rsid w:val="62E75A72"/>
    <w:rsid w:val="635C3B47"/>
    <w:rsid w:val="64037F8B"/>
    <w:rsid w:val="642F48C0"/>
    <w:rsid w:val="64571880"/>
    <w:rsid w:val="649125B6"/>
    <w:rsid w:val="652F4C1A"/>
    <w:rsid w:val="666D37F1"/>
    <w:rsid w:val="6672075F"/>
    <w:rsid w:val="66A070C9"/>
    <w:rsid w:val="66BB0B84"/>
    <w:rsid w:val="67087D8F"/>
    <w:rsid w:val="671F687E"/>
    <w:rsid w:val="674A351B"/>
    <w:rsid w:val="67F415F8"/>
    <w:rsid w:val="682640D1"/>
    <w:rsid w:val="682D7369"/>
    <w:rsid w:val="684B73E5"/>
    <w:rsid w:val="6A047A2A"/>
    <w:rsid w:val="6ADB6753"/>
    <w:rsid w:val="6C094140"/>
    <w:rsid w:val="6D156B14"/>
    <w:rsid w:val="6D675D52"/>
    <w:rsid w:val="6E386F5E"/>
    <w:rsid w:val="6E7C0B85"/>
    <w:rsid w:val="6EAF5563"/>
    <w:rsid w:val="6EFB7548"/>
    <w:rsid w:val="6F3831C3"/>
    <w:rsid w:val="6F8B71C1"/>
    <w:rsid w:val="6FBC455A"/>
    <w:rsid w:val="70753482"/>
    <w:rsid w:val="707B522A"/>
    <w:rsid w:val="710B2708"/>
    <w:rsid w:val="712C3F43"/>
    <w:rsid w:val="73194D05"/>
    <w:rsid w:val="73727D47"/>
    <w:rsid w:val="73A83B0E"/>
    <w:rsid w:val="744D3EF9"/>
    <w:rsid w:val="74794411"/>
    <w:rsid w:val="74B310ED"/>
    <w:rsid w:val="755E4CF8"/>
    <w:rsid w:val="75867C40"/>
    <w:rsid w:val="75B10B26"/>
    <w:rsid w:val="75FE570E"/>
    <w:rsid w:val="76432199"/>
    <w:rsid w:val="76977D14"/>
    <w:rsid w:val="76AC04E9"/>
    <w:rsid w:val="76F44829"/>
    <w:rsid w:val="77A267C0"/>
    <w:rsid w:val="78882278"/>
    <w:rsid w:val="78B118A6"/>
    <w:rsid w:val="79135044"/>
    <w:rsid w:val="794658B1"/>
    <w:rsid w:val="79634C17"/>
    <w:rsid w:val="798E3ED6"/>
    <w:rsid w:val="7A1C07A1"/>
    <w:rsid w:val="7A7D0F99"/>
    <w:rsid w:val="7A9D1A20"/>
    <w:rsid w:val="7CF44998"/>
    <w:rsid w:val="7DA31886"/>
    <w:rsid w:val="7DFE2A11"/>
    <w:rsid w:val="7E024E93"/>
    <w:rsid w:val="7E4A0E7C"/>
    <w:rsid w:val="7EFD449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afterLines="0" w:afterAutospacing="0"/>
    </w:pPr>
  </w:style>
  <w:style w:type="paragraph" w:styleId="3">
    <w:name w:val="Balloon Text"/>
    <w:basedOn w:val="1"/>
    <w:link w:val="11"/>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unhideWhenUsed/>
    <w:qFormat/>
    <w:uiPriority w:val="99"/>
    <w:rPr>
      <w:color w:val="800080"/>
      <w:u w:val="single"/>
    </w:rPr>
  </w:style>
  <w:style w:type="character" w:styleId="10">
    <w:name w:val="Hyperlink"/>
    <w:unhideWhenUsed/>
    <w:qFormat/>
    <w:uiPriority w:val="99"/>
    <w:rPr>
      <w:color w:val="0000FF"/>
      <w:u w:val="single"/>
    </w:rPr>
  </w:style>
  <w:style w:type="character" w:customStyle="1" w:styleId="11">
    <w:name w:val="批注框文本 Char"/>
    <w:link w:val="3"/>
    <w:semiHidden/>
    <w:qFormat/>
    <w:uiPriority w:val="99"/>
    <w:rPr>
      <w:kern w:val="2"/>
      <w:sz w:val="18"/>
      <w:szCs w:val="18"/>
    </w:rPr>
  </w:style>
  <w:style w:type="character" w:customStyle="1" w:styleId="12">
    <w:name w:val="页脚 Char"/>
    <w:link w:val="4"/>
    <w:qFormat/>
    <w:uiPriority w:val="99"/>
    <w:rPr>
      <w:kern w:val="2"/>
      <w:sz w:val="18"/>
      <w:szCs w:val="18"/>
    </w:rPr>
  </w:style>
  <w:style w:type="character" w:customStyle="1" w:styleId="13">
    <w:name w:val="页眉 Char"/>
    <w:link w:val="5"/>
    <w:qFormat/>
    <w:uiPriority w:val="99"/>
    <w:rPr>
      <w:kern w:val="2"/>
      <w:sz w:val="18"/>
      <w:szCs w:val="18"/>
    </w:rPr>
  </w:style>
  <w:style w:type="character" w:customStyle="1" w:styleId="14">
    <w:name w:val="font01"/>
    <w:qFormat/>
    <w:uiPriority w:val="0"/>
    <w:rPr>
      <w:rFonts w:hint="eastAsia" w:ascii="宋体" w:hAnsi="宋体" w:eastAsia="宋体" w:cs="宋体"/>
      <w:color w:val="000000"/>
      <w:sz w:val="22"/>
      <w:szCs w:val="22"/>
      <w:u w:val="none"/>
    </w:rPr>
  </w:style>
  <w:style w:type="character" w:customStyle="1" w:styleId="15">
    <w:name w:val="font21"/>
    <w:qFormat/>
    <w:uiPriority w:val="0"/>
    <w:rPr>
      <w:rFonts w:hint="eastAsia" w:ascii="宋体" w:hAnsi="宋体" w:eastAsia="宋体" w:cs="宋体"/>
      <w:color w:val="000000"/>
      <w:sz w:val="22"/>
      <w:szCs w:val="22"/>
      <w:u w:val="none"/>
    </w:rPr>
  </w:style>
  <w:style w:type="character" w:customStyle="1" w:styleId="16">
    <w:name w:val="font51"/>
    <w:qFormat/>
    <w:uiPriority w:val="0"/>
    <w:rPr>
      <w:rFonts w:hint="eastAsia" w:ascii="宋体" w:hAnsi="宋体" w:eastAsia="宋体" w:cs="宋体"/>
      <w:color w:val="000000"/>
      <w:sz w:val="24"/>
      <w:szCs w:val="24"/>
      <w:u w:val="none"/>
    </w:rPr>
  </w:style>
  <w:style w:type="character" w:customStyle="1" w:styleId="17">
    <w:name w:val="font11"/>
    <w:qFormat/>
    <w:uiPriority w:val="0"/>
    <w:rPr>
      <w:rFonts w:hint="eastAsia" w:ascii="宋体" w:hAnsi="宋体" w:eastAsia="宋体" w:cs="宋体"/>
      <w:color w:val="000000"/>
      <w:sz w:val="20"/>
      <w:szCs w:val="20"/>
      <w:u w:val="none"/>
    </w:rPr>
  </w:style>
  <w:style w:type="character" w:customStyle="1" w:styleId="18">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31</Pages>
  <Words>8191</Words>
  <Characters>10045</Characters>
  <Lines>60</Lines>
  <Paragraphs>16</Paragraphs>
  <TotalTime>7</TotalTime>
  <ScaleCrop>false</ScaleCrop>
  <LinksUpToDate>false</LinksUpToDate>
  <CharactersWithSpaces>10282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2007-11-29T19:41:00Z</dcterms:created>
  <dc:creator>管理者</dc:creator>
  <cp:lastModifiedBy>悟の</cp:lastModifiedBy>
  <cp:lastPrinted>2023-02-16T10:18:00Z</cp:lastPrinted>
  <dcterms:modified xsi:type="dcterms:W3CDTF">2023-05-29T03:01:19Z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BE4CBAAA546B4A12A6CFDD13D8B55FCD_13</vt:lpwstr>
  </property>
</Properties>
</file>