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rPr>
      </w:pPr>
      <w:bookmarkStart w:id="0" w:name="_GoBack"/>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20</w:t>
      </w:r>
      <w:r>
        <w:rPr>
          <w:rFonts w:ascii="黑体" w:hAnsi="黑体" w:eastAsia="黑体" w:cs="黑体"/>
          <w:color w:val="auto"/>
          <w:sz w:val="52"/>
          <w:szCs w:val="52"/>
          <w:highlight w:val="none"/>
        </w:rPr>
        <w:t>21</w:t>
      </w:r>
      <w:r>
        <w:rPr>
          <w:rFonts w:hint="eastAsia" w:ascii="黑体" w:hAnsi="黑体" w:eastAsia="黑体" w:cs="黑体"/>
          <w:color w:val="auto"/>
          <w:sz w:val="52"/>
          <w:szCs w:val="52"/>
          <w:highlight w:val="none"/>
        </w:rPr>
        <w:t>年度</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val="en-US" w:eastAsia="zh-CN"/>
        </w:rPr>
        <w:t>许昌市第十二中学单位</w:t>
      </w:r>
      <w:r>
        <w:rPr>
          <w:rFonts w:hint="eastAsia" w:ascii="黑体" w:hAnsi="黑体" w:eastAsia="黑体" w:cs="黑体"/>
          <w:color w:val="auto"/>
          <w:sz w:val="52"/>
          <w:szCs w:val="52"/>
          <w:highlight w:val="none"/>
        </w:rPr>
        <w:t>决算</w:t>
      </w:r>
    </w:p>
    <w:p>
      <w:pPr>
        <w:jc w:val="center"/>
        <w:rPr>
          <w:rFonts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color w:val="auto"/>
          <w:sz w:val="32"/>
          <w:szCs w:val="32"/>
          <w:highlight w:val="none"/>
        </w:rPr>
        <w:t>二〇二二年</w:t>
      </w:r>
      <w:r>
        <w:rPr>
          <w:rFonts w:hint="eastAsia" w:ascii="黑体" w:hAnsi="黑体" w:eastAsia="黑体" w:cs="黑体"/>
          <w:color w:val="auto"/>
          <w:sz w:val="32"/>
          <w:szCs w:val="32"/>
          <w:highlight w:val="none"/>
          <w:lang w:eastAsia="zh-CN"/>
        </w:rPr>
        <w:t>九</w:t>
      </w:r>
      <w:r>
        <w:rPr>
          <w:rFonts w:hint="eastAsia" w:ascii="黑体" w:hAnsi="黑体" w:eastAsia="黑体" w:cs="黑体"/>
          <w:color w:val="auto"/>
          <w:sz w:val="32"/>
          <w:szCs w:val="32"/>
          <w:highlight w:val="none"/>
        </w:rPr>
        <w:t>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许昌市第十二中学概况</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lang w:eastAsia="zh-CN"/>
        </w:rPr>
        <w:t>单位</w:t>
      </w:r>
      <w:r>
        <w:rPr>
          <w:rFonts w:hint="eastAsia" w:ascii="宋体" w:hAnsi="宋体" w:cs="宋体"/>
          <w:color w:val="auto"/>
          <w:sz w:val="32"/>
          <w:szCs w:val="32"/>
          <w:highlight w:val="none"/>
        </w:rPr>
        <w:t>职责</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  2021年度</w:t>
      </w:r>
      <w:r>
        <w:rPr>
          <w:rFonts w:hint="eastAsia" w:ascii="黑体" w:hAnsi="黑体" w:eastAsia="黑体" w:cs="黑体"/>
          <w:color w:val="auto"/>
          <w:sz w:val="32"/>
          <w:szCs w:val="32"/>
          <w:highlight w:val="none"/>
          <w:lang w:val="en-US" w:eastAsia="zh-CN"/>
        </w:rPr>
        <w:t>单位</w:t>
      </w:r>
      <w:r>
        <w:rPr>
          <w:rFonts w:hint="eastAsia" w:ascii="黑体" w:hAnsi="黑体" w:eastAsia="黑体" w:cs="黑体"/>
          <w:color w:val="auto"/>
          <w:sz w:val="32"/>
          <w:szCs w:val="32"/>
          <w:highlight w:val="none"/>
        </w:rPr>
        <w:t>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一、收入支出决算总表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二、收入决算表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三、支出决算表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四、财政拨款收入支出决算总表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五、一般公共预算财政拨款支出决算表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六、一般公共预算财政拨款基本支出决算明细表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七、一般公共预算财政拨款“三公”经费支出决算表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第三部分　</w:t>
      </w:r>
      <w:r>
        <w:rPr>
          <w:rFonts w:ascii="黑体" w:hAnsi="黑体" w:eastAsia="黑体" w:cs="黑体"/>
          <w:color w:val="auto"/>
          <w:sz w:val="32"/>
          <w:szCs w:val="32"/>
          <w:highlight w:val="none"/>
        </w:rPr>
        <w:t>2021</w:t>
      </w:r>
      <w:r>
        <w:rPr>
          <w:rFonts w:hint="eastAsia" w:ascii="黑体" w:hAnsi="黑体" w:eastAsia="黑体" w:cs="黑体"/>
          <w:color w:val="auto"/>
          <w:sz w:val="32"/>
          <w:szCs w:val="32"/>
          <w:highlight w:val="none"/>
        </w:rPr>
        <w:t>年度</w:t>
      </w:r>
      <w:r>
        <w:rPr>
          <w:rFonts w:hint="eastAsia" w:ascii="黑体" w:hAnsi="黑体" w:eastAsia="黑体" w:cs="黑体"/>
          <w:color w:val="auto"/>
          <w:sz w:val="32"/>
          <w:szCs w:val="32"/>
          <w:highlight w:val="none"/>
          <w:lang w:eastAsia="zh-CN"/>
        </w:rPr>
        <w:t>单位决算</w:t>
      </w:r>
      <w:r>
        <w:rPr>
          <w:rFonts w:hint="eastAsia" w:ascii="黑体" w:hAnsi="黑体" w:eastAsia="黑体" w:cs="黑体"/>
          <w:color w:val="auto"/>
          <w:sz w:val="32"/>
          <w:szCs w:val="32"/>
          <w:highlight w:val="none"/>
        </w:rPr>
        <w:t>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一、收入支出决算总体情况说明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二、收入决算情况说明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三、支出决算情况说明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四、财政拨款收入支出决算总体情况说明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五、一般公共预算财政拨款支出决算情况说明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六、一般公共预算财政拨款基本支出决算情况说明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七、一般公共预算财政拨款“三公”经费支出决算情况说明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八、政府性基金预算财政拨款支出决算情况说明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九、机关运行经费支出情况说明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十、政府采购支出情况说明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十一、国有资产占用情况说明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十二、预算绩效情况说明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第四部分　　名词解释</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both"/>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宋体" w:eastAsia="黑体" w:cs="宋体"/>
          <w:color w:val="auto"/>
          <w:kern w:val="0"/>
          <w:sz w:val="28"/>
          <w:szCs w:val="28"/>
          <w:highlight w:val="none"/>
        </w:rPr>
      </w:pPr>
      <w:r>
        <w:rPr>
          <w:rFonts w:hint="eastAsia" w:ascii="黑体" w:hAnsi="黑体" w:eastAsia="黑体" w:cs="黑体"/>
          <w:color w:val="auto"/>
          <w:sz w:val="48"/>
          <w:szCs w:val="48"/>
          <w:highlight w:val="none"/>
        </w:rPr>
        <w:t>第一部分  许昌市第十二中学概况</w:t>
      </w: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一、</w:t>
      </w:r>
      <w:r>
        <w:rPr>
          <w:rFonts w:hint="eastAsia" w:ascii="黑体" w:hAnsi="黑体" w:eastAsia="黑体" w:cs="黑体"/>
          <w:color w:val="auto"/>
          <w:kern w:val="0"/>
          <w:sz w:val="32"/>
          <w:szCs w:val="32"/>
          <w:highlight w:val="none"/>
          <w:lang w:eastAsia="zh-CN"/>
        </w:rPr>
        <w:t>单位</w:t>
      </w:r>
      <w:r>
        <w:rPr>
          <w:rFonts w:hint="eastAsia" w:ascii="黑体" w:hAnsi="黑体" w:eastAsia="黑体" w:cs="黑体"/>
          <w:bCs/>
          <w:color w:val="auto"/>
          <w:sz w:val="32"/>
          <w:szCs w:val="32"/>
          <w:highlight w:val="none"/>
        </w:rPr>
        <w:t>职责</w:t>
      </w:r>
    </w:p>
    <w:p>
      <w:pPr>
        <w:spacing w:line="360" w:lineRule="auto"/>
        <w:ind w:left="420" w:leftChars="200"/>
        <w:jc w:val="left"/>
        <w:outlineLvl w:val="1"/>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1、全面贯彻执行党和国家的教育方针、政策和法规，实施初中义务教育，促进基础教育发展。</w:t>
      </w:r>
    </w:p>
    <w:p>
      <w:pPr>
        <w:spacing w:line="360" w:lineRule="auto"/>
        <w:ind w:left="420" w:leftChars="200"/>
        <w:jc w:val="left"/>
        <w:outlineLvl w:val="1"/>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2、负责依法制定学校章程，并按照章程自主管理。</w:t>
      </w:r>
    </w:p>
    <w:p>
      <w:pPr>
        <w:spacing w:line="360" w:lineRule="auto"/>
        <w:ind w:left="420" w:leftChars="200"/>
        <w:jc w:val="left"/>
        <w:outlineLvl w:val="1"/>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3、负责制定学校教育发展规划，并抓好组织实施和落实工作。</w:t>
      </w:r>
    </w:p>
    <w:p>
      <w:pPr>
        <w:spacing w:line="360" w:lineRule="auto"/>
        <w:ind w:left="420" w:leftChars="200"/>
        <w:jc w:val="left"/>
        <w:outlineLvl w:val="1"/>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4、负责按照教育主管</w:t>
      </w: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发布的指导性教育计划、教学大纲，组织实施教育教学活动。</w:t>
      </w:r>
    </w:p>
    <w:p>
      <w:pPr>
        <w:spacing w:line="360" w:lineRule="auto"/>
        <w:ind w:left="420" w:leftChars="200"/>
        <w:jc w:val="left"/>
        <w:outlineLvl w:val="1"/>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5、负责依据国家教育主管</w:t>
      </w: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有关教学计划、课程设置等方面的规定，决定和实施本校的教学计划，组织教学评比、集体备课，对学生进行统一考核、考试等。</w:t>
      </w:r>
    </w:p>
    <w:p>
      <w:pPr>
        <w:spacing w:line="360" w:lineRule="auto"/>
        <w:ind w:left="420" w:leftChars="200"/>
        <w:jc w:val="left"/>
        <w:outlineLvl w:val="1"/>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6、负责科学管理、合理使用学校的设施和经费，并积极筹措资金，改善办学条件。</w:t>
      </w:r>
    </w:p>
    <w:p>
      <w:pPr>
        <w:spacing w:line="360" w:lineRule="auto"/>
        <w:ind w:left="420" w:leftChars="200"/>
        <w:jc w:val="left"/>
        <w:outlineLvl w:val="1"/>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7、负责维护学校、师生的合法权益，有权拒绝任何组织和个人对教育教学活动进行非法干涉。</w:t>
      </w:r>
    </w:p>
    <w:p>
      <w:pPr>
        <w:spacing w:line="360" w:lineRule="auto"/>
        <w:ind w:left="420" w:leftChars="200"/>
        <w:jc w:val="left"/>
        <w:outlineLvl w:val="1"/>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８、依法接受和级教育行政</w:t>
      </w: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的检查指导和人民群众的监督。</w:t>
      </w:r>
    </w:p>
    <w:p>
      <w:pPr>
        <w:spacing w:line="336" w:lineRule="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9、学校下设办公室、教务科、政教科、总务科、安全科五个功能科室。</w:t>
      </w: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二、机构设置</w:t>
      </w:r>
    </w:p>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许昌市第十二中学内设机构五个，包括：办公室、教务科、政教科、总务科、安全科。</w:t>
      </w:r>
    </w:p>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从决算单位构成看，许昌市第十二中学</w:t>
      </w:r>
      <w:r>
        <w:rPr>
          <w:rFonts w:hint="eastAsia" w:ascii="仿宋_GB2312" w:hAnsi="仿宋_GB2312" w:eastAsia="仿宋_GB2312" w:cs="仿宋_GB2312"/>
          <w:color w:val="auto"/>
          <w:kern w:val="0"/>
          <w:sz w:val="32"/>
          <w:szCs w:val="32"/>
          <w:highlight w:val="none"/>
          <w:lang w:eastAsia="zh-CN"/>
        </w:rPr>
        <w:t>单位决算</w:t>
      </w:r>
      <w:r>
        <w:rPr>
          <w:rFonts w:hint="eastAsia" w:ascii="仿宋_GB2312" w:hAnsi="仿宋_GB2312" w:eastAsia="仿宋_GB2312" w:cs="仿宋_GB2312"/>
          <w:color w:val="auto"/>
          <w:kern w:val="0"/>
          <w:sz w:val="32"/>
          <w:szCs w:val="32"/>
          <w:highlight w:val="none"/>
        </w:rPr>
        <w:t>包括：本级决算。</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纳入本单位2021年度单位决算编制范围的单位共1个。具体是：</w:t>
      </w:r>
    </w:p>
    <w:p>
      <w:pPr>
        <w:widowControl/>
        <w:ind w:firstLine="640" w:firstLineChars="200"/>
        <w:jc w:val="left"/>
        <w:rPr>
          <w:rFonts w:hint="default"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许昌市第十二中学</w:t>
      </w:r>
    </w:p>
    <w:p>
      <w:pPr>
        <w:widowControl/>
        <w:ind w:firstLine="640" w:firstLineChars="200"/>
        <w:jc w:val="left"/>
        <w:rPr>
          <w:rFonts w:hint="eastAsia" w:ascii="仿宋_GB2312" w:hAnsi="仿宋_GB2312" w:eastAsia="仿宋_GB2312" w:cs="仿宋_GB2312"/>
          <w:color w:val="auto"/>
          <w:kern w:val="0"/>
          <w:sz w:val="32"/>
          <w:szCs w:val="32"/>
          <w:highlight w:val="none"/>
        </w:rPr>
      </w:pPr>
    </w:p>
    <w:p>
      <w:pPr>
        <w:widowControl/>
        <w:ind w:firstLine="640" w:firstLineChars="200"/>
        <w:jc w:val="left"/>
        <w:rPr>
          <w:rFonts w:hint="eastAsia" w:ascii="仿宋_GB2312" w:hAnsi="仿宋_GB2312" w:eastAsia="仿宋_GB2312" w:cs="仿宋_GB2312"/>
          <w:color w:val="auto"/>
          <w:kern w:val="0"/>
          <w:sz w:val="32"/>
          <w:szCs w:val="32"/>
          <w:highlight w:val="none"/>
        </w:rPr>
      </w:pPr>
    </w:p>
    <w:p>
      <w:pPr>
        <w:widowControl/>
        <w:jc w:val="left"/>
        <w:rPr>
          <w:rFonts w:hint="eastAsia" w:ascii="黑体" w:hAnsi="宋体" w:eastAsia="黑体" w:cs="宋体"/>
          <w:color w:val="auto"/>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第二部分  2021年度</w:t>
      </w:r>
      <w:r>
        <w:rPr>
          <w:rFonts w:hint="eastAsia" w:ascii="黑体" w:hAnsi="黑体" w:eastAsia="黑体" w:cs="黑体"/>
          <w:color w:val="auto"/>
          <w:sz w:val="48"/>
          <w:szCs w:val="48"/>
          <w:highlight w:val="none"/>
          <w:lang w:eastAsia="zh-CN"/>
        </w:rPr>
        <w:t>单位决算</w:t>
      </w:r>
      <w:r>
        <w:rPr>
          <w:rFonts w:hint="eastAsia" w:ascii="黑体" w:hAnsi="黑体" w:eastAsia="黑体" w:cs="黑体"/>
          <w:color w:val="auto"/>
          <w:sz w:val="48"/>
          <w:szCs w:val="48"/>
          <w:highlight w:val="none"/>
        </w:rPr>
        <w:t>表</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5"/>
        <w:tblW w:w="140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887"/>
        <w:gridCol w:w="858"/>
        <w:gridCol w:w="1434"/>
        <w:gridCol w:w="4599"/>
        <w:gridCol w:w="858"/>
        <w:gridCol w:w="14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70" w:type="dxa"/>
            <w:gridSpan w:val="6"/>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18"/>
                <w:szCs w:val="18"/>
                <w:highlight w:val="none"/>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18"/>
                <w:szCs w:val="18"/>
                <w:highlight w:val="none"/>
                <w:u w:val="none"/>
                <w:lang w:val="en-US" w:eastAsia="zh-CN" w:bidi="ar"/>
              </w:rPr>
              <w:t>单位</w:t>
            </w:r>
            <w:r>
              <w:rPr>
                <w:rFonts w:hint="eastAsia" w:ascii="宋体" w:hAnsi="宋体" w:eastAsia="宋体" w:cs="宋体"/>
                <w:i w:val="0"/>
                <w:iCs w:val="0"/>
                <w:color w:val="auto"/>
                <w:kern w:val="0"/>
                <w:sz w:val="18"/>
                <w:szCs w:val="18"/>
                <w:highlight w:val="none"/>
                <w:u w:val="none"/>
                <w:lang w:val="en-US" w:eastAsia="zh-CN" w:bidi="ar"/>
              </w:rPr>
              <w:t>：许昌市第十二中学</w:t>
            </w: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金额</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2,535.10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二、外交支出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四、上级补助收入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四、公共安全支出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五、事业收入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2,966.31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六、经营收入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六、科学技术支出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七、附属单位上缴收入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八、其他收入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八、社会保障和就业支出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236.10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九、卫生健康支出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十、节能环保支出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十一、城乡社区支出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十二、农林水支出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十三、交通运输支出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十五、商业服务业等支出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十六、金融支出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十七、援助其他地区支出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十九、住房保障支出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二十、粮油物资储备支出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二十三、其他支出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二十四、债务还本支出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二十五、债务付息支出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本年收入合计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2,535.10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本年支出合计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3,291.07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使用非财政拨款结余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结余分配</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年初结转和结余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759.05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年末结转和结余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61</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0" w:type="auto"/>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3,294.15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3,294.15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0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9"/>
        <w:gridCol w:w="329"/>
        <w:gridCol w:w="329"/>
        <w:gridCol w:w="3956"/>
        <w:gridCol w:w="1710"/>
        <w:gridCol w:w="1695"/>
        <w:gridCol w:w="1038"/>
        <w:gridCol w:w="988"/>
        <w:gridCol w:w="982"/>
        <w:gridCol w:w="982"/>
        <w:gridCol w:w="9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3005" w:type="dxa"/>
            <w:gridSpan w:val="11"/>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0" w:type="auto"/>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18"/>
                <w:szCs w:val="18"/>
                <w:highlight w:val="none"/>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9"/>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18"/>
                <w:szCs w:val="18"/>
                <w:highlight w:val="none"/>
                <w:u w:val="none"/>
                <w:lang w:val="en-US" w:eastAsia="zh-CN" w:bidi="ar"/>
              </w:rPr>
              <w:t>单位</w:t>
            </w:r>
            <w:r>
              <w:rPr>
                <w:rFonts w:hint="eastAsia" w:ascii="宋体" w:hAnsi="宋体" w:eastAsia="宋体" w:cs="宋体"/>
                <w:i w:val="0"/>
                <w:iCs w:val="0"/>
                <w:color w:val="auto"/>
                <w:kern w:val="0"/>
                <w:sz w:val="18"/>
                <w:szCs w:val="18"/>
                <w:highlight w:val="none"/>
                <w:u w:val="none"/>
                <w:lang w:val="en-US" w:eastAsia="zh-CN" w:bidi="ar"/>
              </w:rPr>
              <w:t>：许昌市第十二中学</w:t>
            </w: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171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本年收入合计</w:t>
            </w:r>
          </w:p>
        </w:tc>
        <w:tc>
          <w:tcPr>
            <w:tcW w:w="169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财政拨款收入</w:t>
            </w:r>
          </w:p>
        </w:tc>
        <w:tc>
          <w:tcPr>
            <w:tcW w:w="118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上级补助收入</w:t>
            </w:r>
          </w:p>
        </w:tc>
        <w:tc>
          <w:tcPr>
            <w:tcW w:w="105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事业收入</w:t>
            </w:r>
          </w:p>
        </w:tc>
        <w:tc>
          <w:tcPr>
            <w:tcW w:w="103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经营收入</w:t>
            </w:r>
          </w:p>
        </w:tc>
        <w:tc>
          <w:tcPr>
            <w:tcW w:w="103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附属单位上缴收入</w:t>
            </w:r>
          </w:p>
        </w:tc>
        <w:tc>
          <w:tcPr>
            <w:tcW w:w="105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71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69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8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 w:hRule="atLeast"/>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71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69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8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71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69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8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171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69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18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05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03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03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105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2,535.10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2,535.10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13.57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群众团体事务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13.57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13.57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2,254.71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2,254.71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普通教育</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2,230.71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2,230.71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2050203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初中教育</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2,050.47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2,050.47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2050299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其他普通教育支出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180.24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180.24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2059999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199.16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199.16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199.16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199.16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65.86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65.86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133.30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133.30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67.66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67.66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67.66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67.66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67.66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67.66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1"/>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本年度取得的各项收入情况。本表金额转换为万元时，因四舍五入可能存在尾差。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19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9"/>
        <w:gridCol w:w="329"/>
        <w:gridCol w:w="329"/>
        <w:gridCol w:w="3956"/>
        <w:gridCol w:w="1515"/>
        <w:gridCol w:w="1530"/>
        <w:gridCol w:w="1290"/>
        <w:gridCol w:w="990"/>
        <w:gridCol w:w="990"/>
        <w:gridCol w:w="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1925"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8"/>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18"/>
                <w:szCs w:val="18"/>
                <w:highlight w:val="none"/>
                <w:u w:val="none"/>
                <w:lang w:val="en-US" w:eastAsia="zh-CN" w:bidi="ar"/>
              </w:rPr>
              <w:t>单位</w:t>
            </w:r>
            <w:r>
              <w:rPr>
                <w:rFonts w:hint="eastAsia" w:ascii="宋体" w:hAnsi="宋体" w:eastAsia="宋体" w:cs="宋体"/>
                <w:i w:val="0"/>
                <w:iCs w:val="0"/>
                <w:color w:val="auto"/>
                <w:kern w:val="0"/>
                <w:sz w:val="18"/>
                <w:szCs w:val="18"/>
                <w:highlight w:val="none"/>
                <w:u w:val="none"/>
                <w:lang w:val="en-US" w:eastAsia="zh-CN" w:bidi="ar"/>
              </w:rPr>
              <w:t>：许昌市第十二中学</w:t>
            </w: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151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本年支出合计</w:t>
            </w:r>
          </w:p>
        </w:tc>
        <w:tc>
          <w:tcPr>
            <w:tcW w:w="153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基本支出</w:t>
            </w:r>
          </w:p>
        </w:tc>
        <w:tc>
          <w:tcPr>
            <w:tcW w:w="129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项目支出</w:t>
            </w:r>
          </w:p>
        </w:tc>
        <w:tc>
          <w:tcPr>
            <w:tcW w:w="118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上缴上级支出</w:t>
            </w:r>
          </w:p>
        </w:tc>
        <w:tc>
          <w:tcPr>
            <w:tcW w:w="118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经营支出</w:t>
            </w:r>
          </w:p>
        </w:tc>
        <w:tc>
          <w:tcPr>
            <w:tcW w:w="118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90"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51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8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8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8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 w:hRule="atLeast"/>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51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8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8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8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 w:hRule="atLeast"/>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51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8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8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8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151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53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29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18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18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18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3,291.07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2,512.61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778.45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13.57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群众团体事务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13.57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13.57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2,966.31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2,187.86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778.45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普通教育</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2,942.31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2,187.86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754.45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2050203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初中教育</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2,200.73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2,187.86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12.87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2050299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其他普通教育支出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741.58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741.58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2059999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236.10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236.10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236.10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236.10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69.11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69.11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167.00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167.00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75.08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75.08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75.08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75.08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75.08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75.08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本年度各项支出情况。本表金额转换为万元时，因四舍五入可能存在尾差。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1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400"/>
        <w:gridCol w:w="556"/>
        <w:gridCol w:w="1435"/>
        <w:gridCol w:w="3887"/>
        <w:gridCol w:w="556"/>
        <w:gridCol w:w="1212"/>
        <w:gridCol w:w="1427"/>
        <w:gridCol w:w="821"/>
        <w:gridCol w:w="8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4115"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7"/>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18"/>
                <w:szCs w:val="18"/>
                <w:highlight w:val="none"/>
                <w:u w:val="none"/>
                <w:lang w:val="en-US" w:eastAsia="zh-CN" w:bidi="ar"/>
              </w:rPr>
              <w:t>单位</w:t>
            </w:r>
            <w:r>
              <w:rPr>
                <w:rFonts w:hint="eastAsia" w:ascii="宋体" w:hAnsi="宋体" w:eastAsia="宋体" w:cs="宋体"/>
                <w:i w:val="0"/>
                <w:iCs w:val="0"/>
                <w:color w:val="auto"/>
                <w:kern w:val="0"/>
                <w:sz w:val="18"/>
                <w:szCs w:val="18"/>
                <w:highlight w:val="none"/>
                <w:u w:val="none"/>
                <w:lang w:val="en-US" w:eastAsia="zh-CN" w:bidi="ar"/>
              </w:rPr>
              <w:t>：许昌市第十二中学</w:t>
            </w: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收     入</w:t>
            </w:r>
          </w:p>
        </w:tc>
        <w:tc>
          <w:tcPr>
            <w:tcW w:w="0" w:type="auto"/>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297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57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150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金额</w:t>
            </w:r>
          </w:p>
        </w:tc>
        <w:tc>
          <w:tcPr>
            <w:tcW w:w="345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57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48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一般公共预算财政拨款</w:t>
            </w:r>
          </w:p>
        </w:tc>
        <w:tc>
          <w:tcPr>
            <w:tcW w:w="105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政府性基金预算财政拨款</w:t>
            </w:r>
          </w:p>
        </w:tc>
        <w:tc>
          <w:tcPr>
            <w:tcW w:w="105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297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57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4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57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48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2,535.10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13.57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二、政府性基金预算财政拨款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二、外交支出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三、国有资本经营财政拨款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四、公共安全支出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2,963.00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2,963.00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六、科学技术支出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八、社会保障和就业支出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236.10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236.10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九、卫生健康支出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75.08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75.08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十、节能环保支出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十一、城乡社区支出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十二、农林水支出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十三、交通运输支出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十五、商业服务业等支出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十六、金融支出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十七、援助其他地区支出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十九、住房保障支出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二十、粮油物资储备支出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二十三、其他支出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二十四、债务还本支出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二十五、债务付息支出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本年收入合计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2,535.10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本年支出合计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3,287.75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3,287.75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年初财政拨款结转和结余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752.66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年末财政拨款结转和结余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752.66</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0" w:type="auto"/>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3,287.75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3,287.75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3,287.75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4115"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078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9"/>
        <w:gridCol w:w="329"/>
        <w:gridCol w:w="329"/>
        <w:gridCol w:w="3956"/>
        <w:gridCol w:w="2324"/>
        <w:gridCol w:w="1980"/>
        <w:gridCol w:w="18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0785" w:type="dxa"/>
            <w:gridSpan w:val="7"/>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5"/>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18"/>
                <w:szCs w:val="18"/>
                <w:highlight w:val="none"/>
                <w:u w:val="none"/>
                <w:lang w:val="en-US" w:eastAsia="zh-CN" w:bidi="ar"/>
              </w:rPr>
              <w:t>单位</w:t>
            </w:r>
            <w:r>
              <w:rPr>
                <w:rFonts w:hint="eastAsia" w:ascii="宋体" w:hAnsi="宋体" w:eastAsia="宋体" w:cs="宋体"/>
                <w:i w:val="0"/>
                <w:iCs w:val="0"/>
                <w:color w:val="auto"/>
                <w:kern w:val="0"/>
                <w:sz w:val="18"/>
                <w:szCs w:val="18"/>
                <w:highlight w:val="none"/>
                <w:u w:val="none"/>
                <w:lang w:val="en-US" w:eastAsia="zh-CN" w:bidi="ar"/>
              </w:rPr>
              <w:t>：许昌市第十二中学</w:t>
            </w: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6405"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241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198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基本支出</w:t>
            </w:r>
          </w:p>
        </w:tc>
        <w:tc>
          <w:tcPr>
            <w:tcW w:w="201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241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98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01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241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98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01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3,287.75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2,512.61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775.14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13.57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群众团体事务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13.57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13.57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2,963.00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2,187.86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775.14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普通教育</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2,939.00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2,187.86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751.14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2050203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初中教育</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2,197.42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2,187.86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2050299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其他普通教育支出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741.58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741.58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2059999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236.10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236.10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236.10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236.10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69.11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69.11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167.00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167.00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75.08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75.08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75.08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75.08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75.08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75.08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7"/>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本年度一般公共预算财政拨款支出情况。本套报表金额单位转换时可能存在尾数误差。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1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09"/>
        <w:gridCol w:w="3176"/>
        <w:gridCol w:w="1005"/>
        <w:gridCol w:w="709"/>
        <w:gridCol w:w="2189"/>
        <w:gridCol w:w="808"/>
        <w:gridCol w:w="709"/>
        <w:gridCol w:w="3967"/>
        <w:gridCol w:w="8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110"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auto"/>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7"/>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highlight w:val="none"/>
                <w:u w:val="none"/>
              </w:rPr>
            </w:pPr>
            <w:r>
              <w:rPr>
                <w:rFonts w:hint="eastAsia" w:ascii="宋体" w:hAnsi="宋体" w:cs="宋体"/>
                <w:i w:val="0"/>
                <w:iCs w:val="0"/>
                <w:color w:val="auto"/>
                <w:kern w:val="0"/>
                <w:sz w:val="18"/>
                <w:szCs w:val="18"/>
                <w:highlight w:val="none"/>
                <w:u w:val="none"/>
                <w:lang w:val="en-US" w:eastAsia="zh-CN" w:bidi="ar"/>
              </w:rPr>
              <w:t>单位</w:t>
            </w:r>
            <w:r>
              <w:rPr>
                <w:rFonts w:hint="eastAsia" w:ascii="宋体" w:hAnsi="宋体" w:eastAsia="宋体" w:cs="宋体"/>
                <w:i w:val="0"/>
                <w:iCs w:val="0"/>
                <w:color w:val="auto"/>
                <w:kern w:val="0"/>
                <w:sz w:val="18"/>
                <w:szCs w:val="18"/>
                <w:highlight w:val="none"/>
                <w:u w:val="none"/>
                <w:lang w:val="en-US" w:eastAsia="zh-CN" w:bidi="ar"/>
              </w:rPr>
              <w:t>：许昌市第十二中学</w:t>
            </w: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人员经费</w:t>
            </w:r>
          </w:p>
        </w:tc>
        <w:tc>
          <w:tcPr>
            <w:tcW w:w="0" w:type="auto"/>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35"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科目编码</w:t>
            </w:r>
          </w:p>
        </w:tc>
        <w:tc>
          <w:tcPr>
            <w:tcW w:w="246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47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c>
          <w:tcPr>
            <w:tcW w:w="73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科目编码</w:t>
            </w:r>
          </w:p>
        </w:tc>
        <w:tc>
          <w:tcPr>
            <w:tcW w:w="202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41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c>
          <w:tcPr>
            <w:tcW w:w="73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科目编码</w:t>
            </w:r>
          </w:p>
        </w:tc>
        <w:tc>
          <w:tcPr>
            <w:tcW w:w="223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30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3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46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7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73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0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1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73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23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0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工资福利支出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2,313.16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商品和服务支出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105.52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债务利息及费用支出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基本工资</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746.13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办公费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16.95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30701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国内债务付息</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津贴补贴</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508.20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印刷费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30702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国外债务付息</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奖金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246.66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咨询费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资本性支出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伙食补助费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手续费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房屋建筑物购建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绩效工资</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392.76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水费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办公设备购置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166.39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电费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专用设备购置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职业年金缴费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邮电费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0.28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基础设施建设</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职工基本医疗保险缴费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77.32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取暖费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大型修缮</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公务员医疗补助缴费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物业管理费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信息网络及软件购置更新</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其他社会保障缴费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14.81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差旅费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物资储备</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住房公积金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146.74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因公出国（境）费用</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土地补偿</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医疗费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维修（护）费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安置补助</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其他工资福利支出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14.14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租赁费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地上附着物和青苗补偿</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对个人和家庭的补助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88.96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会议费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拆迁补偿</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离休费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培训费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15.88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公务用车购置</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退休费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82.90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公务接待费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其他交通工具购置</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退职（役）费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专用材料费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0.82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31021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文物和陈列品购置</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抚恤金</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被装购置费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31022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无形资产购置</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生活补助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5.97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专用燃料费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其他资本性支出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救济费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劳务费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13.41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其他支出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医疗费补助</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委托业务费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赠与</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助学金</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工会经费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13.57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国家赔偿费用支出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奖励金</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福利费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30.80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对民间非营利组织和群众性自治组织补贴</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个人农业生产补贴</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公务用车运行维护费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其他支出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代缴社会保险费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30239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其他交通费用</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其他对个人和家庭的补助</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税金及附加费用</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其他商品和服务支出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人员经费合计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2,402.11</w:t>
            </w:r>
          </w:p>
        </w:tc>
        <w:tc>
          <w:tcPr>
            <w:tcW w:w="0" w:type="auto"/>
            <w:gridSpan w:val="5"/>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公用经费合计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本年度一般公共预算财政拨款基本支出明细情况。本表金额转换为万元时，因四舍五入可能存在尾差。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4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80"/>
        <w:gridCol w:w="1035"/>
        <w:gridCol w:w="1230"/>
        <w:gridCol w:w="1080"/>
        <w:gridCol w:w="1155"/>
        <w:gridCol w:w="1035"/>
        <w:gridCol w:w="1125"/>
        <w:gridCol w:w="900"/>
        <w:gridCol w:w="1305"/>
        <w:gridCol w:w="990"/>
        <w:gridCol w:w="1260"/>
        <w:gridCol w:w="12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3410" w:type="dxa"/>
            <w:gridSpan w:val="12"/>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44"/>
                <w:szCs w:val="44"/>
                <w:highlight w:val="none"/>
                <w:u w:val="none"/>
              </w:rPr>
            </w:pPr>
            <w:r>
              <w:rPr>
                <w:rFonts w:hint="eastAsia" w:ascii="宋体" w:hAnsi="宋体" w:eastAsia="宋体" w:cs="宋体"/>
                <w:i w:val="0"/>
                <w:iCs w:val="0"/>
                <w:color w:val="auto"/>
                <w:kern w:val="0"/>
                <w:sz w:val="30"/>
                <w:szCs w:val="30"/>
                <w:highlight w:val="none"/>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9"/>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18"/>
                <w:szCs w:val="18"/>
                <w:highlight w:val="none"/>
                <w:u w:val="none"/>
                <w:lang w:val="en-US" w:eastAsia="zh-CN" w:bidi="ar"/>
              </w:rPr>
              <w:t>单位</w:t>
            </w:r>
            <w:r>
              <w:rPr>
                <w:rFonts w:hint="eastAsia" w:ascii="宋体" w:hAnsi="宋体" w:eastAsia="宋体" w:cs="宋体"/>
                <w:i w:val="0"/>
                <w:iCs w:val="0"/>
                <w:color w:val="auto"/>
                <w:kern w:val="0"/>
                <w:sz w:val="18"/>
                <w:szCs w:val="18"/>
                <w:highlight w:val="none"/>
                <w:u w:val="none"/>
                <w:lang w:val="en-US" w:eastAsia="zh-CN" w:bidi="ar"/>
              </w:rPr>
              <w:t>：许昌市第十二中学</w:t>
            </w: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61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预算数</w:t>
            </w:r>
          </w:p>
        </w:tc>
        <w:tc>
          <w:tcPr>
            <w:tcW w:w="6795"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03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因公出国（境）费</w:t>
            </w:r>
          </w:p>
        </w:tc>
        <w:tc>
          <w:tcPr>
            <w:tcW w:w="3465"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公务用车购置及运行费</w:t>
            </w:r>
          </w:p>
        </w:tc>
        <w:tc>
          <w:tcPr>
            <w:tcW w:w="103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公务接待费</w:t>
            </w:r>
          </w:p>
        </w:tc>
        <w:tc>
          <w:tcPr>
            <w:tcW w:w="112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90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因公出国（境）费</w:t>
            </w:r>
          </w:p>
        </w:tc>
        <w:tc>
          <w:tcPr>
            <w:tcW w:w="3555"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公务用车购置及运行费</w:t>
            </w:r>
          </w:p>
        </w:tc>
        <w:tc>
          <w:tcPr>
            <w:tcW w:w="121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08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3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3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108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公务用车购置费</w:t>
            </w:r>
          </w:p>
        </w:tc>
        <w:tc>
          <w:tcPr>
            <w:tcW w:w="115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公务用车运行费</w:t>
            </w:r>
          </w:p>
        </w:tc>
        <w:tc>
          <w:tcPr>
            <w:tcW w:w="103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0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99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公务用车购置费</w:t>
            </w:r>
          </w:p>
        </w:tc>
        <w:tc>
          <w:tcPr>
            <w:tcW w:w="126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公务用车运行费</w:t>
            </w:r>
          </w:p>
        </w:tc>
        <w:tc>
          <w:tcPr>
            <w:tcW w:w="121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3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23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08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15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03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9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130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99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126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121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3410" w:type="dxa"/>
            <w:gridSpan w:val="1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129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85"/>
        <w:gridCol w:w="385"/>
        <w:gridCol w:w="385"/>
        <w:gridCol w:w="1903"/>
        <w:gridCol w:w="1836"/>
        <w:gridCol w:w="1836"/>
        <w:gridCol w:w="1616"/>
        <w:gridCol w:w="1616"/>
        <w:gridCol w:w="1616"/>
        <w:gridCol w:w="16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2915"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18"/>
                <w:szCs w:val="18"/>
                <w:highlight w:val="none"/>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7"/>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18"/>
                <w:szCs w:val="18"/>
                <w:highlight w:val="none"/>
                <w:u w:val="none"/>
                <w:lang w:val="en-US" w:eastAsia="zh-CN" w:bidi="ar"/>
              </w:rPr>
              <w:t>单位</w:t>
            </w:r>
            <w:r>
              <w:rPr>
                <w:rFonts w:hint="eastAsia" w:ascii="宋体" w:hAnsi="宋体" w:eastAsia="宋体" w:cs="宋体"/>
                <w:i w:val="0"/>
                <w:iCs w:val="0"/>
                <w:color w:val="auto"/>
                <w:kern w:val="0"/>
                <w:sz w:val="18"/>
                <w:szCs w:val="18"/>
                <w:highlight w:val="none"/>
                <w:u w:val="none"/>
                <w:lang w:val="en-US" w:eastAsia="zh-CN" w:bidi="ar"/>
              </w:rPr>
              <w:t>：许昌市第十二中学</w:t>
            </w: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168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年初结转和结余</w:t>
            </w:r>
          </w:p>
        </w:tc>
        <w:tc>
          <w:tcPr>
            <w:tcW w:w="168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本年收入</w:t>
            </w:r>
          </w:p>
        </w:tc>
        <w:tc>
          <w:tcPr>
            <w:tcW w:w="4275"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本年支出</w:t>
            </w:r>
          </w:p>
        </w:tc>
        <w:tc>
          <w:tcPr>
            <w:tcW w:w="142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6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6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2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142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基本支出</w:t>
            </w:r>
          </w:p>
        </w:tc>
        <w:tc>
          <w:tcPr>
            <w:tcW w:w="142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项目支出</w:t>
            </w:r>
          </w:p>
        </w:tc>
        <w:tc>
          <w:tcPr>
            <w:tcW w:w="14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6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6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6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6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本年度政府性基金预算财政拨款收入、支出及结转和结余情况。本表金额转换为万元时，因四舍五入可能存在尾差。</w:t>
            </w:r>
          </w:p>
        </w:tc>
      </w:tr>
    </w:tbl>
    <w:p>
      <w:pPr>
        <w:jc w:val="both"/>
        <w:outlineLvl w:val="9"/>
        <w:rPr>
          <w:rFonts w:hint="eastAsia" w:ascii="仿宋_GB2312" w:hAnsi="仿宋_GB2312" w:eastAsia="仿宋_GB2312" w:cs="仿宋_GB2312"/>
          <w:color w:val="auto"/>
          <w:sz w:val="32"/>
          <w:szCs w:val="32"/>
          <w:highlight w:val="none"/>
          <w:lang w:val="en-US" w:eastAsia="zh-CN"/>
        </w:rPr>
        <w:sectPr>
          <w:pgSz w:w="16838" w:h="11906" w:orient="landscape"/>
          <w:pgMar w:top="1800" w:right="1440" w:bottom="1800" w:left="1440" w:header="720" w:footer="720" w:gutter="0"/>
          <w:pgNumType w:fmt="numberInDash"/>
          <w:cols w:space="720" w:num="1"/>
          <w:docGrid w:type="lines" w:linePitch="312" w:charSpace="0"/>
        </w:sectPr>
      </w:pPr>
      <w:r>
        <w:rPr>
          <w:rFonts w:hint="eastAsia" w:ascii="仿宋_GB2312" w:hAnsi="仿宋_GB2312" w:eastAsia="仿宋_GB2312" w:cs="仿宋_GB2312"/>
          <w:color w:val="auto"/>
          <w:sz w:val="32"/>
          <w:szCs w:val="32"/>
          <w:highlight w:val="none"/>
          <w:lang w:val="en-US" w:eastAsia="zh-CN"/>
        </w:rPr>
        <w:t>说明：我单位没有政府性基金收入，也没有使用政府性基金安排的支出，故本表无数据。</w:t>
      </w: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第三部分 2021年度</w:t>
      </w:r>
      <w:r>
        <w:rPr>
          <w:rFonts w:hint="eastAsia" w:ascii="黑体" w:hAnsi="黑体" w:eastAsia="黑体" w:cs="黑体"/>
          <w:color w:val="auto"/>
          <w:sz w:val="48"/>
          <w:szCs w:val="48"/>
          <w:highlight w:val="none"/>
          <w:lang w:val="en-US" w:eastAsia="zh-CN"/>
        </w:rPr>
        <w:t>单位</w:t>
      </w:r>
      <w:r>
        <w:rPr>
          <w:rFonts w:hint="eastAsia" w:ascii="黑体" w:hAnsi="黑体" w:eastAsia="黑体" w:cs="黑体"/>
          <w:color w:val="auto"/>
          <w:sz w:val="48"/>
          <w:szCs w:val="48"/>
          <w:highlight w:val="none"/>
        </w:rPr>
        <w:t>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一、收入支出决算总体情况说明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年度收、支总计均为</w:t>
      </w:r>
      <w:r>
        <w:rPr>
          <w:rFonts w:hint="eastAsia" w:ascii="仿宋_GB2312" w:hAnsi="仿宋_GB2312" w:eastAsia="仿宋_GB2312"/>
          <w:color w:val="auto"/>
          <w:sz w:val="32"/>
          <w:szCs w:val="24"/>
          <w:highlight w:val="none"/>
        </w:rPr>
        <w:t>3,294.15</w:t>
      </w:r>
      <w:r>
        <w:rPr>
          <w:rFonts w:hint="eastAsia" w:ascii="仿宋_GB2312" w:hAnsi="仿宋_GB2312" w:eastAsia="仿宋_GB2312" w:cs="仿宋_GB2312"/>
          <w:color w:val="auto"/>
          <w:sz w:val="32"/>
          <w:szCs w:val="32"/>
          <w:highlight w:val="none"/>
        </w:rPr>
        <w:t>万元。与上年度相比，收、支总计各减少</w:t>
      </w:r>
      <w:r>
        <w:rPr>
          <w:rFonts w:hint="eastAsia" w:ascii="仿宋_GB2312" w:hAnsi="仿宋_GB2312" w:eastAsia="仿宋_GB2312"/>
          <w:color w:val="auto"/>
          <w:sz w:val="32"/>
          <w:szCs w:val="24"/>
          <w:highlight w:val="none"/>
        </w:rPr>
        <w:t>109.19</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olor w:val="auto"/>
          <w:sz w:val="32"/>
          <w:szCs w:val="24"/>
          <w:highlight w:val="none"/>
        </w:rPr>
        <w:t>3.21</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学生人数减少</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二、收入决算情况说明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年度收入合计</w:t>
      </w:r>
      <w:r>
        <w:rPr>
          <w:rFonts w:hint="eastAsia" w:ascii="仿宋_GB2312" w:hAnsi="仿宋_GB2312" w:eastAsia="仿宋_GB2312"/>
          <w:color w:val="auto"/>
          <w:sz w:val="32"/>
          <w:szCs w:val="24"/>
          <w:highlight w:val="none"/>
          <w:lang w:val="en-US"/>
        </w:rPr>
        <w:t>2,535.1</w:t>
      </w:r>
      <w:r>
        <w:rPr>
          <w:rFonts w:hint="eastAsia" w:ascii="仿宋_GB2312" w:hAnsi="仿宋_GB2312" w:eastAsia="仿宋_GB2312"/>
          <w:color w:val="auto"/>
          <w:sz w:val="32"/>
          <w:szCs w:val="24"/>
          <w:highlight w:val="none"/>
          <w:lang w:val="en-US" w:eastAsia="zh-CN"/>
        </w:rPr>
        <w:t>0</w:t>
      </w:r>
      <w:r>
        <w:rPr>
          <w:rFonts w:hint="eastAsia" w:ascii="仿宋_GB2312" w:hAnsi="仿宋_GB2312" w:eastAsia="仿宋_GB2312" w:cs="仿宋_GB2312"/>
          <w:color w:val="auto"/>
          <w:sz w:val="32"/>
          <w:szCs w:val="32"/>
          <w:highlight w:val="none"/>
        </w:rPr>
        <w:t>万元，其中：财政拨款收入</w:t>
      </w:r>
      <w:r>
        <w:rPr>
          <w:rFonts w:hint="eastAsia" w:ascii="仿宋_GB2312" w:hAnsi="仿宋_GB2312" w:eastAsia="仿宋_GB2312"/>
          <w:color w:val="auto"/>
          <w:sz w:val="32"/>
          <w:szCs w:val="24"/>
          <w:highlight w:val="none"/>
          <w:lang w:val="en-US"/>
        </w:rPr>
        <w:t>2,535.1</w:t>
      </w:r>
      <w:r>
        <w:rPr>
          <w:rFonts w:hint="eastAsia" w:ascii="仿宋_GB2312" w:hAnsi="仿宋_GB2312" w:eastAsia="仿宋_GB2312"/>
          <w:color w:val="auto"/>
          <w:sz w:val="32"/>
          <w:szCs w:val="24"/>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olor w:val="auto"/>
          <w:sz w:val="32"/>
          <w:szCs w:val="24"/>
          <w:highlight w:val="none"/>
          <w:lang w:val="en-US"/>
        </w:rPr>
        <w:t>100</w:t>
      </w:r>
      <w:r>
        <w:rPr>
          <w:rFonts w:hint="eastAsia" w:ascii="仿宋_GB2312" w:hAnsi="仿宋_GB2312" w:eastAsia="仿宋_GB2312"/>
          <w:color w:val="auto"/>
          <w:sz w:val="32"/>
          <w:szCs w:val="24"/>
          <w:highlight w:val="none"/>
          <w:lang w:val="en-US" w:eastAsia="zh-CN"/>
        </w:rPr>
        <w:t>.00</w:t>
      </w:r>
      <w:r>
        <w:rPr>
          <w:rFonts w:hint="eastAsia" w:ascii="仿宋_GB2312" w:hAnsi="仿宋_GB2312" w:eastAsia="仿宋_GB2312"/>
          <w:color w:val="auto"/>
          <w:sz w:val="32"/>
          <w:szCs w:val="24"/>
          <w:highlight w:val="none"/>
          <w:lang w:val="en-US"/>
        </w:rPr>
        <w:t>%</w:t>
      </w:r>
      <w:r>
        <w:rPr>
          <w:rFonts w:hint="eastAsia" w:ascii="仿宋_GB2312" w:hAnsi="仿宋_GB2312" w:eastAsia="仿宋_GB2312" w:cs="仿宋_GB2312"/>
          <w:color w:val="auto"/>
          <w:sz w:val="32"/>
          <w:szCs w:val="32"/>
          <w:highlight w:val="none"/>
        </w:rPr>
        <w:t>；上级补助收入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%；事业收入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%；经营收入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%；附属单位上缴收入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%；其他收入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年度支出合计</w:t>
      </w:r>
      <w:r>
        <w:rPr>
          <w:rFonts w:hint="eastAsia" w:ascii="仿宋_GB2312" w:hAnsi="仿宋_GB2312" w:eastAsia="仿宋_GB2312"/>
          <w:color w:val="auto"/>
          <w:sz w:val="32"/>
          <w:szCs w:val="24"/>
          <w:highlight w:val="none"/>
          <w:lang w:val="en-US"/>
        </w:rPr>
        <w:t>3,291.07</w:t>
      </w:r>
      <w:r>
        <w:rPr>
          <w:rFonts w:hint="eastAsia" w:ascii="仿宋_GB2312" w:hAnsi="仿宋_GB2312" w:eastAsia="仿宋_GB2312" w:cs="仿宋_GB2312"/>
          <w:color w:val="auto"/>
          <w:sz w:val="32"/>
          <w:szCs w:val="32"/>
          <w:highlight w:val="none"/>
        </w:rPr>
        <w:t>万元，其中：基本支出</w:t>
      </w:r>
      <w:r>
        <w:rPr>
          <w:rFonts w:hint="eastAsia" w:ascii="仿宋_GB2312" w:hAnsi="仿宋_GB2312" w:eastAsia="仿宋_GB2312"/>
          <w:color w:val="auto"/>
          <w:sz w:val="32"/>
          <w:szCs w:val="24"/>
          <w:highlight w:val="none"/>
          <w:lang w:val="en-US"/>
        </w:rPr>
        <w:t>2,512.61</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olor w:val="auto"/>
          <w:sz w:val="32"/>
          <w:szCs w:val="24"/>
          <w:highlight w:val="none"/>
          <w:lang w:val="en-US"/>
        </w:rPr>
        <w:t>76.35%</w:t>
      </w:r>
      <w:r>
        <w:rPr>
          <w:rFonts w:hint="eastAsia" w:ascii="仿宋_GB2312" w:hAnsi="仿宋_GB2312" w:eastAsia="仿宋_GB2312" w:cs="仿宋_GB2312"/>
          <w:color w:val="auto"/>
          <w:sz w:val="32"/>
          <w:szCs w:val="32"/>
          <w:highlight w:val="none"/>
        </w:rPr>
        <w:t>；项目支出</w:t>
      </w:r>
      <w:r>
        <w:rPr>
          <w:rFonts w:hint="eastAsia" w:ascii="仿宋_GB2312" w:hAnsi="仿宋_GB2312" w:eastAsia="仿宋_GB2312"/>
          <w:color w:val="auto"/>
          <w:sz w:val="32"/>
          <w:szCs w:val="24"/>
          <w:highlight w:val="none"/>
          <w:lang w:val="en-US"/>
        </w:rPr>
        <w:t>778.45</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olor w:val="auto"/>
          <w:sz w:val="32"/>
          <w:szCs w:val="24"/>
          <w:highlight w:val="none"/>
          <w:lang w:val="en-US"/>
        </w:rPr>
        <w:t>23.65%</w:t>
      </w:r>
      <w:r>
        <w:rPr>
          <w:rFonts w:hint="eastAsia" w:ascii="仿宋_GB2312" w:hAnsi="仿宋_GB2312" w:eastAsia="仿宋_GB2312" w:cs="仿宋_GB2312"/>
          <w:color w:val="auto"/>
          <w:sz w:val="32"/>
          <w:szCs w:val="32"/>
          <w:highlight w:val="none"/>
        </w:rPr>
        <w:t>；上缴上级支出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%；经营支出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%；对附属单位补助支出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年度财政拨款收、支总计均为</w:t>
      </w:r>
      <w:r>
        <w:rPr>
          <w:rFonts w:hint="eastAsia" w:ascii="仿宋_GB2312" w:hAnsi="仿宋_GB2312" w:eastAsia="仿宋_GB2312"/>
          <w:color w:val="auto"/>
          <w:sz w:val="32"/>
          <w:szCs w:val="24"/>
          <w:highlight w:val="none"/>
          <w:lang w:val="en-US"/>
        </w:rPr>
        <w:t>3,287.75</w:t>
      </w:r>
      <w:r>
        <w:rPr>
          <w:rFonts w:hint="eastAsia" w:ascii="仿宋_GB2312" w:hAnsi="仿宋_GB2312" w:eastAsia="仿宋_GB2312" w:cs="仿宋_GB2312"/>
          <w:color w:val="auto"/>
          <w:sz w:val="32"/>
          <w:szCs w:val="32"/>
          <w:highlight w:val="none"/>
        </w:rPr>
        <w:t>万元。与上年度相比，财政拨款收、支总计各减少</w:t>
      </w:r>
      <w:r>
        <w:rPr>
          <w:rFonts w:hint="eastAsia" w:ascii="仿宋_GB2312" w:hAnsi="仿宋_GB2312" w:eastAsia="仿宋_GB2312"/>
          <w:color w:val="auto"/>
          <w:sz w:val="32"/>
          <w:szCs w:val="24"/>
          <w:highlight w:val="none"/>
          <w:lang w:val="en-US"/>
        </w:rPr>
        <w:t>106.36</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olor w:val="auto"/>
          <w:sz w:val="32"/>
          <w:szCs w:val="24"/>
          <w:highlight w:val="none"/>
          <w:lang w:val="en-US"/>
        </w:rPr>
        <w:t>3.13%</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学生人数减少</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（一）总体情况。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olor w:val="auto"/>
          <w:sz w:val="32"/>
          <w:szCs w:val="24"/>
          <w:highlight w:val="none"/>
          <w:lang w:val="en-US"/>
        </w:rPr>
        <w:t>3,287.75</w:t>
      </w:r>
      <w:r>
        <w:rPr>
          <w:rFonts w:hint="eastAsia" w:ascii="仿宋_GB2312" w:hAnsi="仿宋_GB2312" w:eastAsia="仿宋_GB2312" w:cs="仿宋_GB2312"/>
          <w:color w:val="auto"/>
          <w:sz w:val="32"/>
          <w:szCs w:val="32"/>
          <w:highlight w:val="none"/>
        </w:rPr>
        <w:t>万元，占支出合计的</w:t>
      </w:r>
      <w:r>
        <w:rPr>
          <w:rFonts w:hint="eastAsia" w:ascii="仿宋_GB2312" w:hAnsi="仿宋_GB2312" w:eastAsia="仿宋_GB2312" w:cs="仿宋_GB2312"/>
          <w:color w:val="auto"/>
          <w:sz w:val="32"/>
          <w:szCs w:val="32"/>
          <w:highlight w:val="none"/>
          <w:lang w:val="en-US" w:eastAsia="zh-CN"/>
        </w:rPr>
        <w:t>99.90</w:t>
      </w:r>
      <w:r>
        <w:rPr>
          <w:rFonts w:hint="eastAsia" w:ascii="仿宋_GB2312" w:hAnsi="仿宋_GB2312" w:eastAsia="仿宋_GB2312" w:cs="仿宋_GB2312"/>
          <w:color w:val="auto"/>
          <w:sz w:val="32"/>
          <w:szCs w:val="32"/>
          <w:highlight w:val="none"/>
        </w:rPr>
        <w:t>%。与上年度相比，一般公共预算财政拨款支出增加</w:t>
      </w:r>
      <w:r>
        <w:rPr>
          <w:rFonts w:hint="eastAsia" w:ascii="仿宋_GB2312" w:hAnsi="仿宋_GB2312" w:eastAsia="仿宋_GB2312" w:cs="仿宋_GB2312"/>
          <w:color w:val="auto"/>
          <w:sz w:val="32"/>
          <w:szCs w:val="32"/>
          <w:highlight w:val="none"/>
          <w:lang w:val="en-US" w:eastAsia="zh-CN"/>
        </w:rPr>
        <w:t>644.88</w:t>
      </w:r>
      <w:r>
        <w:rPr>
          <w:rFonts w:hint="eastAsia" w:ascii="仿宋_GB2312" w:hAnsi="仿宋_GB2312" w:eastAsia="仿宋_GB2312" w:cs="仿宋_GB2312"/>
          <w:color w:val="auto"/>
          <w:sz w:val="32"/>
          <w:szCs w:val="32"/>
          <w:highlight w:val="none"/>
        </w:rPr>
        <w:t>万元，增长</w:t>
      </w:r>
      <w:r>
        <w:rPr>
          <w:rFonts w:hint="eastAsia" w:ascii="仿宋_GB2312" w:hAnsi="仿宋_GB2312" w:eastAsia="仿宋_GB2312" w:cs="仿宋_GB2312"/>
          <w:color w:val="auto"/>
          <w:sz w:val="32"/>
          <w:szCs w:val="32"/>
          <w:highlight w:val="none"/>
          <w:lang w:val="en-US" w:eastAsia="zh-CN"/>
        </w:rPr>
        <w:t>24.40</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工资福利支出、商品和服务支出与资本性支出增加</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（二）结构情况。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olor w:val="auto"/>
          <w:sz w:val="32"/>
          <w:szCs w:val="24"/>
          <w:highlight w:val="none"/>
          <w:lang w:val="en-US"/>
        </w:rPr>
        <w:t>3,287.75</w:t>
      </w:r>
      <w:r>
        <w:rPr>
          <w:rFonts w:hint="eastAsia" w:ascii="仿宋_GB2312" w:hAnsi="仿宋_GB2312" w:eastAsia="仿宋_GB2312" w:cs="仿宋_GB2312"/>
          <w:color w:val="auto"/>
          <w:sz w:val="32"/>
          <w:szCs w:val="32"/>
          <w:highlight w:val="none"/>
        </w:rPr>
        <w:t>万元，主要用于以下方面：</w:t>
      </w:r>
      <w:r>
        <w:rPr>
          <w:rFonts w:hint="eastAsia" w:ascii="仿宋_GB2312" w:hAnsi="仿宋_GB2312" w:eastAsia="仿宋_GB2312" w:cs="仿宋_GB2312"/>
          <w:color w:val="auto"/>
          <w:sz w:val="32"/>
          <w:szCs w:val="32"/>
          <w:highlight w:val="none"/>
          <w:lang w:val="en-US" w:eastAsia="zh-CN"/>
        </w:rPr>
        <w:t>一般公共服务（类）支出13.57万元，占0.41%；教育（类）支出2963.00万元，占90.12%；</w:t>
      </w:r>
      <w:r>
        <w:rPr>
          <w:rFonts w:hint="eastAsia" w:ascii="仿宋_GB2312" w:hAnsi="仿宋_GB2312" w:eastAsia="仿宋_GB2312" w:cs="仿宋_GB2312"/>
          <w:color w:val="auto"/>
          <w:sz w:val="32"/>
          <w:szCs w:val="32"/>
          <w:highlight w:val="none"/>
        </w:rPr>
        <w:t>社会保障和就业（类）支出</w:t>
      </w:r>
      <w:r>
        <w:rPr>
          <w:rFonts w:hint="eastAsia" w:ascii="仿宋_GB2312" w:hAnsi="仿宋_GB2312" w:eastAsia="仿宋_GB2312" w:cs="仿宋_GB2312"/>
          <w:color w:val="auto"/>
          <w:sz w:val="32"/>
          <w:szCs w:val="32"/>
          <w:highlight w:val="none"/>
          <w:lang w:val="en-US" w:eastAsia="zh-CN"/>
        </w:rPr>
        <w:t>236.10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7.18%；卫生健康（类）支出75.08万元，占2.29</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（三）具体情况。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olor w:val="auto"/>
          <w:sz w:val="32"/>
          <w:szCs w:val="24"/>
          <w:highlight w:val="none"/>
          <w:lang w:val="en-US"/>
        </w:rPr>
        <w:t>2,355</w:t>
      </w:r>
      <w:r>
        <w:rPr>
          <w:rFonts w:hint="eastAsia" w:ascii="仿宋_GB2312" w:hAnsi="仿宋_GB2312" w:eastAsia="仿宋_GB2312"/>
          <w:color w:val="auto"/>
          <w:sz w:val="32"/>
          <w:szCs w:val="24"/>
          <w:highlight w:val="none"/>
          <w:lang w:val="en-US" w:eastAsia="zh-CN"/>
        </w:rPr>
        <w:t>.00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olor w:val="auto"/>
          <w:sz w:val="32"/>
          <w:szCs w:val="24"/>
          <w:highlight w:val="none"/>
          <w:lang w:val="en-US"/>
        </w:rPr>
        <w:t>3,287.75</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olor w:val="auto"/>
          <w:sz w:val="32"/>
          <w:szCs w:val="24"/>
          <w:highlight w:val="none"/>
          <w:lang w:val="en-US"/>
        </w:rPr>
        <w:t>139.61%</w:t>
      </w:r>
      <w:r>
        <w:rPr>
          <w:rFonts w:hint="eastAsia" w:ascii="仿宋_GB2312" w:hAnsi="仿宋_GB2312" w:eastAsia="仿宋_GB2312" w:cs="仿宋_GB2312"/>
          <w:color w:val="auto"/>
          <w:sz w:val="32"/>
          <w:szCs w:val="32"/>
          <w:highlight w:val="none"/>
        </w:rPr>
        <w:t>。其中：</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1．一般公共服务（类）群众团体事务（款）工会事务（项）。</w:t>
      </w:r>
      <w:r>
        <w:rPr>
          <w:rFonts w:hint="eastAsia" w:ascii="仿宋_GB2312" w:hAnsi="仿宋_GB2312" w:eastAsia="仿宋_GB2312" w:cs="仿宋_GB2312"/>
          <w:color w:val="auto"/>
          <w:sz w:val="32"/>
          <w:szCs w:val="32"/>
          <w:highlight w:val="none"/>
          <w:lang w:val="en-US" w:eastAsia="zh-CN"/>
        </w:rPr>
        <w:t>年初预算为13.57万元，支出决算为13.57万元，完成年初预算的100.00%。决算数与年初预算数不存在差异。</w:t>
      </w:r>
    </w:p>
    <w:p>
      <w:pPr>
        <w:widowControl/>
        <w:spacing w:line="590" w:lineRule="exact"/>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w:t>
      </w:r>
      <w:r>
        <w:rPr>
          <w:rFonts w:hint="eastAsia" w:ascii="仿宋_GB2312" w:hAnsi="宋体" w:eastAsia="仿宋_GB2312" w:cs="仿宋_GB2312"/>
          <w:b/>
          <w:bCs/>
          <w:color w:val="auto"/>
          <w:sz w:val="32"/>
          <w:szCs w:val="32"/>
          <w:highlight w:val="none"/>
        </w:rPr>
        <w:t>教育支出（类）普通教育（款）初中教育（项）</w:t>
      </w:r>
      <w:r>
        <w:rPr>
          <w:rFonts w:hint="eastAsia" w:ascii="仿宋_GB2312" w:hAnsi="宋体" w:eastAsia="仿宋_GB2312" w:cs="仿宋_GB2312"/>
          <w:b/>
          <w:bCs/>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年初预算为2046.84万元，支出决算为2197.42万元，完成年初预算的107.36%。决算数与年初预算数存在差异的主要原因是工资福利支出、商品和服务支出与资本性支出增加。</w:t>
      </w:r>
    </w:p>
    <w:p>
      <w:pPr>
        <w:widowControl/>
        <w:spacing w:line="590" w:lineRule="exact"/>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w:t>
      </w:r>
      <w:r>
        <w:rPr>
          <w:rFonts w:hint="eastAsia" w:ascii="仿宋_GB2312" w:hAnsi="宋体" w:eastAsia="仿宋_GB2312" w:cs="仿宋_GB2312"/>
          <w:b/>
          <w:bCs/>
          <w:color w:val="auto"/>
          <w:sz w:val="32"/>
          <w:szCs w:val="32"/>
          <w:highlight w:val="none"/>
        </w:rPr>
        <w:t>教育支出（类）</w:t>
      </w:r>
      <w:r>
        <w:rPr>
          <w:rFonts w:hint="eastAsia" w:ascii="仿宋_GB2312" w:hAnsi="宋体" w:eastAsia="仿宋_GB2312" w:cs="仿宋_GB2312"/>
          <w:b/>
          <w:bCs/>
          <w:color w:val="auto"/>
          <w:sz w:val="32"/>
          <w:szCs w:val="32"/>
          <w:highlight w:val="none"/>
          <w:lang w:val="en-US" w:eastAsia="zh-CN"/>
        </w:rPr>
        <w:t>普通教育</w:t>
      </w:r>
      <w:r>
        <w:rPr>
          <w:rFonts w:hint="eastAsia" w:ascii="仿宋_GB2312" w:hAnsi="宋体" w:eastAsia="仿宋_GB2312" w:cs="仿宋_GB2312"/>
          <w:b/>
          <w:bCs/>
          <w:color w:val="auto"/>
          <w:sz w:val="32"/>
          <w:szCs w:val="32"/>
          <w:highlight w:val="none"/>
        </w:rPr>
        <w:t>（款）其他</w:t>
      </w:r>
      <w:r>
        <w:rPr>
          <w:rFonts w:hint="eastAsia" w:ascii="仿宋_GB2312" w:hAnsi="宋体" w:eastAsia="仿宋_GB2312" w:cs="仿宋_GB2312"/>
          <w:b/>
          <w:bCs/>
          <w:color w:val="auto"/>
          <w:sz w:val="32"/>
          <w:szCs w:val="32"/>
          <w:highlight w:val="none"/>
          <w:lang w:val="en-US" w:eastAsia="zh-CN"/>
        </w:rPr>
        <w:t>普通</w:t>
      </w:r>
      <w:r>
        <w:rPr>
          <w:rFonts w:hint="eastAsia" w:ascii="仿宋_GB2312" w:hAnsi="宋体" w:eastAsia="仿宋_GB2312" w:cs="仿宋_GB2312"/>
          <w:b/>
          <w:bCs/>
          <w:color w:val="auto"/>
          <w:sz w:val="32"/>
          <w:szCs w:val="32"/>
          <w:highlight w:val="none"/>
        </w:rPr>
        <w:t>教育支出（项）。</w:t>
      </w:r>
      <w:r>
        <w:rPr>
          <w:rFonts w:hint="eastAsia" w:ascii="仿宋_GB2312" w:hAnsi="仿宋_GB2312" w:eastAsia="仿宋_GB2312" w:cs="仿宋_GB2312"/>
          <w:color w:val="auto"/>
          <w:sz w:val="32"/>
          <w:szCs w:val="32"/>
          <w:highlight w:val="none"/>
          <w:lang w:val="en-US" w:eastAsia="zh-CN"/>
        </w:rPr>
        <w:t>年初预算为0.00万元，支出决算为741.58万元。决算数与年初预算数存在差异的主要原因是年初单位预算没有安排。</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4</w:t>
      </w:r>
      <w:r>
        <w:rPr>
          <w:rFonts w:hint="eastAsia" w:ascii="仿宋_GB2312" w:hAnsi="仿宋_GB2312" w:eastAsia="仿宋_GB2312" w:cs="仿宋_GB2312"/>
          <w:b/>
          <w:bCs/>
          <w:color w:val="auto"/>
          <w:sz w:val="32"/>
          <w:szCs w:val="32"/>
          <w:highlight w:val="none"/>
        </w:rPr>
        <w:t>．</w:t>
      </w:r>
      <w:r>
        <w:rPr>
          <w:rFonts w:hint="eastAsia" w:ascii="仿宋_GB2312" w:hAnsi="宋体" w:eastAsia="仿宋_GB2312" w:cs="仿宋_GB2312"/>
          <w:b/>
          <w:bCs/>
          <w:color w:val="auto"/>
          <w:sz w:val="32"/>
          <w:szCs w:val="32"/>
          <w:highlight w:val="none"/>
        </w:rPr>
        <w:t>教育支出（类）</w:t>
      </w:r>
      <w:r>
        <w:rPr>
          <w:rFonts w:hint="eastAsia" w:ascii="仿宋_GB2312" w:hAnsi="宋体" w:eastAsia="仿宋_GB2312" w:cs="仿宋_GB2312"/>
          <w:b/>
          <w:bCs/>
          <w:color w:val="auto"/>
          <w:sz w:val="32"/>
          <w:szCs w:val="32"/>
          <w:highlight w:val="none"/>
          <w:lang w:val="en-US" w:eastAsia="zh-CN"/>
        </w:rPr>
        <w:t>其他教育支出</w:t>
      </w:r>
      <w:r>
        <w:rPr>
          <w:rFonts w:hint="eastAsia" w:ascii="仿宋_GB2312" w:hAnsi="宋体" w:eastAsia="仿宋_GB2312" w:cs="仿宋_GB2312"/>
          <w:b/>
          <w:bCs/>
          <w:color w:val="auto"/>
          <w:sz w:val="32"/>
          <w:szCs w:val="32"/>
          <w:highlight w:val="none"/>
        </w:rPr>
        <w:t>（款）其他教育支出（项）</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color w:val="auto"/>
          <w:sz w:val="32"/>
          <w:szCs w:val="32"/>
          <w:highlight w:val="none"/>
        </w:rPr>
        <w:t>年初预算为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24.00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决算数与年初预算数存在差异的主要原因是</w:t>
      </w:r>
      <w:r>
        <w:rPr>
          <w:rFonts w:hint="eastAsia" w:ascii="仿宋_GB2312" w:hAnsi="宋体"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2021年市直学校保安经费</w:t>
      </w:r>
      <w:r>
        <w:rPr>
          <w:rFonts w:hint="eastAsia" w:ascii="仿宋_GB2312" w:hAnsi="仿宋_GB2312" w:eastAsia="仿宋_GB2312" w:cs="仿宋_GB2312"/>
          <w:color w:val="auto"/>
          <w:sz w:val="32"/>
          <w:szCs w:val="32"/>
          <w:highlight w:val="none"/>
        </w:rPr>
        <w:t>支出，年初</w:t>
      </w:r>
      <w:r>
        <w:rPr>
          <w:rFonts w:hint="eastAsia" w:ascii="仿宋_GB2312" w:hAnsi="仿宋_GB2312" w:eastAsia="仿宋_GB2312" w:cs="仿宋_GB2312"/>
          <w:color w:val="auto"/>
          <w:sz w:val="32"/>
          <w:szCs w:val="32"/>
          <w:highlight w:val="none"/>
          <w:lang w:val="en-US" w:eastAsia="zh-CN"/>
        </w:rPr>
        <w:t>单位</w:t>
      </w:r>
      <w:r>
        <w:rPr>
          <w:rFonts w:hint="eastAsia" w:ascii="仿宋_GB2312" w:hAnsi="仿宋_GB2312" w:eastAsia="仿宋_GB2312" w:cs="仿宋_GB2312"/>
          <w:color w:val="auto"/>
          <w:sz w:val="32"/>
          <w:szCs w:val="32"/>
          <w:highlight w:val="none"/>
        </w:rPr>
        <w:t>预算未安排</w:t>
      </w:r>
      <w:r>
        <w:rPr>
          <w:rFonts w:hint="eastAsia" w:ascii="仿宋_GB2312" w:hAnsi="宋体" w:eastAsia="仿宋_GB2312" w:cs="仿宋_GB2312"/>
          <w:color w:val="auto"/>
          <w:sz w:val="32"/>
          <w:szCs w:val="32"/>
          <w:highlight w:val="none"/>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宋体"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5</w:t>
      </w:r>
      <w:r>
        <w:rPr>
          <w:rFonts w:hint="eastAsia" w:ascii="仿宋_GB2312" w:hAnsi="仿宋_GB2312" w:eastAsia="仿宋_GB2312" w:cs="仿宋_GB2312"/>
          <w:b/>
          <w:bCs/>
          <w:color w:val="auto"/>
          <w:sz w:val="32"/>
          <w:szCs w:val="32"/>
          <w:highlight w:val="none"/>
        </w:rPr>
        <w:t>．</w:t>
      </w:r>
      <w:r>
        <w:rPr>
          <w:rFonts w:hint="eastAsia" w:ascii="仿宋_GB2312" w:hAnsi="宋体" w:eastAsia="仿宋_GB2312" w:cs="仿宋_GB2312"/>
          <w:b/>
          <w:bCs/>
          <w:color w:val="auto"/>
          <w:sz w:val="32"/>
          <w:szCs w:val="32"/>
          <w:highlight w:val="none"/>
        </w:rPr>
        <w:t>社会保障和就业（类）行政事业单位</w:t>
      </w:r>
      <w:r>
        <w:rPr>
          <w:rFonts w:hint="eastAsia" w:ascii="仿宋_GB2312" w:hAnsi="宋体" w:eastAsia="仿宋_GB2312" w:cs="仿宋_GB2312"/>
          <w:b/>
          <w:bCs/>
          <w:color w:val="auto"/>
          <w:sz w:val="32"/>
          <w:szCs w:val="32"/>
          <w:highlight w:val="none"/>
          <w:lang w:val="en-US" w:eastAsia="zh-CN"/>
        </w:rPr>
        <w:t>养老支出</w:t>
      </w:r>
      <w:r>
        <w:rPr>
          <w:rFonts w:hint="eastAsia" w:ascii="仿宋_GB2312" w:hAnsi="宋体" w:eastAsia="仿宋_GB2312" w:cs="仿宋_GB2312"/>
          <w:b/>
          <w:bCs/>
          <w:color w:val="auto"/>
          <w:sz w:val="32"/>
          <w:szCs w:val="32"/>
          <w:highlight w:val="none"/>
        </w:rPr>
        <w:t>（款）事业单位离退休（项）。</w:t>
      </w:r>
      <w:r>
        <w:rPr>
          <w:rFonts w:hint="eastAsia" w:ascii="仿宋_GB2312" w:hAnsi="仿宋_GB2312" w:eastAsia="仿宋_GB2312" w:cs="仿宋_GB2312"/>
          <w:color w:val="auto"/>
          <w:sz w:val="32"/>
          <w:szCs w:val="32"/>
          <w:highlight w:val="none"/>
        </w:rPr>
        <w:t>年初预算为</w:t>
      </w:r>
      <w:r>
        <w:rPr>
          <w:rFonts w:hint="eastAsia" w:ascii="仿宋_GB2312" w:hAnsi="仿宋_GB2312" w:eastAsia="仿宋_GB2312" w:cs="仿宋_GB2312"/>
          <w:color w:val="auto"/>
          <w:sz w:val="32"/>
          <w:szCs w:val="32"/>
          <w:highlight w:val="none"/>
          <w:lang w:val="en-US" w:eastAsia="zh-CN"/>
        </w:rPr>
        <w:t>65.98</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69.11</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完成年初预算的104.74%</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决算数与年初预算数存在差异的主要原因是退休费增加。</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宋体" w:eastAsia="仿宋_GB2312" w:cs="仿宋_GB2312"/>
          <w:b/>
          <w:bCs/>
          <w:color w:val="auto"/>
          <w:sz w:val="32"/>
          <w:szCs w:val="32"/>
          <w:highlight w:val="none"/>
        </w:rPr>
      </w:pPr>
      <w:r>
        <w:rPr>
          <w:rFonts w:hint="eastAsia" w:ascii="仿宋_GB2312" w:hAnsi="宋体" w:eastAsia="仿宋_GB2312" w:cs="仿宋_GB2312"/>
          <w:b/>
          <w:bCs/>
          <w:color w:val="auto"/>
          <w:sz w:val="32"/>
          <w:szCs w:val="32"/>
          <w:highlight w:val="none"/>
          <w:lang w:val="en-US" w:eastAsia="zh-CN"/>
        </w:rPr>
        <w:t>6</w:t>
      </w:r>
      <w:r>
        <w:rPr>
          <w:rFonts w:ascii="仿宋_GB2312" w:hAnsi="宋体" w:eastAsia="仿宋_GB2312" w:cs="仿宋_GB2312"/>
          <w:b/>
          <w:bCs/>
          <w:color w:val="auto"/>
          <w:sz w:val="32"/>
          <w:szCs w:val="32"/>
          <w:highlight w:val="none"/>
        </w:rPr>
        <w:t>.</w:t>
      </w:r>
      <w:r>
        <w:rPr>
          <w:rFonts w:hint="eastAsia" w:ascii="仿宋_GB2312" w:hAnsi="宋体" w:eastAsia="仿宋_GB2312" w:cs="仿宋_GB2312"/>
          <w:b/>
          <w:bCs/>
          <w:color w:val="auto"/>
          <w:sz w:val="32"/>
          <w:szCs w:val="32"/>
          <w:highlight w:val="none"/>
        </w:rPr>
        <w:t>社会保障和就业（类）行政事业单位</w:t>
      </w:r>
      <w:r>
        <w:rPr>
          <w:rFonts w:hint="eastAsia" w:ascii="仿宋_GB2312" w:hAnsi="宋体" w:eastAsia="仿宋_GB2312" w:cs="仿宋_GB2312"/>
          <w:b/>
          <w:bCs/>
          <w:color w:val="auto"/>
          <w:sz w:val="32"/>
          <w:szCs w:val="32"/>
          <w:highlight w:val="none"/>
          <w:lang w:val="en-US" w:eastAsia="zh-CN"/>
        </w:rPr>
        <w:t>养老支出</w:t>
      </w:r>
      <w:r>
        <w:rPr>
          <w:rFonts w:hint="eastAsia" w:ascii="仿宋_GB2312" w:hAnsi="宋体" w:eastAsia="仿宋_GB2312" w:cs="仿宋_GB2312"/>
          <w:b/>
          <w:bCs/>
          <w:color w:val="auto"/>
          <w:sz w:val="32"/>
          <w:szCs w:val="32"/>
          <w:highlight w:val="none"/>
        </w:rPr>
        <w:t>（款）</w:t>
      </w:r>
      <w:r>
        <w:rPr>
          <w:rFonts w:hint="eastAsia" w:ascii="仿宋_GB2312" w:hAnsi="宋体" w:eastAsia="仿宋_GB2312" w:cs="仿宋_GB2312"/>
          <w:b/>
          <w:bCs/>
          <w:color w:val="auto"/>
          <w:sz w:val="32"/>
          <w:szCs w:val="32"/>
          <w:highlight w:val="none"/>
          <w:lang w:val="en-US" w:eastAsia="zh-CN"/>
        </w:rPr>
        <w:t>机关</w:t>
      </w:r>
      <w:r>
        <w:rPr>
          <w:rFonts w:hint="eastAsia" w:ascii="仿宋_GB2312" w:hAnsi="宋体" w:eastAsia="仿宋_GB2312" w:cs="仿宋_GB2312"/>
          <w:b/>
          <w:bCs/>
          <w:color w:val="auto"/>
          <w:sz w:val="32"/>
          <w:szCs w:val="32"/>
          <w:highlight w:val="none"/>
        </w:rPr>
        <w:t>事业单位</w:t>
      </w:r>
      <w:r>
        <w:rPr>
          <w:rFonts w:hint="eastAsia" w:ascii="仿宋_GB2312" w:hAnsi="宋体" w:eastAsia="仿宋_GB2312" w:cs="仿宋_GB2312"/>
          <w:b/>
          <w:bCs/>
          <w:color w:val="auto"/>
          <w:sz w:val="32"/>
          <w:szCs w:val="32"/>
          <w:highlight w:val="none"/>
          <w:lang w:val="en-US" w:eastAsia="zh-CN"/>
        </w:rPr>
        <w:t>基本养老保险缴费</w:t>
      </w:r>
      <w:r>
        <w:rPr>
          <w:rFonts w:hint="eastAsia" w:ascii="仿宋_GB2312" w:hAnsi="宋体" w:eastAsia="仿宋_GB2312" w:cs="仿宋_GB2312"/>
          <w:b/>
          <w:bCs/>
          <w:color w:val="auto"/>
          <w:sz w:val="32"/>
          <w:szCs w:val="32"/>
          <w:highlight w:val="none"/>
        </w:rPr>
        <w:t>（项）。</w:t>
      </w:r>
      <w:r>
        <w:rPr>
          <w:rFonts w:hint="eastAsia" w:ascii="仿宋_GB2312" w:hAnsi="宋体" w:eastAsia="仿宋_GB2312" w:cs="仿宋_GB2312"/>
          <w:color w:val="auto"/>
          <w:sz w:val="32"/>
          <w:szCs w:val="32"/>
          <w:highlight w:val="none"/>
        </w:rPr>
        <w:t>年初预算为</w:t>
      </w:r>
      <w:r>
        <w:rPr>
          <w:rFonts w:hint="eastAsia" w:ascii="仿宋_GB2312" w:hAnsi="宋体" w:eastAsia="仿宋_GB2312" w:cs="仿宋_GB2312"/>
          <w:color w:val="auto"/>
          <w:sz w:val="32"/>
          <w:szCs w:val="32"/>
          <w:highlight w:val="none"/>
          <w:lang w:val="en-US" w:eastAsia="zh-CN"/>
        </w:rPr>
        <w:t>154.80</w:t>
      </w:r>
      <w:r>
        <w:rPr>
          <w:rFonts w:hint="eastAsia" w:ascii="仿宋_GB2312" w:hAnsi="宋体" w:eastAsia="仿宋_GB2312" w:cs="仿宋_GB2312"/>
          <w:color w:val="auto"/>
          <w:sz w:val="32"/>
          <w:szCs w:val="32"/>
          <w:highlight w:val="none"/>
        </w:rPr>
        <w:t>万元，支出决算</w:t>
      </w:r>
      <w:r>
        <w:rPr>
          <w:rFonts w:hint="eastAsia" w:ascii="仿宋_GB2312" w:hAnsi="宋体" w:eastAsia="仿宋_GB2312" w:cs="仿宋_GB2312"/>
          <w:color w:val="auto"/>
          <w:sz w:val="32"/>
          <w:szCs w:val="32"/>
          <w:highlight w:val="none"/>
          <w:lang w:val="en-US" w:eastAsia="zh-CN"/>
        </w:rPr>
        <w:t>167.00</w:t>
      </w:r>
      <w:r>
        <w:rPr>
          <w:rFonts w:hint="eastAsia" w:ascii="仿宋_GB2312" w:hAnsi="宋体" w:eastAsia="仿宋_GB2312" w:cs="仿宋_GB2312"/>
          <w:color w:val="auto"/>
          <w:sz w:val="32"/>
          <w:szCs w:val="32"/>
          <w:highlight w:val="none"/>
        </w:rPr>
        <w:t>万</w:t>
      </w:r>
      <w:r>
        <w:rPr>
          <w:rFonts w:hint="eastAsia" w:ascii="仿宋_GB2312" w:hAnsi="宋体"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完成年初预算的107.88%</w:t>
      </w:r>
      <w:r>
        <w:rPr>
          <w:rFonts w:hint="eastAsia" w:ascii="仿宋_GB2312" w:hAnsi="宋体"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决算数与年初预算数存在差异的主要原因是养老保险缴费基数调增。</w:t>
      </w:r>
    </w:p>
    <w:p>
      <w:pPr>
        <w:adjustRightInd w:val="0"/>
        <w:snapToGrid w:val="0"/>
        <w:spacing w:line="360" w:lineRule="auto"/>
        <w:ind w:firstLine="660"/>
        <w:rPr>
          <w:rFonts w:hint="eastAsia" w:ascii="仿宋_GB2312" w:hAnsi="宋体" w:eastAsia="仿宋_GB2312" w:cs="仿宋_GB2312"/>
          <w:b/>
          <w:bCs/>
          <w:color w:val="auto"/>
          <w:sz w:val="32"/>
          <w:szCs w:val="32"/>
          <w:highlight w:val="none"/>
          <w:lang w:val="en-US" w:eastAsia="zh-CN"/>
        </w:rPr>
      </w:pPr>
      <w:r>
        <w:rPr>
          <w:rFonts w:hint="eastAsia" w:ascii="仿宋_GB2312" w:hAnsi="宋体" w:eastAsia="仿宋_GB2312" w:cs="仿宋_GB2312"/>
          <w:b/>
          <w:bCs/>
          <w:color w:val="auto"/>
          <w:sz w:val="32"/>
          <w:szCs w:val="32"/>
          <w:highlight w:val="none"/>
          <w:lang w:val="en-US" w:eastAsia="zh-CN"/>
        </w:rPr>
        <w:t>7</w:t>
      </w:r>
      <w:r>
        <w:rPr>
          <w:rFonts w:ascii="仿宋_GB2312" w:hAnsi="宋体" w:eastAsia="仿宋_GB2312" w:cs="仿宋_GB2312"/>
          <w:b/>
          <w:bCs/>
          <w:color w:val="auto"/>
          <w:sz w:val="32"/>
          <w:szCs w:val="32"/>
          <w:highlight w:val="none"/>
        </w:rPr>
        <w:t>.</w:t>
      </w:r>
      <w:r>
        <w:rPr>
          <w:rFonts w:hint="eastAsia" w:ascii="仿宋_GB2312" w:hAnsi="宋体" w:eastAsia="仿宋_GB2312" w:cs="仿宋_GB2312"/>
          <w:b/>
          <w:bCs/>
          <w:color w:val="auto"/>
          <w:sz w:val="32"/>
          <w:szCs w:val="32"/>
          <w:highlight w:val="none"/>
          <w:lang w:val="en-US" w:eastAsia="zh-CN"/>
        </w:rPr>
        <w:t>卫生健康</w:t>
      </w:r>
      <w:r>
        <w:rPr>
          <w:rFonts w:hint="eastAsia" w:ascii="仿宋_GB2312" w:hAnsi="宋体" w:eastAsia="仿宋_GB2312" w:cs="仿宋_GB2312"/>
          <w:b/>
          <w:bCs/>
          <w:color w:val="auto"/>
          <w:sz w:val="32"/>
          <w:szCs w:val="32"/>
          <w:highlight w:val="none"/>
        </w:rPr>
        <w:t>（类）</w:t>
      </w:r>
      <w:r>
        <w:rPr>
          <w:rFonts w:hint="eastAsia" w:ascii="仿宋_GB2312" w:hAnsi="宋体" w:eastAsia="仿宋_GB2312" w:cs="仿宋_GB2312"/>
          <w:b/>
          <w:bCs/>
          <w:color w:val="auto"/>
          <w:sz w:val="32"/>
          <w:szCs w:val="32"/>
          <w:highlight w:val="none"/>
          <w:lang w:val="en-US" w:eastAsia="zh-CN"/>
        </w:rPr>
        <w:t>行政事业单位医疗</w:t>
      </w:r>
      <w:r>
        <w:rPr>
          <w:rFonts w:hint="eastAsia" w:ascii="仿宋_GB2312" w:hAnsi="宋体" w:eastAsia="仿宋_GB2312" w:cs="仿宋_GB2312"/>
          <w:b/>
          <w:bCs/>
          <w:color w:val="auto"/>
          <w:sz w:val="32"/>
          <w:szCs w:val="32"/>
          <w:highlight w:val="none"/>
        </w:rPr>
        <w:t>（款）</w:t>
      </w:r>
      <w:r>
        <w:rPr>
          <w:rFonts w:hint="eastAsia" w:ascii="仿宋_GB2312" w:hAnsi="宋体" w:eastAsia="仿宋_GB2312" w:cs="仿宋_GB2312"/>
          <w:b/>
          <w:bCs/>
          <w:color w:val="auto"/>
          <w:sz w:val="32"/>
          <w:szCs w:val="32"/>
          <w:highlight w:val="none"/>
          <w:lang w:val="en-US" w:eastAsia="zh-CN"/>
        </w:rPr>
        <w:t>事业单位医疗</w:t>
      </w:r>
      <w:r>
        <w:rPr>
          <w:rFonts w:hint="eastAsia" w:ascii="仿宋_GB2312" w:hAnsi="宋体" w:eastAsia="仿宋_GB2312" w:cs="仿宋_GB2312"/>
          <w:b/>
          <w:bCs/>
          <w:color w:val="auto"/>
          <w:sz w:val="32"/>
          <w:szCs w:val="32"/>
          <w:highlight w:val="none"/>
        </w:rPr>
        <w:t>（项）。</w:t>
      </w:r>
      <w:r>
        <w:rPr>
          <w:rFonts w:hint="eastAsia" w:ascii="仿宋_GB2312" w:hAnsi="宋体" w:eastAsia="仿宋_GB2312" w:cs="仿宋_GB2312"/>
          <w:color w:val="auto"/>
          <w:sz w:val="32"/>
          <w:szCs w:val="32"/>
          <w:highlight w:val="none"/>
        </w:rPr>
        <w:t>年初预算为</w:t>
      </w:r>
      <w:r>
        <w:rPr>
          <w:rFonts w:hint="eastAsia" w:ascii="仿宋_GB2312" w:hAnsi="宋体" w:eastAsia="仿宋_GB2312" w:cs="仿宋_GB2312"/>
          <w:color w:val="auto"/>
          <w:sz w:val="32"/>
          <w:szCs w:val="32"/>
          <w:highlight w:val="none"/>
          <w:lang w:val="en-US" w:eastAsia="zh-CN"/>
        </w:rPr>
        <w:t>73.81</w:t>
      </w:r>
      <w:r>
        <w:rPr>
          <w:rFonts w:hint="eastAsia" w:ascii="仿宋_GB2312" w:hAnsi="宋体" w:eastAsia="仿宋_GB2312" w:cs="仿宋_GB2312"/>
          <w:color w:val="auto"/>
          <w:sz w:val="32"/>
          <w:szCs w:val="32"/>
          <w:highlight w:val="none"/>
        </w:rPr>
        <w:t>万元，支出决算为</w:t>
      </w:r>
      <w:r>
        <w:rPr>
          <w:rFonts w:hint="eastAsia" w:ascii="仿宋_GB2312" w:hAnsi="宋体" w:eastAsia="仿宋_GB2312" w:cs="仿宋_GB2312"/>
          <w:color w:val="auto"/>
          <w:sz w:val="32"/>
          <w:szCs w:val="32"/>
          <w:highlight w:val="none"/>
          <w:lang w:val="en-US" w:eastAsia="zh-CN"/>
        </w:rPr>
        <w:t>75.08</w:t>
      </w:r>
      <w:r>
        <w:rPr>
          <w:rFonts w:hint="eastAsia" w:ascii="仿宋_GB2312" w:hAnsi="宋体" w:eastAsia="仿宋_GB2312" w:cs="仿宋_GB2312"/>
          <w:color w:val="auto"/>
          <w:sz w:val="32"/>
          <w:szCs w:val="32"/>
          <w:highlight w:val="none"/>
        </w:rPr>
        <w:t>万</w:t>
      </w:r>
      <w:r>
        <w:rPr>
          <w:rFonts w:hint="eastAsia" w:ascii="仿宋_GB2312" w:hAnsi="宋体" w:eastAsia="仿宋_GB2312" w:cs="仿宋_GB2312"/>
          <w:color w:val="auto"/>
          <w:sz w:val="32"/>
          <w:szCs w:val="32"/>
          <w:highlight w:val="none"/>
          <w:lang w:eastAsia="zh-CN"/>
        </w:rPr>
        <w:t>元，</w:t>
      </w:r>
      <w:r>
        <w:rPr>
          <w:rFonts w:hint="eastAsia" w:ascii="仿宋_GB2312" w:hAnsi="仿宋_GB2312" w:eastAsia="仿宋_GB2312" w:cs="仿宋_GB2312"/>
          <w:color w:val="auto"/>
          <w:sz w:val="32"/>
          <w:szCs w:val="32"/>
          <w:highlight w:val="none"/>
          <w:lang w:val="en-US" w:eastAsia="zh-CN"/>
        </w:rPr>
        <w:t>完成年初预算的101.72%</w:t>
      </w:r>
      <w:r>
        <w:rPr>
          <w:rFonts w:hint="eastAsia" w:ascii="仿宋_GB2312" w:hAnsi="宋体"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决算数与年初预算数存在差异的主要原因是医疗保险缴费基数调增。</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年度一般公共预算财政拨款基本支出</w:t>
      </w:r>
      <w:r>
        <w:rPr>
          <w:rFonts w:hint="eastAsia" w:ascii="仿宋_GB2312" w:hAnsi="仿宋_GB2312" w:eastAsia="仿宋_GB2312"/>
          <w:color w:val="auto"/>
          <w:sz w:val="32"/>
          <w:szCs w:val="24"/>
          <w:highlight w:val="none"/>
          <w:lang w:val="en-US"/>
        </w:rPr>
        <w:t>2,512.61</w:t>
      </w:r>
      <w:r>
        <w:rPr>
          <w:rFonts w:hint="eastAsia" w:ascii="仿宋_GB2312" w:hAnsi="仿宋_GB2312" w:eastAsia="仿宋_GB2312" w:cs="仿宋_GB2312"/>
          <w:color w:val="auto"/>
          <w:sz w:val="32"/>
          <w:szCs w:val="32"/>
          <w:highlight w:val="none"/>
        </w:rPr>
        <w:t>万元。其中：人员经费</w:t>
      </w:r>
      <w:r>
        <w:rPr>
          <w:rFonts w:hint="eastAsia" w:ascii="仿宋_GB2312" w:hAnsi="仿宋_GB2312" w:eastAsia="仿宋_GB2312" w:cs="仿宋_GB2312"/>
          <w:color w:val="auto"/>
          <w:sz w:val="32"/>
          <w:szCs w:val="32"/>
          <w:highlight w:val="none"/>
          <w:lang w:val="en-US" w:eastAsia="zh-CN"/>
        </w:rPr>
        <w:t>2402.11</w:t>
      </w:r>
      <w:r>
        <w:rPr>
          <w:rFonts w:hint="eastAsia" w:ascii="仿宋_GB2312" w:hAnsi="仿宋_GB2312" w:eastAsia="仿宋_GB2312" w:cs="仿宋_GB2312"/>
          <w:color w:val="auto"/>
          <w:sz w:val="32"/>
          <w:szCs w:val="32"/>
          <w:highlight w:val="none"/>
        </w:rPr>
        <w:t>万元，主要包括：基本工资、津贴补贴、</w:t>
      </w:r>
      <w:r>
        <w:rPr>
          <w:rFonts w:hint="eastAsia" w:ascii="仿宋_GB2312" w:hAnsi="仿宋_GB2312" w:eastAsia="仿宋_GB2312" w:cs="仿宋_GB2312"/>
          <w:color w:val="auto"/>
          <w:sz w:val="32"/>
          <w:szCs w:val="32"/>
          <w:highlight w:val="none"/>
          <w:lang w:val="en-US" w:eastAsia="zh-CN"/>
        </w:rPr>
        <w:t>奖金、</w:t>
      </w:r>
      <w:r>
        <w:rPr>
          <w:rFonts w:hint="eastAsia" w:ascii="仿宋_GB2312" w:hAnsi="仿宋_GB2312" w:eastAsia="仿宋_GB2312" w:cs="仿宋_GB2312"/>
          <w:color w:val="auto"/>
          <w:sz w:val="32"/>
          <w:szCs w:val="32"/>
          <w:highlight w:val="none"/>
        </w:rPr>
        <w:t>绩效工资、机关事业单位基本养老保险缴费、</w:t>
      </w:r>
      <w:r>
        <w:rPr>
          <w:rFonts w:hint="eastAsia" w:ascii="仿宋_GB2312" w:hAnsi="仿宋_GB2312" w:eastAsia="仿宋_GB2312" w:cs="仿宋_GB2312"/>
          <w:color w:val="auto"/>
          <w:sz w:val="32"/>
          <w:szCs w:val="32"/>
          <w:highlight w:val="none"/>
          <w:lang w:val="en-US" w:eastAsia="zh-CN"/>
        </w:rPr>
        <w:t>职工基本医疗保险缴费、</w:t>
      </w:r>
      <w:r>
        <w:rPr>
          <w:rFonts w:hint="eastAsia" w:ascii="仿宋_GB2312" w:hAnsi="仿宋_GB2312" w:eastAsia="仿宋_GB2312" w:cs="仿宋_GB2312"/>
          <w:color w:val="auto"/>
          <w:sz w:val="32"/>
          <w:szCs w:val="32"/>
          <w:highlight w:val="none"/>
        </w:rPr>
        <w:t>其他社会保障缴费、住房公积金、其他工资福利支出、退休费、生活补助、</w:t>
      </w:r>
      <w:r>
        <w:rPr>
          <w:rFonts w:hint="eastAsia" w:ascii="仿宋_GB2312" w:hAnsi="仿宋_GB2312" w:eastAsia="仿宋_GB2312" w:cs="仿宋_GB2312"/>
          <w:color w:val="auto"/>
          <w:sz w:val="32"/>
          <w:szCs w:val="32"/>
          <w:highlight w:val="none"/>
          <w:lang w:val="en-US" w:eastAsia="zh-CN"/>
        </w:rPr>
        <w:t>代缴社会保险费</w:t>
      </w:r>
      <w:r>
        <w:rPr>
          <w:rFonts w:hint="eastAsia" w:ascii="仿宋_GB2312" w:hAnsi="仿宋_GB2312" w:eastAsia="仿宋_GB2312" w:cs="仿宋_GB2312"/>
          <w:color w:val="auto"/>
          <w:sz w:val="32"/>
          <w:szCs w:val="32"/>
          <w:highlight w:val="none"/>
        </w:rPr>
        <w:t>；公用经费</w:t>
      </w:r>
      <w:r>
        <w:rPr>
          <w:rFonts w:hint="eastAsia" w:ascii="仿宋_GB2312" w:hAnsi="仿宋_GB2312" w:eastAsia="仿宋_GB2312" w:cs="仿宋_GB2312"/>
          <w:color w:val="auto"/>
          <w:sz w:val="32"/>
          <w:szCs w:val="32"/>
          <w:highlight w:val="none"/>
          <w:lang w:val="en-US" w:eastAsia="zh-CN"/>
        </w:rPr>
        <w:t>110.50</w:t>
      </w:r>
      <w:r>
        <w:rPr>
          <w:rFonts w:hint="eastAsia" w:ascii="仿宋_GB2312" w:hAnsi="仿宋_GB2312" w:eastAsia="仿宋_GB2312" w:cs="仿宋_GB2312"/>
          <w:color w:val="auto"/>
          <w:sz w:val="32"/>
          <w:szCs w:val="32"/>
          <w:highlight w:val="none"/>
        </w:rPr>
        <w:t>万元，主要包括：办公费、邮电费、物业管理费、差旅费、维修（护）费、培训费、专用材料费、劳务费、工会经费、福利费、公务用车运行维护费、办公设备购置、专用设备购置。</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lang w:eastAsia="zh-CN"/>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年度“三公”经费财政拨款支出预算为</w:t>
      </w:r>
      <w:r>
        <w:rPr>
          <w:rFonts w:hint="eastAsia" w:ascii="仿宋_GB2312" w:hAnsi="仿宋_GB2312" w:eastAsia="仿宋_GB2312"/>
          <w:color w:val="auto"/>
          <w:sz w:val="32"/>
          <w:szCs w:val="24"/>
          <w:highlight w:val="none"/>
          <w:lang w:val="en-US"/>
        </w:rPr>
        <w:t>1.42</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olor w:val="auto"/>
          <w:sz w:val="32"/>
          <w:szCs w:val="24"/>
          <w:highlight w:val="none"/>
          <w:lang w:val="en-US"/>
        </w:rPr>
        <w:t>1.42</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olor w:val="auto"/>
          <w:sz w:val="32"/>
          <w:szCs w:val="24"/>
          <w:highlight w:val="none"/>
          <w:lang w:val="en-US"/>
        </w:rPr>
        <w:t>100%</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年度“三公”经费支出决算数与预算数</w:t>
      </w:r>
      <w:r>
        <w:rPr>
          <w:rFonts w:hint="eastAsia" w:ascii="仿宋_GB2312" w:hAnsi="仿宋_GB2312" w:eastAsia="仿宋_GB2312" w:cs="仿宋_GB2312"/>
          <w:color w:val="auto"/>
          <w:sz w:val="32"/>
          <w:szCs w:val="32"/>
          <w:highlight w:val="none"/>
          <w:lang w:val="en-US" w:eastAsia="zh-CN"/>
        </w:rPr>
        <w:t>不</w:t>
      </w:r>
      <w:r>
        <w:rPr>
          <w:rFonts w:hint="eastAsia" w:ascii="仿宋_GB2312" w:hAnsi="仿宋_GB2312" w:eastAsia="仿宋_GB2312" w:cs="仿宋_GB2312"/>
          <w:color w:val="auto"/>
          <w:sz w:val="32"/>
          <w:szCs w:val="32"/>
          <w:highlight w:val="none"/>
        </w:rPr>
        <w:t>存在差异</w:t>
      </w:r>
      <w:r>
        <w:rPr>
          <w:rFonts w:hint="eastAsia" w:ascii="仿宋_GB2312" w:hAnsi="仿宋_GB2312" w:eastAsia="仿宋_GB2312" w:cs="仿宋_GB2312"/>
          <w:color w:val="auto"/>
          <w:sz w:val="32"/>
          <w:szCs w:val="32"/>
          <w:highlight w:val="none"/>
          <w:lang w:eastAsia="zh-CN"/>
        </w:rPr>
        <w:t>。</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年度“三公”经费财政拨款支出决算中，因公出国（境）费支出决算</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万元；公务用车购置及运行费支出决算</w:t>
      </w:r>
      <w:r>
        <w:rPr>
          <w:rFonts w:hint="eastAsia" w:ascii="仿宋_GB2312" w:hAnsi="仿宋_GB2312" w:eastAsia="仿宋_GB2312" w:cs="仿宋_GB2312"/>
          <w:color w:val="auto"/>
          <w:sz w:val="32"/>
          <w:szCs w:val="32"/>
          <w:highlight w:val="none"/>
          <w:lang w:val="en-US" w:eastAsia="zh-CN"/>
        </w:rPr>
        <w:t>1.42</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%；公务接待费支出决算</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万元。具体情况如下：</w:t>
      </w:r>
    </w:p>
    <w:p>
      <w:pPr>
        <w:widowControl/>
        <w:numPr>
          <w:ilvl w:val="0"/>
          <w:numId w:val="2"/>
        </w:numPr>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因公出国（境）费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决算数与预算数</w:t>
      </w:r>
      <w:r>
        <w:rPr>
          <w:rFonts w:hint="eastAsia" w:ascii="仿宋_GB2312" w:hAnsi="仿宋_GB2312" w:eastAsia="仿宋_GB2312" w:cs="仿宋_GB2312"/>
          <w:color w:val="auto"/>
          <w:sz w:val="32"/>
          <w:szCs w:val="32"/>
          <w:highlight w:val="none"/>
          <w:lang w:val="en-US" w:eastAsia="zh-CN"/>
        </w:rPr>
        <w:t>不</w:t>
      </w:r>
      <w:r>
        <w:rPr>
          <w:rFonts w:hint="eastAsia" w:ascii="仿宋_GB2312" w:hAnsi="仿宋_GB2312" w:eastAsia="仿宋_GB2312" w:cs="仿宋_GB2312"/>
          <w:color w:val="auto"/>
          <w:sz w:val="32"/>
          <w:szCs w:val="32"/>
          <w:highlight w:val="none"/>
        </w:rPr>
        <w:t>存在差异。</w:t>
      </w:r>
      <w:r>
        <w:rPr>
          <w:rFonts w:hint="eastAsia" w:ascii="仿宋_GB2312" w:hAnsi="仿宋_GB2312" w:eastAsia="仿宋_GB2312"/>
          <w:color w:val="auto"/>
          <w:sz w:val="32"/>
          <w:szCs w:val="24"/>
          <w:highlight w:val="none"/>
          <w:lang w:val="en-US"/>
        </w:rPr>
        <w:t>因公出国（境）团组数0个，因公出国（境）人次数0人。</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2．公务用车购置及运行费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olor w:val="auto"/>
          <w:sz w:val="32"/>
          <w:szCs w:val="24"/>
          <w:highlight w:val="none"/>
          <w:lang w:val="en-US"/>
        </w:rPr>
        <w:t>1.42</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olor w:val="auto"/>
          <w:sz w:val="32"/>
          <w:szCs w:val="24"/>
          <w:highlight w:val="none"/>
          <w:lang w:val="en-US"/>
        </w:rPr>
        <w:t>1.42</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%。决算数与预算数</w:t>
      </w:r>
      <w:r>
        <w:rPr>
          <w:rFonts w:hint="eastAsia" w:ascii="仿宋_GB2312" w:hAnsi="仿宋_GB2312" w:eastAsia="仿宋_GB2312" w:cs="仿宋_GB2312"/>
          <w:color w:val="auto"/>
          <w:sz w:val="32"/>
          <w:szCs w:val="32"/>
          <w:highlight w:val="none"/>
          <w:lang w:val="en-US" w:eastAsia="zh-CN"/>
        </w:rPr>
        <w:t>不</w:t>
      </w:r>
      <w:r>
        <w:rPr>
          <w:rFonts w:hint="eastAsia" w:ascii="仿宋_GB2312" w:hAnsi="仿宋_GB2312" w:eastAsia="仿宋_GB2312" w:cs="仿宋_GB2312"/>
          <w:color w:val="auto"/>
          <w:sz w:val="32"/>
          <w:szCs w:val="32"/>
          <w:highlight w:val="none"/>
        </w:rPr>
        <w:t>存在差异。其中：</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公务用车购置支出</w:t>
      </w: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万元，购置车辆</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公务用车运行支出</w:t>
      </w:r>
      <w:r>
        <w:rPr>
          <w:rFonts w:hint="eastAsia" w:ascii="仿宋_GB2312" w:hAnsi="仿宋_GB2312" w:eastAsia="仿宋_GB2312" w:cs="仿宋_GB2312"/>
          <w:color w:val="auto"/>
          <w:sz w:val="32"/>
          <w:szCs w:val="32"/>
          <w:highlight w:val="none"/>
          <w:lang w:val="en-US" w:eastAsia="zh-CN"/>
        </w:rPr>
        <w:t>1.42</w:t>
      </w:r>
      <w:r>
        <w:rPr>
          <w:rFonts w:hint="eastAsia" w:ascii="仿宋_GB2312" w:hAnsi="仿宋_GB2312" w:eastAsia="仿宋_GB2312" w:cs="仿宋_GB2312"/>
          <w:color w:val="auto"/>
          <w:sz w:val="32"/>
          <w:szCs w:val="32"/>
          <w:highlight w:val="none"/>
        </w:rPr>
        <w:t>万元。主要用于燃油费、车辆维修费、过路过桥费、车辆保险费。</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年期末，单位开支财政拨款的公务用车保有量为</w:t>
      </w:r>
      <w:r>
        <w:rPr>
          <w:rFonts w:hint="eastAsia" w:ascii="仿宋_GB2312" w:hAnsi="仿宋_GB2312" w:eastAsia="仿宋_GB2312" w:cs="仿宋_GB2312"/>
          <w:color w:val="auto"/>
          <w:sz w:val="32"/>
          <w:szCs w:val="32"/>
          <w:highlight w:val="none"/>
          <w:lang w:val="en-US" w:eastAsia="zh-CN"/>
        </w:rPr>
        <w:t>1辆</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3.公务接待费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万元，决算数与预算数</w:t>
      </w:r>
      <w:r>
        <w:rPr>
          <w:rFonts w:hint="eastAsia" w:ascii="仿宋_GB2312" w:hAnsi="仿宋_GB2312" w:eastAsia="仿宋_GB2312" w:cs="仿宋_GB2312"/>
          <w:color w:val="auto"/>
          <w:sz w:val="32"/>
          <w:szCs w:val="32"/>
          <w:highlight w:val="none"/>
          <w:lang w:val="en-US" w:eastAsia="zh-CN"/>
        </w:rPr>
        <w:t>不</w:t>
      </w:r>
      <w:r>
        <w:rPr>
          <w:rFonts w:hint="eastAsia" w:ascii="仿宋_GB2312" w:hAnsi="仿宋_GB2312" w:eastAsia="仿宋_GB2312" w:cs="仿宋_GB2312"/>
          <w:color w:val="auto"/>
          <w:sz w:val="32"/>
          <w:szCs w:val="32"/>
          <w:highlight w:val="none"/>
        </w:rPr>
        <w:t>存在差异。其中：</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外宾接待支出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年共接待国（境）外来访团组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个、来访外宾</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人次（不包括陪同人员）。</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其他国内公务接待支出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年共接待国内来访团组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个、来宾</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人次（不包括陪同人员）。</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八、政府性基金预算财政拨款支出决算情况说明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年度政府性基金预算财政拨款支出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不存在</w:t>
      </w:r>
      <w:r>
        <w:rPr>
          <w:rFonts w:hint="eastAsia" w:ascii="仿宋_GB2312" w:hAnsi="仿宋_GB2312" w:eastAsia="仿宋_GB2312" w:cs="仿宋_GB2312"/>
          <w:color w:val="auto"/>
          <w:sz w:val="32"/>
          <w:szCs w:val="32"/>
          <w:highlight w:val="none"/>
        </w:rPr>
        <w:t>项目年末结转和结余资金数额较大。</w:t>
      </w:r>
      <w:r>
        <w:rPr>
          <w:rFonts w:hint="eastAsia" w:ascii="仿宋_GB2312" w:hAnsi="仿宋_GB2312" w:eastAsia="仿宋_GB2312" w:cs="仿宋_GB2312"/>
          <w:color w:val="auto"/>
          <w:sz w:val="32"/>
          <w:szCs w:val="32"/>
          <w:highlight w:val="none"/>
          <w:lang w:val="en-US" w:eastAsia="zh-CN"/>
        </w:rPr>
        <w:t>情况说明：我单位2021年度没有政府性基金收入，也没有使用政府性基金安排的支出。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九、机关运行经费支出情况说明</w:t>
      </w:r>
    </w:p>
    <w:p>
      <w:pPr>
        <w:widowControl/>
        <w:spacing w:line="590" w:lineRule="exact"/>
        <w:ind w:firstLine="640" w:firstLineChars="200"/>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我单位不是行政机关，也不是参照公务员管理事业单位，没有机关运行经费支出。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年度政府采购支出总额</w:t>
      </w:r>
      <w:r>
        <w:rPr>
          <w:rFonts w:hint="eastAsia" w:ascii="仿宋_GB2312" w:hAnsi="仿宋_GB2312" w:eastAsia="仿宋_GB2312"/>
          <w:color w:val="auto"/>
          <w:sz w:val="32"/>
          <w:szCs w:val="24"/>
          <w:highlight w:val="none"/>
          <w:lang w:val="en-US"/>
        </w:rPr>
        <w:t>341.47</w:t>
      </w:r>
      <w:r>
        <w:rPr>
          <w:rFonts w:hint="eastAsia" w:ascii="仿宋_GB2312" w:hAnsi="仿宋_GB2312" w:eastAsia="仿宋_GB2312" w:cs="仿宋_GB2312"/>
          <w:color w:val="auto"/>
          <w:sz w:val="32"/>
          <w:szCs w:val="32"/>
          <w:highlight w:val="none"/>
        </w:rPr>
        <w:t>万元，其中：政府采购货物支出</w:t>
      </w:r>
      <w:r>
        <w:rPr>
          <w:rFonts w:hint="eastAsia" w:ascii="仿宋_GB2312" w:hAnsi="仿宋_GB2312" w:eastAsia="仿宋_GB2312"/>
          <w:color w:val="auto"/>
          <w:sz w:val="32"/>
          <w:szCs w:val="24"/>
          <w:highlight w:val="none"/>
          <w:lang w:val="en-US"/>
        </w:rPr>
        <w:t>33.7</w:t>
      </w:r>
      <w:r>
        <w:rPr>
          <w:rFonts w:hint="eastAsia" w:ascii="仿宋_GB2312" w:hAnsi="仿宋_GB2312" w:eastAsia="仿宋_GB2312"/>
          <w:color w:val="auto"/>
          <w:sz w:val="32"/>
          <w:szCs w:val="24"/>
          <w:highlight w:val="none"/>
          <w:lang w:val="en-US" w:eastAsia="zh-CN"/>
        </w:rPr>
        <w:t>0</w:t>
      </w:r>
      <w:r>
        <w:rPr>
          <w:rFonts w:hint="eastAsia" w:ascii="仿宋_GB2312" w:hAnsi="仿宋_GB2312" w:eastAsia="仿宋_GB2312" w:cs="仿宋_GB2312"/>
          <w:color w:val="auto"/>
          <w:sz w:val="32"/>
          <w:szCs w:val="32"/>
          <w:highlight w:val="none"/>
        </w:rPr>
        <w:t>万元、政府采购工程支出</w:t>
      </w:r>
      <w:r>
        <w:rPr>
          <w:rFonts w:hint="eastAsia" w:ascii="仿宋_GB2312" w:hAnsi="仿宋_GB2312" w:eastAsia="仿宋_GB2312" w:cs="仿宋_GB2312"/>
          <w:color w:val="auto"/>
          <w:sz w:val="32"/>
          <w:szCs w:val="32"/>
          <w:highlight w:val="none"/>
          <w:lang w:val="en-US" w:eastAsia="zh-CN"/>
        </w:rPr>
        <w:t>307.77</w:t>
      </w:r>
      <w:r>
        <w:rPr>
          <w:rFonts w:hint="eastAsia" w:ascii="仿宋_GB2312" w:hAnsi="仿宋_GB2312" w:eastAsia="仿宋_GB2312" w:cs="仿宋_GB2312"/>
          <w:color w:val="auto"/>
          <w:sz w:val="32"/>
          <w:szCs w:val="32"/>
          <w:highlight w:val="none"/>
        </w:rPr>
        <w:t>万元、政府采购服务支出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万元。授予中小企业合同金额</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万元，占政府采购支出总额的</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%，其中：授予小微企业合同金额</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万元，占政府采购支出总额的</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年期末，我单位共有车辆</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辆，其中：省级领导干部用车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辆、主要领导干部用车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辆、机要通信用车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辆、应急保障车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辆、执法执勤用车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辆、特种专业技术用车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辆、离退休干部用车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辆、其他用车</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辆；单位价值50万元以上通用设备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台（套），单位价值100万元以上专用设备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w:t>
      </w:r>
    </w:p>
    <w:p>
      <w:pPr>
        <w:spacing w:line="600" w:lineRule="exact"/>
        <w:ind w:firstLine="640" w:firstLineChars="200"/>
        <w:rPr>
          <w:rFonts w:hint="default" w:ascii="仿宋_GB2312" w:hAnsi="仿宋_GB2312" w:eastAsia="仿宋_GB2312" w:cs="仿宋_GB2312"/>
          <w:color w:val="auto"/>
          <w:sz w:val="32"/>
          <w:szCs w:val="32"/>
          <w:highlight w:val="none"/>
          <w:lang w:val="en-US" w:eastAsia="zh-CN"/>
        </w:rPr>
      </w:pPr>
      <w:r>
        <w:rPr>
          <w:rFonts w:hint="eastAsia" w:ascii="仿宋" w:hAnsi="仿宋" w:eastAsia="仿宋" w:cs="仿宋_GB2312"/>
          <w:color w:val="auto"/>
          <w:kern w:val="44"/>
          <w:sz w:val="32"/>
          <w:szCs w:val="32"/>
          <w:highlight w:val="none"/>
        </w:rPr>
        <w:t>为加强我校</w:t>
      </w:r>
      <w:r>
        <w:rPr>
          <w:rFonts w:hint="eastAsia" w:ascii="仿宋" w:hAnsi="仿宋" w:eastAsia="仿宋" w:cs="仿宋_GB2312"/>
          <w:color w:val="auto"/>
          <w:kern w:val="44"/>
          <w:sz w:val="32"/>
          <w:szCs w:val="32"/>
          <w:highlight w:val="none"/>
          <w:lang w:eastAsia="zh-CN"/>
        </w:rPr>
        <w:t>单位</w:t>
      </w:r>
      <w:r>
        <w:rPr>
          <w:rFonts w:hint="eastAsia" w:ascii="仿宋" w:hAnsi="仿宋" w:eastAsia="仿宋" w:cs="仿宋_GB2312"/>
          <w:color w:val="auto"/>
          <w:kern w:val="44"/>
          <w:sz w:val="32"/>
          <w:szCs w:val="32"/>
          <w:highlight w:val="none"/>
        </w:rPr>
        <w:t>整体和项目资金使用满意度，</w:t>
      </w:r>
      <w:r>
        <w:rPr>
          <w:rFonts w:hint="eastAsia" w:ascii="仿宋" w:hAnsi="仿宋" w:eastAsia="仿宋" w:cs="仿宋"/>
          <w:color w:val="auto"/>
          <w:sz w:val="32"/>
          <w:szCs w:val="32"/>
          <w:highlight w:val="none"/>
          <w:lang w:val="en-US" w:eastAsia="zh-CN"/>
        </w:rPr>
        <w:t>学校</w:t>
      </w:r>
      <w:r>
        <w:rPr>
          <w:rFonts w:hint="eastAsia" w:ascii="仿宋" w:hAnsi="仿宋" w:eastAsia="仿宋" w:cs="仿宋"/>
          <w:color w:val="auto"/>
          <w:sz w:val="32"/>
          <w:szCs w:val="32"/>
          <w:highlight w:val="none"/>
        </w:rPr>
        <w:t>成立了绩效</w:t>
      </w:r>
      <w:r>
        <w:rPr>
          <w:rFonts w:hint="eastAsia" w:ascii="仿宋" w:hAnsi="仿宋" w:eastAsia="仿宋" w:cs="仿宋"/>
          <w:color w:val="auto"/>
          <w:sz w:val="32"/>
          <w:szCs w:val="32"/>
          <w:highlight w:val="none"/>
          <w:lang w:val="en-US" w:eastAsia="zh-CN"/>
        </w:rPr>
        <w:t>评价</w:t>
      </w:r>
      <w:r>
        <w:rPr>
          <w:rFonts w:hint="eastAsia" w:ascii="仿宋" w:hAnsi="仿宋" w:eastAsia="仿宋" w:cs="仿宋"/>
          <w:color w:val="auto"/>
          <w:sz w:val="32"/>
          <w:szCs w:val="32"/>
          <w:highlight w:val="none"/>
          <w:shd w:val="clear" w:color="auto" w:fill="auto"/>
        </w:rPr>
        <w:t>工作小组</w:t>
      </w:r>
      <w:r>
        <w:rPr>
          <w:rFonts w:hint="eastAsia" w:ascii="仿宋" w:hAnsi="仿宋" w:eastAsia="仿宋" w:cs="仿宋"/>
          <w:color w:val="auto"/>
          <w:sz w:val="32"/>
          <w:szCs w:val="32"/>
          <w:highlight w:val="none"/>
          <w:shd w:val="clear" w:color="auto" w:fill="auto"/>
          <w:lang w:eastAsia="zh-CN"/>
        </w:rPr>
        <w:t>，</w:t>
      </w:r>
      <w:r>
        <w:rPr>
          <w:rFonts w:hint="eastAsia" w:ascii="仿宋" w:hAnsi="仿宋" w:eastAsia="仿宋" w:cs="仿宋"/>
          <w:color w:val="auto"/>
          <w:sz w:val="32"/>
          <w:szCs w:val="32"/>
          <w:highlight w:val="none"/>
          <w:shd w:val="clear" w:color="auto" w:fill="auto"/>
          <w:lang w:val="en-US" w:eastAsia="zh-CN"/>
        </w:rPr>
        <w:t>认真</w:t>
      </w:r>
      <w:r>
        <w:rPr>
          <w:rFonts w:hint="eastAsia" w:ascii="仿宋" w:hAnsi="仿宋" w:eastAsia="仿宋" w:cs="仿宋_GB2312"/>
          <w:color w:val="auto"/>
          <w:kern w:val="44"/>
          <w:sz w:val="32"/>
          <w:szCs w:val="32"/>
          <w:highlight w:val="none"/>
          <w:lang w:val="en-US" w:eastAsia="zh-CN"/>
        </w:rPr>
        <w:t>学习</w:t>
      </w:r>
      <w:r>
        <w:rPr>
          <w:rFonts w:hint="eastAsia" w:ascii="仿宋_GB2312" w:hAnsi="仿宋_GB2312" w:eastAsia="仿宋_GB2312" w:cs="仿宋_GB2312"/>
          <w:color w:val="auto"/>
          <w:sz w:val="32"/>
          <w:szCs w:val="32"/>
          <w:highlight w:val="none"/>
          <w:shd w:val="clear" w:color="auto" w:fill="auto"/>
          <w:lang w:val="en-US" w:eastAsia="zh-CN"/>
        </w:rPr>
        <w:t>《中共许昌市委 许昌市人民政府关于全面实施预算绩效管理的</w:t>
      </w:r>
      <w:r>
        <w:rPr>
          <w:rFonts w:hint="eastAsia" w:ascii="仿宋_GB2312" w:hAnsi="仿宋_GB2312" w:eastAsia="仿宋_GB2312" w:cs="仿宋_GB2312"/>
          <w:color w:val="auto"/>
          <w:sz w:val="32"/>
          <w:szCs w:val="32"/>
          <w:highlight w:val="none"/>
          <w:lang w:val="en-US" w:eastAsia="zh-CN"/>
        </w:rPr>
        <w:t>实施意见》</w:t>
      </w:r>
      <w:r>
        <w:rPr>
          <w:rFonts w:hint="eastAsia" w:ascii="仿宋" w:hAnsi="仿宋" w:eastAsia="仿宋" w:cs="仿宋"/>
          <w:color w:val="auto"/>
          <w:sz w:val="32"/>
          <w:szCs w:val="32"/>
          <w:highlight w:val="none"/>
          <w:lang w:val="en-US" w:eastAsia="zh-CN"/>
        </w:rPr>
        <w:t>文件要求和许昌市市级预算绩效评价管理办法，</w:t>
      </w:r>
      <w:r>
        <w:rPr>
          <w:rFonts w:hint="eastAsia" w:ascii="仿宋" w:hAnsi="仿宋" w:eastAsia="仿宋" w:cs="仿宋"/>
          <w:color w:val="auto"/>
          <w:sz w:val="32"/>
          <w:szCs w:val="32"/>
          <w:highlight w:val="none"/>
        </w:rPr>
        <w:t>对照“</w:t>
      </w:r>
      <w:r>
        <w:rPr>
          <w:rFonts w:hint="eastAsia" w:ascii="仿宋" w:hAnsi="仿宋" w:eastAsia="仿宋" w:cs="仿宋"/>
          <w:color w:val="auto"/>
          <w:kern w:val="0"/>
          <w:sz w:val="32"/>
          <w:szCs w:val="32"/>
          <w:highlight w:val="none"/>
          <w:lang w:eastAsia="zh-CN"/>
        </w:rPr>
        <w:t>单位</w:t>
      </w:r>
      <w:r>
        <w:rPr>
          <w:rFonts w:hint="eastAsia" w:ascii="仿宋" w:hAnsi="仿宋" w:eastAsia="仿宋" w:cs="仿宋"/>
          <w:color w:val="auto"/>
          <w:kern w:val="0"/>
          <w:sz w:val="32"/>
          <w:szCs w:val="32"/>
          <w:highlight w:val="none"/>
        </w:rPr>
        <w:t>整体和项目自评表</w:t>
      </w:r>
      <w:r>
        <w:rPr>
          <w:rFonts w:hint="eastAsia" w:ascii="仿宋" w:hAnsi="仿宋" w:eastAsia="仿宋" w:cs="仿宋"/>
          <w:color w:val="auto"/>
          <w:sz w:val="32"/>
          <w:szCs w:val="32"/>
          <w:highlight w:val="none"/>
        </w:rPr>
        <w:t>”的相关指标体系，认真细致地</w:t>
      </w:r>
      <w:r>
        <w:rPr>
          <w:rFonts w:hint="eastAsia" w:ascii="仿宋" w:hAnsi="仿宋" w:eastAsia="仿宋" w:cs="仿宋"/>
          <w:color w:val="auto"/>
          <w:spacing w:val="-20"/>
          <w:w w:val="1"/>
          <w:sz w:val="32"/>
          <w:szCs w:val="32"/>
          <w:highlight w:val="none"/>
        </w:rPr>
        <w:t>开</w:t>
      </w:r>
      <w:r>
        <w:rPr>
          <w:rFonts w:hint="eastAsia" w:ascii="仿宋" w:hAnsi="仿宋" w:eastAsia="仿宋" w:cs="仿宋"/>
          <w:color w:val="auto"/>
          <w:sz w:val="32"/>
          <w:szCs w:val="32"/>
          <w:highlight w:val="none"/>
        </w:rPr>
        <w:t>开展</w:t>
      </w:r>
      <w:r>
        <w:rPr>
          <w:rFonts w:hint="eastAsia" w:ascii="仿宋" w:hAnsi="仿宋" w:eastAsia="仿宋" w:cs="仿宋"/>
          <w:color w:val="auto"/>
          <w:sz w:val="32"/>
          <w:szCs w:val="32"/>
          <w:highlight w:val="none"/>
          <w:lang w:val="en-US" w:eastAsia="zh-CN"/>
        </w:rPr>
        <w:t>学习与宣传</w:t>
      </w:r>
      <w:r>
        <w:rPr>
          <w:rFonts w:hint="eastAsia" w:ascii="仿宋" w:hAnsi="仿宋" w:eastAsia="仿宋" w:cs="仿宋"/>
          <w:color w:val="auto"/>
          <w:sz w:val="32"/>
          <w:szCs w:val="32"/>
          <w:highlight w:val="none"/>
        </w:rPr>
        <w:t>工作，</w:t>
      </w:r>
      <w:r>
        <w:rPr>
          <w:rFonts w:hint="eastAsia" w:ascii="仿宋" w:hAnsi="仿宋" w:eastAsia="仿宋" w:cs="仿宋"/>
          <w:color w:val="auto"/>
          <w:sz w:val="32"/>
          <w:szCs w:val="32"/>
          <w:highlight w:val="none"/>
          <w:lang w:val="en-US" w:eastAsia="zh-CN"/>
        </w:rPr>
        <w:t>以</w:t>
      </w:r>
      <w:r>
        <w:rPr>
          <w:rFonts w:hint="eastAsia" w:ascii="仿宋" w:hAnsi="仿宋" w:eastAsia="仿宋" w:cs="仿宋_GB2312"/>
          <w:color w:val="auto"/>
          <w:kern w:val="44"/>
          <w:sz w:val="32"/>
          <w:szCs w:val="32"/>
          <w:highlight w:val="none"/>
        </w:rPr>
        <w:t>充分发挥资金的使用效益。</w:t>
      </w:r>
      <w:r>
        <w:rPr>
          <w:rFonts w:hint="eastAsia" w:ascii="仿宋" w:hAnsi="仿宋" w:eastAsia="仿宋" w:cs="仿宋_GB2312"/>
          <w:color w:val="auto"/>
          <w:kern w:val="44"/>
          <w:sz w:val="32"/>
          <w:szCs w:val="32"/>
          <w:highlight w:val="none"/>
          <w:lang w:val="en-US" w:eastAsia="zh-CN"/>
        </w:rPr>
        <w:t>在工作中，</w:t>
      </w:r>
      <w:r>
        <w:rPr>
          <w:rFonts w:hint="eastAsia" w:ascii="仿宋" w:hAnsi="仿宋" w:eastAsia="仿宋" w:cs="仿宋_GB2312"/>
          <w:color w:val="auto"/>
          <w:kern w:val="44"/>
          <w:sz w:val="32"/>
          <w:szCs w:val="32"/>
          <w:highlight w:val="none"/>
        </w:rPr>
        <w:t>从履职效能、管理效率、运行成本、服务满意、可持续性五个方面进行绩效</w:t>
      </w:r>
      <w:r>
        <w:rPr>
          <w:rFonts w:hint="eastAsia" w:ascii="仿宋" w:hAnsi="仿宋" w:eastAsia="仿宋" w:cs="仿宋_GB2312"/>
          <w:color w:val="auto"/>
          <w:kern w:val="44"/>
          <w:sz w:val="32"/>
          <w:szCs w:val="32"/>
          <w:highlight w:val="none"/>
          <w:lang w:val="en-US" w:eastAsia="zh-CN"/>
        </w:rPr>
        <w:t>评价。</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2021年度我单位纳入预算绩效管理的支出总额为3291.07万元，其中：基本支出2512.61万元；支出项目1个，支出金额778.45万元。开展项目绩效自评项目0个，自评金额0.00万元；纳入重点绩效评价0个，评价金额0.00万元。</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本单位整体绩效目标和项目支出绩效目标进行了自评。一是单位整体绩效自评情况。总体自我评价是财政资金预算配置合理合规，预算执行严格有序，预算管理规范可控，资金效益合乎预期。本单位2021年度整体绩效自评结果为良好。二是项目绩效自评情况。我单位共有0个项目批复了绩效目标，项目金额0.00万元。</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0" w:firstLineChars="3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基于项目预期目标的实现程度，对2021年度项目支出绩效进行自评，绩效自评平均得分为/分。其中：0个项目评价等级为“优”、0个项目评价等级为“良”、0个项目评价等级为“中”、0个项目评价等级为“差”。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2021年度我单位没有开展重点绩效评价的项目。</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第四部分  名词解释</w:t>
      </w:r>
    </w:p>
    <w:p>
      <w:pPr>
        <w:jc w:val="center"/>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一、财政拨款收入：单位从同级政府财政</w:t>
      </w: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取得的财政预算资金。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三、上级补助收入：事业单位从主管</w:t>
      </w: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和上级单位取得的非财政补助收入。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十六、年末结余：本年度或以前年度预算安排，已执行完毕或因客观条件发生变化无法按原预算安排实施，不需要再使用或无法按原预算安排继续使用的资金。</w:t>
      </w:r>
    </w:p>
    <w:bookmarkEnd w:id="0"/>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75A9C6"/>
    <w:multiLevelType w:val="singleLevel"/>
    <w:tmpl w:val="EF75A9C6"/>
    <w:lvl w:ilvl="0" w:tentative="0">
      <w:start w:val="1"/>
      <w:numFmt w:val="decimal"/>
      <w:suff w:val="nothing"/>
      <w:lvlText w:val="%1．"/>
      <w:lvlJc w:val="left"/>
    </w:lvl>
  </w:abstractNum>
  <w:abstractNum w:abstractNumId="1">
    <w:nsid w:val="5971BE17"/>
    <w:multiLevelType w:val="singleLevel"/>
    <w:tmpl w:val="5971BE17"/>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zMmNhMmI2OGM1NmNkZjBmOGIxOWRhMjk5NzcyYmUifQ=="/>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5779E"/>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012B"/>
    <w:rsid w:val="00ED38B7"/>
    <w:rsid w:val="00EE051D"/>
    <w:rsid w:val="00F0131A"/>
    <w:rsid w:val="00F14C17"/>
    <w:rsid w:val="00F17041"/>
    <w:rsid w:val="00F218CF"/>
    <w:rsid w:val="00F44937"/>
    <w:rsid w:val="00F61A47"/>
    <w:rsid w:val="00F84422"/>
    <w:rsid w:val="00F95455"/>
    <w:rsid w:val="00FA574D"/>
    <w:rsid w:val="00FC2588"/>
    <w:rsid w:val="00FE7AD9"/>
    <w:rsid w:val="01322275"/>
    <w:rsid w:val="01DC6F05"/>
    <w:rsid w:val="02A3489A"/>
    <w:rsid w:val="02CA138D"/>
    <w:rsid w:val="033646FC"/>
    <w:rsid w:val="03C75F80"/>
    <w:rsid w:val="040D1C5F"/>
    <w:rsid w:val="046A19F2"/>
    <w:rsid w:val="0478364D"/>
    <w:rsid w:val="053D4C0D"/>
    <w:rsid w:val="0557532E"/>
    <w:rsid w:val="060318FF"/>
    <w:rsid w:val="07343B5C"/>
    <w:rsid w:val="0799329C"/>
    <w:rsid w:val="08397436"/>
    <w:rsid w:val="086F16A7"/>
    <w:rsid w:val="0A0F7225"/>
    <w:rsid w:val="0A2B7D82"/>
    <w:rsid w:val="0ADC40E9"/>
    <w:rsid w:val="0AE607F4"/>
    <w:rsid w:val="0B386127"/>
    <w:rsid w:val="0B451598"/>
    <w:rsid w:val="0B5E5DFE"/>
    <w:rsid w:val="0BAB0918"/>
    <w:rsid w:val="0BEC73F4"/>
    <w:rsid w:val="0C392698"/>
    <w:rsid w:val="108A0487"/>
    <w:rsid w:val="10BD36F6"/>
    <w:rsid w:val="11BF0649"/>
    <w:rsid w:val="123E3E08"/>
    <w:rsid w:val="133212F4"/>
    <w:rsid w:val="13912AE9"/>
    <w:rsid w:val="13D22E22"/>
    <w:rsid w:val="161C2DFF"/>
    <w:rsid w:val="16373578"/>
    <w:rsid w:val="16D3336B"/>
    <w:rsid w:val="17200028"/>
    <w:rsid w:val="17806C36"/>
    <w:rsid w:val="17A74F62"/>
    <w:rsid w:val="18A47774"/>
    <w:rsid w:val="1A8D28EB"/>
    <w:rsid w:val="1A935399"/>
    <w:rsid w:val="1A9F2D78"/>
    <w:rsid w:val="1B2E6FD8"/>
    <w:rsid w:val="1B877D21"/>
    <w:rsid w:val="1C4319A9"/>
    <w:rsid w:val="1C4F6CD2"/>
    <w:rsid w:val="1CCA3300"/>
    <w:rsid w:val="1DC15098"/>
    <w:rsid w:val="1DEC2D59"/>
    <w:rsid w:val="1E443B4B"/>
    <w:rsid w:val="1E67231D"/>
    <w:rsid w:val="1E7C17D8"/>
    <w:rsid w:val="1E994F4A"/>
    <w:rsid w:val="1EAF0224"/>
    <w:rsid w:val="1EBF675C"/>
    <w:rsid w:val="1EFD69CD"/>
    <w:rsid w:val="1F2230A4"/>
    <w:rsid w:val="1F225A54"/>
    <w:rsid w:val="20210932"/>
    <w:rsid w:val="202448E0"/>
    <w:rsid w:val="20A26336"/>
    <w:rsid w:val="20EB5EB9"/>
    <w:rsid w:val="20F614FE"/>
    <w:rsid w:val="21302EEA"/>
    <w:rsid w:val="22376FB5"/>
    <w:rsid w:val="23E152D7"/>
    <w:rsid w:val="23EE2489"/>
    <w:rsid w:val="25046025"/>
    <w:rsid w:val="25070E5D"/>
    <w:rsid w:val="255D43C8"/>
    <w:rsid w:val="26714EF8"/>
    <w:rsid w:val="26876BDD"/>
    <w:rsid w:val="2714632A"/>
    <w:rsid w:val="27541E73"/>
    <w:rsid w:val="27B0539E"/>
    <w:rsid w:val="27D70CE6"/>
    <w:rsid w:val="28446486"/>
    <w:rsid w:val="287333BC"/>
    <w:rsid w:val="29365CF8"/>
    <w:rsid w:val="299469B3"/>
    <w:rsid w:val="2A805789"/>
    <w:rsid w:val="2ADC0D75"/>
    <w:rsid w:val="2B4A0E52"/>
    <w:rsid w:val="2C975890"/>
    <w:rsid w:val="2DEF21BB"/>
    <w:rsid w:val="2E4A2F05"/>
    <w:rsid w:val="2ECC1061"/>
    <w:rsid w:val="2FA476AD"/>
    <w:rsid w:val="303F7540"/>
    <w:rsid w:val="30945900"/>
    <w:rsid w:val="31DD00BF"/>
    <w:rsid w:val="3293174C"/>
    <w:rsid w:val="329D4BAF"/>
    <w:rsid w:val="32BB38D4"/>
    <w:rsid w:val="32C9376D"/>
    <w:rsid w:val="33780472"/>
    <w:rsid w:val="33AF0905"/>
    <w:rsid w:val="33B029E0"/>
    <w:rsid w:val="344E6D33"/>
    <w:rsid w:val="355932F4"/>
    <w:rsid w:val="35611882"/>
    <w:rsid w:val="35A65B28"/>
    <w:rsid w:val="36746FC3"/>
    <w:rsid w:val="368763AE"/>
    <w:rsid w:val="3700676C"/>
    <w:rsid w:val="37B26974"/>
    <w:rsid w:val="395D59E7"/>
    <w:rsid w:val="39A93932"/>
    <w:rsid w:val="3A915562"/>
    <w:rsid w:val="3B205A6D"/>
    <w:rsid w:val="3B452227"/>
    <w:rsid w:val="3B5407A5"/>
    <w:rsid w:val="3B8D4765"/>
    <w:rsid w:val="3C000DBA"/>
    <w:rsid w:val="3C120467"/>
    <w:rsid w:val="3C7F860C"/>
    <w:rsid w:val="3DC045D3"/>
    <w:rsid w:val="3E504FFB"/>
    <w:rsid w:val="3E615CD0"/>
    <w:rsid w:val="3E932BAC"/>
    <w:rsid w:val="3E9C47F6"/>
    <w:rsid w:val="3F8B0112"/>
    <w:rsid w:val="3FAB3095"/>
    <w:rsid w:val="3FE45947"/>
    <w:rsid w:val="3FFF5B61"/>
    <w:rsid w:val="4080052F"/>
    <w:rsid w:val="409B4D6F"/>
    <w:rsid w:val="41242965"/>
    <w:rsid w:val="42AB0B27"/>
    <w:rsid w:val="42BB0609"/>
    <w:rsid w:val="43277DA2"/>
    <w:rsid w:val="435671EA"/>
    <w:rsid w:val="440809E9"/>
    <w:rsid w:val="442407A6"/>
    <w:rsid w:val="44805EA1"/>
    <w:rsid w:val="45710696"/>
    <w:rsid w:val="46142B1B"/>
    <w:rsid w:val="46B73739"/>
    <w:rsid w:val="477C0DDF"/>
    <w:rsid w:val="47E04ECA"/>
    <w:rsid w:val="47E60DD0"/>
    <w:rsid w:val="48735039"/>
    <w:rsid w:val="492C684B"/>
    <w:rsid w:val="49500594"/>
    <w:rsid w:val="49AB0CA3"/>
    <w:rsid w:val="49E7604E"/>
    <w:rsid w:val="4AD60D77"/>
    <w:rsid w:val="4B835B25"/>
    <w:rsid w:val="4BF67CDD"/>
    <w:rsid w:val="4D173441"/>
    <w:rsid w:val="4D603DD6"/>
    <w:rsid w:val="4EBF010F"/>
    <w:rsid w:val="4F471EB0"/>
    <w:rsid w:val="50991BF8"/>
    <w:rsid w:val="50D46B08"/>
    <w:rsid w:val="5117550A"/>
    <w:rsid w:val="51331326"/>
    <w:rsid w:val="51740A7F"/>
    <w:rsid w:val="51A5541E"/>
    <w:rsid w:val="51AF456A"/>
    <w:rsid w:val="51C96242"/>
    <w:rsid w:val="51D535C6"/>
    <w:rsid w:val="53906AE1"/>
    <w:rsid w:val="54B947DB"/>
    <w:rsid w:val="54F46F60"/>
    <w:rsid w:val="55A37BEA"/>
    <w:rsid w:val="56362CD2"/>
    <w:rsid w:val="56867985"/>
    <w:rsid w:val="5784687B"/>
    <w:rsid w:val="57846959"/>
    <w:rsid w:val="578E6A87"/>
    <w:rsid w:val="58E45D8D"/>
    <w:rsid w:val="59483ACD"/>
    <w:rsid w:val="5AC2203A"/>
    <w:rsid w:val="5C125FE8"/>
    <w:rsid w:val="5CBB3334"/>
    <w:rsid w:val="5D115FAF"/>
    <w:rsid w:val="5F5F2B51"/>
    <w:rsid w:val="6015323C"/>
    <w:rsid w:val="60584FF8"/>
    <w:rsid w:val="61BB3AB2"/>
    <w:rsid w:val="62811722"/>
    <w:rsid w:val="62E75A72"/>
    <w:rsid w:val="63471E49"/>
    <w:rsid w:val="64571880"/>
    <w:rsid w:val="648764E1"/>
    <w:rsid w:val="649125B6"/>
    <w:rsid w:val="64E262CE"/>
    <w:rsid w:val="652F4C1A"/>
    <w:rsid w:val="6618187B"/>
    <w:rsid w:val="666D37F1"/>
    <w:rsid w:val="67087D8F"/>
    <w:rsid w:val="671F687E"/>
    <w:rsid w:val="67D13E9E"/>
    <w:rsid w:val="67F415F8"/>
    <w:rsid w:val="682640D1"/>
    <w:rsid w:val="684B73E5"/>
    <w:rsid w:val="6A047A2A"/>
    <w:rsid w:val="6B2A277C"/>
    <w:rsid w:val="6B3B0251"/>
    <w:rsid w:val="6BE704DA"/>
    <w:rsid w:val="6CEB1A97"/>
    <w:rsid w:val="6D9E6B0A"/>
    <w:rsid w:val="6E241FF7"/>
    <w:rsid w:val="6EFB7548"/>
    <w:rsid w:val="6F3831C3"/>
    <w:rsid w:val="6F8B71C1"/>
    <w:rsid w:val="70753482"/>
    <w:rsid w:val="707B522A"/>
    <w:rsid w:val="713F5ECE"/>
    <w:rsid w:val="722B3D97"/>
    <w:rsid w:val="72FB7C0E"/>
    <w:rsid w:val="73194D05"/>
    <w:rsid w:val="73A83B0E"/>
    <w:rsid w:val="73C4052F"/>
    <w:rsid w:val="744D3EF9"/>
    <w:rsid w:val="74794411"/>
    <w:rsid w:val="74C15C82"/>
    <w:rsid w:val="75867C40"/>
    <w:rsid w:val="759235A3"/>
    <w:rsid w:val="75B10B26"/>
    <w:rsid w:val="76432199"/>
    <w:rsid w:val="76F44829"/>
    <w:rsid w:val="77A267C0"/>
    <w:rsid w:val="78882278"/>
    <w:rsid w:val="78B118A6"/>
    <w:rsid w:val="79135044"/>
    <w:rsid w:val="797D616D"/>
    <w:rsid w:val="79C77587"/>
    <w:rsid w:val="7A7D0F99"/>
    <w:rsid w:val="7A7DA4D7"/>
    <w:rsid w:val="7BBC02E7"/>
    <w:rsid w:val="7E183E21"/>
    <w:rsid w:val="7E2D4952"/>
    <w:rsid w:val="7E4A0E7C"/>
    <w:rsid w:val="7E5B7B8D"/>
    <w:rsid w:val="7EFB03F9"/>
    <w:rsid w:val="7EFD449D"/>
    <w:rsid w:val="F3BE3FC9"/>
    <w:rsid w:val="F7EFFB28"/>
    <w:rsid w:val="FEF96AB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unhideWhenUsed/>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w:link w:val="2"/>
    <w:semiHidden/>
    <w:uiPriority w:val="99"/>
    <w:rPr>
      <w:kern w:val="2"/>
      <w:sz w:val="18"/>
      <w:szCs w:val="18"/>
    </w:rPr>
  </w:style>
  <w:style w:type="character" w:customStyle="1" w:styleId="11">
    <w:name w:val="页脚 Char"/>
    <w:link w:val="3"/>
    <w:qFormat/>
    <w:uiPriority w:val="99"/>
    <w:rPr>
      <w:kern w:val="2"/>
      <w:sz w:val="18"/>
      <w:szCs w:val="18"/>
    </w:rPr>
  </w:style>
  <w:style w:type="character" w:customStyle="1" w:styleId="12">
    <w:name w:val="页眉 Char"/>
    <w:link w:val="4"/>
    <w:uiPriority w:val="99"/>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uiPriority w:val="0"/>
    <w:rPr>
      <w:rFonts w:hint="eastAsia" w:ascii="宋体" w:hAnsi="宋体" w:eastAsia="宋体" w:cs="宋体"/>
      <w:color w:val="000000"/>
      <w:sz w:val="20"/>
      <w:szCs w:val="20"/>
      <w:u w:val="none"/>
    </w:rPr>
  </w:style>
  <w:style w:type="character" w:customStyle="1" w:styleId="17">
    <w:name w:val="font41"/>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33</Pages>
  <Words>8196</Words>
  <Characters>10262</Characters>
  <Lines>60</Lines>
  <Paragraphs>16</Paragraphs>
  <TotalTime>106</TotalTime>
  <ScaleCrop>false</ScaleCrop>
  <LinksUpToDate>false</LinksUpToDate>
  <CharactersWithSpaces>10488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2007-11-29T11:41:00Z</dcterms:created>
  <dc:creator>管理者</dc:creator>
  <cp:lastModifiedBy>悟の</cp:lastModifiedBy>
  <cp:lastPrinted>2023-04-03T10:44:00Z</cp:lastPrinted>
  <dcterms:modified xsi:type="dcterms:W3CDTF">2023-09-17T11:21:46Z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957172A8203345479BA904E39CDD26AD_13</vt:lpwstr>
  </property>
</Properties>
</file>