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rPr>
      </w:pPr>
      <w:bookmarkStart w:id="0" w:name="_GoBack"/>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20</w:t>
      </w:r>
      <w:r>
        <w:rPr>
          <w:rFonts w:ascii="黑体" w:hAnsi="黑体" w:eastAsia="黑体" w:cs="黑体"/>
          <w:color w:val="auto"/>
          <w:sz w:val="52"/>
          <w:szCs w:val="52"/>
          <w:highlight w:val="none"/>
        </w:rPr>
        <w:t>21</w:t>
      </w:r>
      <w:r>
        <w:rPr>
          <w:rFonts w:hint="eastAsia" w:ascii="黑体" w:hAnsi="黑体" w:eastAsia="黑体" w:cs="黑体"/>
          <w:color w:val="auto"/>
          <w:sz w:val="52"/>
          <w:szCs w:val="52"/>
          <w:highlight w:val="none"/>
        </w:rPr>
        <w:t>年度</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许昌市电化教育馆单位决算</w:t>
      </w:r>
    </w:p>
    <w:p>
      <w:pPr>
        <w:jc w:val="center"/>
        <w:rPr>
          <w:rFonts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color w:val="auto"/>
          <w:sz w:val="32"/>
          <w:szCs w:val="32"/>
          <w:highlight w:val="none"/>
        </w:rPr>
        <w:t>二〇二二年九月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许昌市电化教育馆概况</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lang w:eastAsia="zh-CN"/>
        </w:rPr>
        <w:t>单位</w:t>
      </w:r>
      <w:r>
        <w:rPr>
          <w:rFonts w:hint="eastAsia" w:ascii="宋体" w:hAnsi="宋体" w:cs="宋体"/>
          <w:color w:val="auto"/>
          <w:sz w:val="32"/>
          <w:szCs w:val="32"/>
          <w:highlight w:val="none"/>
        </w:rPr>
        <w:t>职责</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  2021年度</w:t>
      </w:r>
      <w:r>
        <w:rPr>
          <w:rFonts w:hint="eastAsia" w:ascii="黑体" w:hAnsi="黑体" w:eastAsia="黑体" w:cs="黑体"/>
          <w:color w:val="auto"/>
          <w:sz w:val="32"/>
          <w:szCs w:val="32"/>
          <w:highlight w:val="none"/>
          <w:lang w:eastAsia="zh-CN"/>
        </w:rPr>
        <w:t>单位决算</w:t>
      </w:r>
      <w:r>
        <w:rPr>
          <w:rFonts w:hint="eastAsia" w:ascii="黑体" w:hAnsi="黑体" w:eastAsia="黑体" w:cs="黑体"/>
          <w:color w:val="auto"/>
          <w:sz w:val="32"/>
          <w:szCs w:val="32"/>
          <w:highlight w:val="none"/>
        </w:rPr>
        <w:t>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一、收入支出决算总表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二、收入决算表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三、支出决算表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四、财政拨款收入支出决算总表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五、一般公共预算财政拨款支出决算表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六、一般公共预算财政拨款基本支出决算明细表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七、一般公共预算财政拨款“三公”经费支出决算表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第三部分　</w:t>
      </w:r>
      <w:r>
        <w:rPr>
          <w:rFonts w:ascii="黑体" w:hAnsi="黑体" w:eastAsia="黑体" w:cs="黑体"/>
          <w:color w:val="auto"/>
          <w:sz w:val="32"/>
          <w:szCs w:val="32"/>
          <w:highlight w:val="none"/>
        </w:rPr>
        <w:t>2021</w:t>
      </w:r>
      <w:r>
        <w:rPr>
          <w:rFonts w:hint="eastAsia" w:ascii="黑体" w:hAnsi="黑体" w:eastAsia="黑体" w:cs="黑体"/>
          <w:color w:val="auto"/>
          <w:sz w:val="32"/>
          <w:szCs w:val="32"/>
          <w:highlight w:val="none"/>
        </w:rPr>
        <w:t>年度</w:t>
      </w:r>
      <w:r>
        <w:rPr>
          <w:rFonts w:hint="eastAsia" w:ascii="黑体" w:hAnsi="黑体" w:eastAsia="黑体" w:cs="黑体"/>
          <w:color w:val="auto"/>
          <w:sz w:val="32"/>
          <w:szCs w:val="32"/>
          <w:highlight w:val="none"/>
          <w:lang w:eastAsia="zh-CN"/>
        </w:rPr>
        <w:t>单位决算</w:t>
      </w:r>
      <w:r>
        <w:rPr>
          <w:rFonts w:hint="eastAsia" w:ascii="黑体" w:hAnsi="黑体" w:eastAsia="黑体" w:cs="黑体"/>
          <w:color w:val="auto"/>
          <w:sz w:val="32"/>
          <w:szCs w:val="32"/>
          <w:highlight w:val="none"/>
        </w:rPr>
        <w:t>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一、收入支出决算总体情况说明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二、收入决算情况说明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三、支出决算情况说明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四、财政拨款收入支出决算总体情况说明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五、一般公共预算财政拨款支出决算情况说明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六、一般公共预算财政拨款基本支出决算情况说明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七、一般公共预算财政拨款“三公”经费支出决算情况说明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八、政府性基金预算财政拨款支出决算情况说明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九、机关运行经费支出情况说明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十、政府采购支出情况说明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十一、国有资产占用情况说明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十二、预算绩效情况说明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　　名词解释</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宋体" w:eastAsia="黑体" w:cs="宋体"/>
          <w:color w:val="auto"/>
          <w:kern w:val="0"/>
          <w:sz w:val="28"/>
          <w:szCs w:val="28"/>
          <w:highlight w:val="none"/>
        </w:rPr>
      </w:pPr>
      <w:r>
        <w:rPr>
          <w:rFonts w:hint="eastAsia" w:ascii="黑体" w:hAnsi="黑体" w:eastAsia="黑体" w:cs="黑体"/>
          <w:color w:val="auto"/>
          <w:sz w:val="48"/>
          <w:szCs w:val="48"/>
          <w:highlight w:val="none"/>
        </w:rPr>
        <w:t xml:space="preserve">第一部分  </w:t>
      </w:r>
      <w:r>
        <w:rPr>
          <w:rFonts w:hint="eastAsia" w:ascii="黑体" w:hAnsi="黑体" w:eastAsia="黑体" w:cs="黑体"/>
          <w:color w:val="auto"/>
          <w:sz w:val="52"/>
          <w:szCs w:val="52"/>
          <w:highlight w:val="none"/>
        </w:rPr>
        <w:t>许昌市电化教育馆概况</w:t>
      </w: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hint="eastAsia" w:ascii="黑体" w:hAnsi="黑体" w:eastAsia="黑体" w:cs="黑体"/>
          <w:color w:val="auto"/>
          <w:kern w:val="0"/>
          <w:sz w:val="32"/>
          <w:szCs w:val="32"/>
          <w:highlight w:val="none"/>
        </w:rPr>
      </w:pPr>
    </w:p>
    <w:p>
      <w:pPr>
        <w:widowControl/>
        <w:ind w:firstLine="640" w:firstLineChars="200"/>
        <w:jc w:val="left"/>
        <w:outlineLvl w:val="1"/>
        <w:rPr>
          <w:rFonts w:hint="eastAsia" w:ascii="黑体" w:hAnsi="黑体" w:eastAsia="黑体" w:cs="黑体"/>
          <w:color w:val="auto"/>
          <w:kern w:val="0"/>
          <w:sz w:val="32"/>
          <w:szCs w:val="32"/>
          <w:highlight w:val="none"/>
        </w:rPr>
      </w:pPr>
    </w:p>
    <w:p>
      <w:pPr>
        <w:widowControl/>
        <w:ind w:firstLine="640" w:firstLineChars="200"/>
        <w:jc w:val="left"/>
        <w:outlineLvl w:val="1"/>
        <w:rPr>
          <w:rFonts w:hint="eastAsia" w:ascii="黑体" w:hAnsi="黑体" w:eastAsia="黑体" w:cs="黑体"/>
          <w:color w:val="auto"/>
          <w:kern w:val="0"/>
          <w:sz w:val="32"/>
          <w:szCs w:val="32"/>
          <w:highlight w:val="none"/>
        </w:rPr>
      </w:pP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一、</w:t>
      </w:r>
      <w:r>
        <w:rPr>
          <w:rFonts w:hint="eastAsia" w:ascii="黑体" w:hAnsi="黑体" w:eastAsia="黑体" w:cs="黑体"/>
          <w:color w:val="auto"/>
          <w:kern w:val="0"/>
          <w:sz w:val="32"/>
          <w:szCs w:val="32"/>
          <w:highlight w:val="none"/>
          <w:lang w:eastAsia="zh-CN"/>
        </w:rPr>
        <w:t>单位</w:t>
      </w:r>
      <w:r>
        <w:rPr>
          <w:rFonts w:hint="eastAsia" w:ascii="黑体" w:hAnsi="黑体" w:eastAsia="黑体" w:cs="黑体"/>
          <w:bCs/>
          <w:color w:val="auto"/>
          <w:sz w:val="32"/>
          <w:szCs w:val="32"/>
          <w:highlight w:val="none"/>
        </w:rPr>
        <w:t>职责</w:t>
      </w:r>
    </w:p>
    <w:p>
      <w:pPr>
        <w:ind w:firstLine="640" w:firstLineChars="200"/>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许昌市电化教育馆是具有独立法人资格的正科级财政全供事业单位，属许昌市教育局直属二级机构。我馆的主要职责是：</w:t>
      </w:r>
      <w:r>
        <w:rPr>
          <w:rFonts w:hint="eastAsia" w:ascii="仿宋" w:hAnsi="仿宋" w:eastAsia="仿宋" w:cs="仿宋"/>
          <w:color w:val="auto"/>
          <w:sz w:val="32"/>
          <w:szCs w:val="32"/>
          <w:highlight w:val="none"/>
          <w:shd w:val="clear" w:color="auto" w:fill="FFFFFF"/>
        </w:rPr>
        <w:t>开展电化教育教学研究，为基础教育服务。进行电教教研、电教科研与指导，多媒体辅助教学、远程教育教学研究；结合教育教学的实际过程，研究电教教材在学科教学中的应用和教法；收集、储存、整理、发放、编制有关基础教育教学的电教教材、资料和信息；开展教师现代教育技术培训工作。</w:t>
      </w: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二、机构设置</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许昌市电化教育馆内设机构</w:t>
      </w:r>
      <w:r>
        <w:rPr>
          <w:rFonts w:hint="default" w:ascii="仿宋_GB2312" w:hAnsi="仿宋_GB2312" w:eastAsia="仿宋_GB2312" w:cs="仿宋_GB2312"/>
          <w:color w:val="auto"/>
          <w:kern w:val="0"/>
          <w:sz w:val="32"/>
          <w:szCs w:val="32"/>
          <w:highlight w:val="none"/>
          <w:lang w:val="en-US"/>
        </w:rPr>
        <w:t>1</w:t>
      </w:r>
      <w:r>
        <w:rPr>
          <w:rFonts w:hint="eastAsia" w:ascii="仿宋_GB2312" w:hAnsi="仿宋_GB2312" w:eastAsia="仿宋_GB2312" w:cs="仿宋_GB2312"/>
          <w:color w:val="auto"/>
          <w:kern w:val="0"/>
          <w:sz w:val="32"/>
          <w:szCs w:val="32"/>
          <w:highlight w:val="none"/>
        </w:rPr>
        <w:t>个</w:t>
      </w:r>
      <w:r>
        <w:rPr>
          <w:rFonts w:hint="default" w:ascii="仿宋_GB2312" w:hAnsi="仿宋_GB2312" w:eastAsia="仿宋_GB2312" w:cs="仿宋_GB2312"/>
          <w:color w:val="auto"/>
          <w:kern w:val="0"/>
          <w:sz w:val="32"/>
          <w:szCs w:val="32"/>
          <w:highlight w:val="none"/>
          <w:lang w:val="en-US"/>
        </w:rPr>
        <w:t>,</w:t>
      </w:r>
      <w:r>
        <w:rPr>
          <w:rFonts w:hint="eastAsia" w:ascii="仿宋_GB2312" w:hAnsi="仿宋_GB2312" w:eastAsia="仿宋_GB2312" w:cs="仿宋_GB2312"/>
          <w:color w:val="auto"/>
          <w:kern w:val="0"/>
          <w:sz w:val="32"/>
          <w:szCs w:val="32"/>
          <w:highlight w:val="none"/>
          <w:lang w:val="en-US" w:eastAsia="zh-CN"/>
        </w:rPr>
        <w:t>包括：办公室</w:t>
      </w:r>
      <w:r>
        <w:rPr>
          <w:rFonts w:hint="eastAsia" w:ascii="仿宋_GB2312" w:hAnsi="仿宋_GB2312" w:eastAsia="仿宋_GB2312" w:cs="仿宋_GB2312"/>
          <w:color w:val="auto"/>
          <w:kern w:val="0"/>
          <w:sz w:val="32"/>
          <w:szCs w:val="32"/>
          <w:highlight w:val="none"/>
        </w:rPr>
        <w:t>。</w:t>
      </w:r>
    </w:p>
    <w:p>
      <w:pPr>
        <w:widowControl/>
        <w:ind w:firstLine="640" w:firstLineChars="200"/>
        <w:jc w:val="left"/>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从决算单位构成看，许昌市电化教育馆</w:t>
      </w:r>
      <w:r>
        <w:rPr>
          <w:rFonts w:hint="eastAsia" w:ascii="仿宋_GB2312" w:hAnsi="仿宋_GB2312" w:eastAsia="仿宋_GB2312" w:cs="仿宋_GB2312"/>
          <w:color w:val="auto"/>
          <w:kern w:val="0"/>
          <w:sz w:val="32"/>
          <w:szCs w:val="32"/>
          <w:highlight w:val="none"/>
          <w:lang w:eastAsia="zh-CN"/>
        </w:rPr>
        <w:t>单位决算</w:t>
      </w:r>
      <w:r>
        <w:rPr>
          <w:rFonts w:hint="eastAsia" w:ascii="仿宋_GB2312" w:hAnsi="仿宋_GB2312" w:eastAsia="仿宋_GB2312" w:cs="仿宋_GB2312"/>
          <w:color w:val="auto"/>
          <w:kern w:val="0"/>
          <w:sz w:val="32"/>
          <w:szCs w:val="32"/>
          <w:highlight w:val="none"/>
        </w:rPr>
        <w:t>包括：本级决算。</w:t>
      </w:r>
    </w:p>
    <w:p>
      <w:pPr>
        <w:spacing w:line="360" w:lineRule="auto"/>
        <w:ind w:firstLine="640" w:firstLineChars="200"/>
        <w:jc w:val="left"/>
        <w:outlineLvl w:val="1"/>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纳入本</w:t>
      </w:r>
      <w:r>
        <w:rPr>
          <w:rFonts w:hint="eastAsia" w:ascii="仿宋_GB2312" w:hAnsi="宋体" w:eastAsia="仿宋_GB2312" w:cs="宋体"/>
          <w:color w:val="auto"/>
          <w:kern w:val="0"/>
          <w:sz w:val="32"/>
          <w:szCs w:val="32"/>
          <w:highlight w:val="none"/>
          <w:lang w:eastAsia="zh-CN"/>
        </w:rPr>
        <w:t>单位</w:t>
      </w:r>
      <w:r>
        <w:rPr>
          <w:rFonts w:hint="eastAsia" w:ascii="仿宋_GB2312" w:hAnsi="宋体" w:eastAsia="仿宋_GB2312" w:cs="宋体"/>
          <w:color w:val="auto"/>
          <w:kern w:val="0"/>
          <w:sz w:val="32"/>
          <w:szCs w:val="32"/>
          <w:highlight w:val="none"/>
        </w:rPr>
        <w:t>202</w:t>
      </w:r>
      <w:r>
        <w:rPr>
          <w:rFonts w:hint="eastAsia" w:ascii="仿宋_GB2312" w:hAnsi="宋体" w:eastAsia="仿宋_GB2312" w:cs="宋体"/>
          <w:color w:val="auto"/>
          <w:kern w:val="0"/>
          <w:sz w:val="32"/>
          <w:szCs w:val="32"/>
          <w:highlight w:val="none"/>
          <w:lang w:val="en-US" w:eastAsia="zh-CN"/>
        </w:rPr>
        <w:t>1</w:t>
      </w:r>
      <w:r>
        <w:rPr>
          <w:rFonts w:hint="eastAsia" w:ascii="仿宋_GB2312" w:hAnsi="宋体" w:eastAsia="仿宋_GB2312" w:cs="宋体"/>
          <w:color w:val="auto"/>
          <w:kern w:val="0"/>
          <w:sz w:val="32"/>
          <w:szCs w:val="32"/>
          <w:highlight w:val="none"/>
        </w:rPr>
        <w:t>年度</w:t>
      </w:r>
      <w:r>
        <w:rPr>
          <w:rFonts w:hint="eastAsia" w:ascii="仿宋_GB2312" w:hAnsi="宋体" w:eastAsia="仿宋_GB2312" w:cs="宋体"/>
          <w:color w:val="auto"/>
          <w:kern w:val="0"/>
          <w:sz w:val="32"/>
          <w:szCs w:val="32"/>
          <w:highlight w:val="none"/>
          <w:lang w:eastAsia="zh-CN"/>
        </w:rPr>
        <w:t>单位决算</w:t>
      </w:r>
      <w:r>
        <w:rPr>
          <w:rFonts w:hint="eastAsia" w:ascii="仿宋_GB2312" w:hAnsi="宋体" w:eastAsia="仿宋_GB2312" w:cs="宋体"/>
          <w:color w:val="auto"/>
          <w:kern w:val="0"/>
          <w:sz w:val="32"/>
          <w:szCs w:val="32"/>
          <w:highlight w:val="none"/>
        </w:rPr>
        <w:t>编制范围的单位共1个，具体是：</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宋体" w:eastAsia="仿宋_GB2312" w:cs="宋体"/>
          <w:color w:val="auto"/>
          <w:kern w:val="0"/>
          <w:sz w:val="32"/>
          <w:szCs w:val="32"/>
          <w:highlight w:val="none"/>
        </w:rPr>
        <w:t>1.许昌市职业与成人教育教学研究室</w:t>
      </w:r>
    </w:p>
    <w:p>
      <w:pPr>
        <w:widowControl/>
        <w:ind w:firstLine="640" w:firstLineChars="200"/>
        <w:jc w:val="left"/>
        <w:rPr>
          <w:rFonts w:hint="eastAsia" w:ascii="仿宋_GB2312" w:hAnsi="仿宋_GB2312" w:eastAsia="仿宋_GB2312" w:cs="仿宋_GB2312"/>
          <w:color w:val="auto"/>
          <w:kern w:val="0"/>
          <w:sz w:val="32"/>
          <w:szCs w:val="32"/>
          <w:highlight w:val="none"/>
        </w:rPr>
      </w:pPr>
    </w:p>
    <w:p>
      <w:pPr>
        <w:widowControl/>
        <w:jc w:val="left"/>
        <w:rPr>
          <w:rFonts w:hint="eastAsia" w:ascii="黑体" w:hAnsi="宋体" w:eastAsia="黑体" w:cs="宋体"/>
          <w:color w:val="auto"/>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第二部分  2021年度</w:t>
      </w:r>
      <w:r>
        <w:rPr>
          <w:rFonts w:hint="eastAsia" w:ascii="黑体" w:hAnsi="黑体" w:eastAsia="黑体" w:cs="黑体"/>
          <w:color w:val="auto"/>
          <w:sz w:val="48"/>
          <w:szCs w:val="48"/>
          <w:highlight w:val="none"/>
          <w:lang w:eastAsia="zh-CN"/>
        </w:rPr>
        <w:t>单位决算</w:t>
      </w:r>
      <w:r>
        <w:rPr>
          <w:rFonts w:hint="eastAsia" w:ascii="黑体" w:hAnsi="黑体" w:eastAsia="黑体" w:cs="黑体"/>
          <w:color w:val="auto"/>
          <w:sz w:val="48"/>
          <w:szCs w:val="48"/>
          <w:highlight w:val="none"/>
        </w:rPr>
        <w:t>表</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5"/>
        <w:tblW w:w="14121" w:type="dxa"/>
        <w:tblInd w:w="89" w:type="dxa"/>
        <w:tblLayout w:type="autofit"/>
        <w:tblCellMar>
          <w:top w:w="0" w:type="dxa"/>
          <w:left w:w="108" w:type="dxa"/>
          <w:bottom w:w="0" w:type="dxa"/>
          <w:right w:w="108" w:type="dxa"/>
        </w:tblCellMar>
      </w:tblPr>
      <w:tblGrid>
        <w:gridCol w:w="5030"/>
        <w:gridCol w:w="676"/>
        <w:gridCol w:w="987"/>
        <w:gridCol w:w="4719"/>
        <w:gridCol w:w="676"/>
        <w:gridCol w:w="1900"/>
        <w:gridCol w:w="133"/>
      </w:tblGrid>
      <w:tr>
        <w:tblPrEx>
          <w:tblCellMar>
            <w:top w:w="0" w:type="dxa"/>
            <w:left w:w="108" w:type="dxa"/>
            <w:bottom w:w="0" w:type="dxa"/>
            <w:right w:w="108" w:type="dxa"/>
          </w:tblCellMar>
        </w:tblPrEx>
        <w:trPr>
          <w:trHeight w:val="390" w:hRule="atLeast"/>
        </w:trPr>
        <w:tc>
          <w:tcPr>
            <w:tcW w:w="14121" w:type="dxa"/>
            <w:gridSpan w:val="7"/>
            <w:tcBorders>
              <w:top w:val="nil"/>
              <w:left w:val="nil"/>
              <w:bottom w:val="nil"/>
              <w:right w:val="nil"/>
            </w:tcBorders>
            <w:shd w:val="clear" w:color="000000" w:fill="FFFFFF"/>
            <w:noWrap/>
            <w:vAlign w:val="bottom"/>
          </w:tcPr>
          <w:p>
            <w:pPr>
              <w:jc w:val="center"/>
              <w:rPr>
                <w:rFonts w:ascii="宋体" w:hAnsi="宋体" w:cs="Arial"/>
                <w:color w:val="auto"/>
                <w:sz w:val="30"/>
                <w:szCs w:val="30"/>
                <w:highlight w:val="none"/>
              </w:rPr>
            </w:pPr>
            <w:r>
              <w:rPr>
                <w:rFonts w:hint="eastAsia" w:cs="Arial"/>
                <w:color w:val="auto"/>
                <w:sz w:val="30"/>
                <w:szCs w:val="30"/>
                <w:highlight w:val="none"/>
              </w:rPr>
              <w:t>收入支出决算总表</w:t>
            </w:r>
          </w:p>
        </w:tc>
      </w:tr>
      <w:tr>
        <w:tblPrEx>
          <w:tblCellMar>
            <w:top w:w="0" w:type="dxa"/>
            <w:left w:w="108" w:type="dxa"/>
            <w:bottom w:w="0" w:type="dxa"/>
            <w:right w:w="108" w:type="dxa"/>
          </w:tblCellMar>
        </w:tblPrEx>
        <w:trPr>
          <w:trHeight w:val="255" w:hRule="atLeast"/>
        </w:trPr>
        <w:tc>
          <w:tcPr>
            <w:tcW w:w="5030" w:type="dxa"/>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676" w:type="dxa"/>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987" w:type="dxa"/>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4719" w:type="dxa"/>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676" w:type="dxa"/>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2033" w:type="dxa"/>
            <w:gridSpan w:val="2"/>
            <w:tcBorders>
              <w:top w:val="nil"/>
              <w:left w:val="nil"/>
              <w:bottom w:val="nil"/>
              <w:right w:val="nil"/>
            </w:tcBorders>
            <w:shd w:val="clear" w:color="000000" w:fill="FFFFFF"/>
            <w:noWrap/>
            <w:vAlign w:val="bottom"/>
          </w:tcPr>
          <w:p>
            <w:pPr>
              <w:jc w:val="right"/>
              <w:rPr>
                <w:rFonts w:ascii="宋体" w:hAnsi="宋体" w:cs="Arial"/>
                <w:color w:val="auto"/>
                <w:sz w:val="20"/>
                <w:szCs w:val="20"/>
                <w:highlight w:val="none"/>
              </w:rPr>
            </w:pPr>
            <w:r>
              <w:rPr>
                <w:rFonts w:hint="eastAsia" w:cs="Arial"/>
                <w:color w:val="auto"/>
                <w:sz w:val="20"/>
                <w:szCs w:val="20"/>
                <w:highlight w:val="none"/>
              </w:rPr>
              <w:t>公开01表</w:t>
            </w:r>
          </w:p>
        </w:tc>
      </w:tr>
      <w:tr>
        <w:tblPrEx>
          <w:tblCellMar>
            <w:top w:w="0" w:type="dxa"/>
            <w:left w:w="108" w:type="dxa"/>
            <w:bottom w:w="0" w:type="dxa"/>
            <w:right w:w="108" w:type="dxa"/>
          </w:tblCellMar>
        </w:tblPrEx>
        <w:trPr>
          <w:trHeight w:val="255" w:hRule="atLeast"/>
        </w:trPr>
        <w:tc>
          <w:tcPr>
            <w:tcW w:w="5030" w:type="dxa"/>
            <w:tcBorders>
              <w:top w:val="nil"/>
              <w:left w:val="nil"/>
              <w:bottom w:val="nil"/>
              <w:right w:val="nil"/>
            </w:tcBorders>
            <w:shd w:val="clear" w:color="000000" w:fill="FFFFFF"/>
            <w:noWrap/>
            <w:vAlign w:val="bottom"/>
          </w:tcPr>
          <w:p>
            <w:pPr>
              <w:rPr>
                <w:rFonts w:ascii="宋体" w:hAnsi="宋体" w:cs="Arial"/>
                <w:color w:val="auto"/>
                <w:sz w:val="20"/>
                <w:szCs w:val="20"/>
                <w:highlight w:val="none"/>
              </w:rPr>
            </w:pPr>
            <w:r>
              <w:rPr>
                <w:rFonts w:hint="eastAsia" w:cs="Arial"/>
                <w:color w:val="auto"/>
                <w:sz w:val="20"/>
                <w:szCs w:val="20"/>
                <w:highlight w:val="none"/>
                <w:lang w:eastAsia="zh-CN"/>
              </w:rPr>
              <w:t>单位</w:t>
            </w:r>
            <w:r>
              <w:rPr>
                <w:rFonts w:hint="eastAsia" w:cs="Arial"/>
                <w:color w:val="auto"/>
                <w:sz w:val="20"/>
                <w:szCs w:val="20"/>
                <w:highlight w:val="none"/>
              </w:rPr>
              <w:t>：许昌市电化教育馆</w:t>
            </w:r>
          </w:p>
        </w:tc>
        <w:tc>
          <w:tcPr>
            <w:tcW w:w="676" w:type="dxa"/>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987" w:type="dxa"/>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4719" w:type="dxa"/>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676" w:type="dxa"/>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2033" w:type="dxa"/>
            <w:gridSpan w:val="2"/>
            <w:tcBorders>
              <w:top w:val="nil"/>
              <w:left w:val="nil"/>
              <w:bottom w:val="nil"/>
              <w:right w:val="nil"/>
            </w:tcBorders>
            <w:shd w:val="clear" w:color="000000" w:fill="FFFFFF"/>
            <w:noWrap/>
            <w:vAlign w:val="bottom"/>
          </w:tcPr>
          <w:p>
            <w:pPr>
              <w:jc w:val="right"/>
              <w:rPr>
                <w:rFonts w:ascii="宋体" w:hAnsi="宋体" w:cs="Arial"/>
                <w:color w:val="auto"/>
                <w:sz w:val="20"/>
                <w:szCs w:val="20"/>
                <w:highlight w:val="none"/>
              </w:rPr>
            </w:pPr>
            <w:r>
              <w:rPr>
                <w:rFonts w:hint="eastAsia" w:cs="Arial"/>
                <w:color w:val="auto"/>
                <w:sz w:val="20"/>
                <w:szCs w:val="20"/>
                <w:highlight w:val="none"/>
              </w:rPr>
              <w:t>金额单位：万元</w:t>
            </w:r>
          </w:p>
        </w:tc>
      </w:tr>
      <w:tr>
        <w:tblPrEx>
          <w:tblCellMar>
            <w:top w:w="0" w:type="dxa"/>
            <w:left w:w="108" w:type="dxa"/>
            <w:bottom w:w="0" w:type="dxa"/>
            <w:right w:w="108" w:type="dxa"/>
          </w:tblCellMar>
        </w:tblPrEx>
        <w:trPr>
          <w:trHeight w:val="308" w:hRule="atLeast"/>
        </w:trPr>
        <w:tc>
          <w:tcPr>
            <w:tcW w:w="6693"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收入</w:t>
            </w:r>
          </w:p>
        </w:tc>
        <w:tc>
          <w:tcPr>
            <w:tcW w:w="7428" w:type="dxa"/>
            <w:gridSpan w:val="4"/>
            <w:tcBorders>
              <w:top w:val="single" w:color="000000" w:sz="4" w:space="0"/>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支出</w:t>
            </w:r>
          </w:p>
        </w:tc>
      </w:tr>
      <w:tr>
        <w:tblPrEx>
          <w:tblCellMar>
            <w:top w:w="0" w:type="dxa"/>
            <w:left w:w="108" w:type="dxa"/>
            <w:bottom w:w="0" w:type="dxa"/>
            <w:right w:w="108" w:type="dxa"/>
          </w:tblCellMar>
        </w:tblPrEx>
        <w:trPr>
          <w:trHeight w:val="308" w:hRule="atLeast"/>
        </w:trPr>
        <w:tc>
          <w:tcPr>
            <w:tcW w:w="5030" w:type="dxa"/>
            <w:tcBorders>
              <w:top w:val="nil"/>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项目</w:t>
            </w:r>
          </w:p>
        </w:tc>
        <w:tc>
          <w:tcPr>
            <w:tcW w:w="676"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行次</w:t>
            </w:r>
          </w:p>
        </w:tc>
        <w:tc>
          <w:tcPr>
            <w:tcW w:w="987"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金额</w:t>
            </w:r>
          </w:p>
        </w:tc>
        <w:tc>
          <w:tcPr>
            <w:tcW w:w="4719"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项目</w:t>
            </w:r>
          </w:p>
        </w:tc>
        <w:tc>
          <w:tcPr>
            <w:tcW w:w="676"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行次</w:t>
            </w:r>
          </w:p>
        </w:tc>
        <w:tc>
          <w:tcPr>
            <w:tcW w:w="2033" w:type="dxa"/>
            <w:gridSpan w:val="2"/>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金额</w:t>
            </w:r>
          </w:p>
        </w:tc>
      </w:tr>
      <w:tr>
        <w:tblPrEx>
          <w:tblCellMar>
            <w:top w:w="0" w:type="dxa"/>
            <w:left w:w="108" w:type="dxa"/>
            <w:bottom w:w="0" w:type="dxa"/>
            <w:right w:w="108" w:type="dxa"/>
          </w:tblCellMar>
        </w:tblPrEx>
        <w:trPr>
          <w:trHeight w:val="308" w:hRule="atLeast"/>
        </w:trPr>
        <w:tc>
          <w:tcPr>
            <w:tcW w:w="5030" w:type="dxa"/>
            <w:tcBorders>
              <w:top w:val="nil"/>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栏次</w:t>
            </w:r>
          </w:p>
        </w:tc>
        <w:tc>
          <w:tcPr>
            <w:tcW w:w="676"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　</w:t>
            </w:r>
          </w:p>
        </w:tc>
        <w:tc>
          <w:tcPr>
            <w:tcW w:w="987"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1</w:t>
            </w:r>
          </w:p>
        </w:tc>
        <w:tc>
          <w:tcPr>
            <w:tcW w:w="4719"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栏次</w:t>
            </w:r>
          </w:p>
        </w:tc>
        <w:tc>
          <w:tcPr>
            <w:tcW w:w="676"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　</w:t>
            </w:r>
          </w:p>
        </w:tc>
        <w:tc>
          <w:tcPr>
            <w:tcW w:w="2033" w:type="dxa"/>
            <w:gridSpan w:val="2"/>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2</w:t>
            </w:r>
          </w:p>
        </w:tc>
      </w:tr>
      <w:tr>
        <w:tblPrEx>
          <w:tblCellMar>
            <w:top w:w="0" w:type="dxa"/>
            <w:left w:w="108" w:type="dxa"/>
            <w:bottom w:w="0" w:type="dxa"/>
            <w:right w:w="108" w:type="dxa"/>
          </w:tblCellMar>
        </w:tblPrEx>
        <w:trPr>
          <w:trHeight w:val="308" w:hRule="atLeast"/>
        </w:trPr>
        <w:tc>
          <w:tcPr>
            <w:tcW w:w="5030" w:type="dxa"/>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一、一般公共预算财政拨款收入</w:t>
            </w:r>
          </w:p>
        </w:tc>
        <w:tc>
          <w:tcPr>
            <w:tcW w:w="676"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1</w:t>
            </w:r>
          </w:p>
        </w:tc>
        <w:tc>
          <w:tcPr>
            <w:tcW w:w="98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167.48</w:t>
            </w:r>
          </w:p>
        </w:tc>
        <w:tc>
          <w:tcPr>
            <w:tcW w:w="4719" w:type="dxa"/>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一、一般公共服务支出</w:t>
            </w:r>
          </w:p>
        </w:tc>
        <w:tc>
          <w:tcPr>
            <w:tcW w:w="676"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32</w:t>
            </w:r>
          </w:p>
        </w:tc>
        <w:tc>
          <w:tcPr>
            <w:tcW w:w="2033"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0.84</w:t>
            </w:r>
          </w:p>
        </w:tc>
      </w:tr>
      <w:tr>
        <w:tblPrEx>
          <w:tblCellMar>
            <w:top w:w="0" w:type="dxa"/>
            <w:left w:w="108" w:type="dxa"/>
            <w:bottom w:w="0" w:type="dxa"/>
            <w:right w:w="108" w:type="dxa"/>
          </w:tblCellMar>
        </w:tblPrEx>
        <w:trPr>
          <w:trHeight w:val="308" w:hRule="atLeast"/>
        </w:trPr>
        <w:tc>
          <w:tcPr>
            <w:tcW w:w="5030" w:type="dxa"/>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二、政府性基金预算财政拨款收入</w:t>
            </w:r>
          </w:p>
        </w:tc>
        <w:tc>
          <w:tcPr>
            <w:tcW w:w="676"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2</w:t>
            </w:r>
          </w:p>
        </w:tc>
        <w:tc>
          <w:tcPr>
            <w:tcW w:w="98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719" w:type="dxa"/>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二、外交支出</w:t>
            </w:r>
          </w:p>
        </w:tc>
        <w:tc>
          <w:tcPr>
            <w:tcW w:w="676"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33</w:t>
            </w:r>
          </w:p>
        </w:tc>
        <w:tc>
          <w:tcPr>
            <w:tcW w:w="2033"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5030" w:type="dxa"/>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三、国有资本经营预算财政拨款收入</w:t>
            </w:r>
          </w:p>
        </w:tc>
        <w:tc>
          <w:tcPr>
            <w:tcW w:w="676"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3</w:t>
            </w:r>
          </w:p>
        </w:tc>
        <w:tc>
          <w:tcPr>
            <w:tcW w:w="98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719" w:type="dxa"/>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三、国防支出</w:t>
            </w:r>
          </w:p>
        </w:tc>
        <w:tc>
          <w:tcPr>
            <w:tcW w:w="676"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34</w:t>
            </w:r>
          </w:p>
        </w:tc>
        <w:tc>
          <w:tcPr>
            <w:tcW w:w="2033"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5030" w:type="dxa"/>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四、上级补助收入</w:t>
            </w:r>
          </w:p>
        </w:tc>
        <w:tc>
          <w:tcPr>
            <w:tcW w:w="676"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4</w:t>
            </w:r>
          </w:p>
        </w:tc>
        <w:tc>
          <w:tcPr>
            <w:tcW w:w="98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719" w:type="dxa"/>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四、公共安全支出</w:t>
            </w:r>
          </w:p>
        </w:tc>
        <w:tc>
          <w:tcPr>
            <w:tcW w:w="676"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35</w:t>
            </w:r>
          </w:p>
        </w:tc>
        <w:tc>
          <w:tcPr>
            <w:tcW w:w="2033"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5030" w:type="dxa"/>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五、事业收入</w:t>
            </w:r>
          </w:p>
        </w:tc>
        <w:tc>
          <w:tcPr>
            <w:tcW w:w="676"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5</w:t>
            </w:r>
          </w:p>
        </w:tc>
        <w:tc>
          <w:tcPr>
            <w:tcW w:w="98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719" w:type="dxa"/>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五、教育支出</w:t>
            </w:r>
          </w:p>
        </w:tc>
        <w:tc>
          <w:tcPr>
            <w:tcW w:w="676"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36</w:t>
            </w:r>
          </w:p>
        </w:tc>
        <w:tc>
          <w:tcPr>
            <w:tcW w:w="2033"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141.30</w:t>
            </w:r>
          </w:p>
        </w:tc>
      </w:tr>
      <w:tr>
        <w:tblPrEx>
          <w:tblCellMar>
            <w:top w:w="0" w:type="dxa"/>
            <w:left w:w="108" w:type="dxa"/>
            <w:bottom w:w="0" w:type="dxa"/>
            <w:right w:w="108" w:type="dxa"/>
          </w:tblCellMar>
        </w:tblPrEx>
        <w:trPr>
          <w:trHeight w:val="308" w:hRule="atLeast"/>
        </w:trPr>
        <w:tc>
          <w:tcPr>
            <w:tcW w:w="5030" w:type="dxa"/>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六、经营收入</w:t>
            </w:r>
          </w:p>
        </w:tc>
        <w:tc>
          <w:tcPr>
            <w:tcW w:w="676"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6</w:t>
            </w:r>
          </w:p>
        </w:tc>
        <w:tc>
          <w:tcPr>
            <w:tcW w:w="98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719" w:type="dxa"/>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六、科学技术支出</w:t>
            </w:r>
          </w:p>
        </w:tc>
        <w:tc>
          <w:tcPr>
            <w:tcW w:w="676"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37</w:t>
            </w:r>
          </w:p>
        </w:tc>
        <w:tc>
          <w:tcPr>
            <w:tcW w:w="2033"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5030" w:type="dxa"/>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七、附属单位上缴收入</w:t>
            </w:r>
          </w:p>
        </w:tc>
        <w:tc>
          <w:tcPr>
            <w:tcW w:w="676"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7</w:t>
            </w:r>
          </w:p>
        </w:tc>
        <w:tc>
          <w:tcPr>
            <w:tcW w:w="98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719" w:type="dxa"/>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七、文化旅游体育与传媒支出</w:t>
            </w:r>
          </w:p>
        </w:tc>
        <w:tc>
          <w:tcPr>
            <w:tcW w:w="676"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38</w:t>
            </w:r>
          </w:p>
        </w:tc>
        <w:tc>
          <w:tcPr>
            <w:tcW w:w="2033"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5030" w:type="dxa"/>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八、其他收入</w:t>
            </w:r>
          </w:p>
        </w:tc>
        <w:tc>
          <w:tcPr>
            <w:tcW w:w="676"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8</w:t>
            </w:r>
          </w:p>
        </w:tc>
        <w:tc>
          <w:tcPr>
            <w:tcW w:w="98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719" w:type="dxa"/>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八、社会保障和就业支出</w:t>
            </w:r>
          </w:p>
        </w:tc>
        <w:tc>
          <w:tcPr>
            <w:tcW w:w="676"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39</w:t>
            </w:r>
          </w:p>
        </w:tc>
        <w:tc>
          <w:tcPr>
            <w:tcW w:w="2033"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37.46</w:t>
            </w:r>
          </w:p>
        </w:tc>
      </w:tr>
      <w:tr>
        <w:tblPrEx>
          <w:tblCellMar>
            <w:top w:w="0" w:type="dxa"/>
            <w:left w:w="108" w:type="dxa"/>
            <w:bottom w:w="0" w:type="dxa"/>
            <w:right w:w="108" w:type="dxa"/>
          </w:tblCellMar>
        </w:tblPrEx>
        <w:trPr>
          <w:trHeight w:val="308" w:hRule="atLeast"/>
        </w:trPr>
        <w:tc>
          <w:tcPr>
            <w:tcW w:w="5030" w:type="dxa"/>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676"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9</w:t>
            </w:r>
          </w:p>
        </w:tc>
        <w:tc>
          <w:tcPr>
            <w:tcW w:w="98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719" w:type="dxa"/>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九、卫生健康支出</w:t>
            </w:r>
          </w:p>
        </w:tc>
        <w:tc>
          <w:tcPr>
            <w:tcW w:w="676"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40</w:t>
            </w:r>
          </w:p>
        </w:tc>
        <w:tc>
          <w:tcPr>
            <w:tcW w:w="2033"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5.75</w:t>
            </w:r>
          </w:p>
        </w:tc>
      </w:tr>
      <w:tr>
        <w:tblPrEx>
          <w:tblCellMar>
            <w:top w:w="0" w:type="dxa"/>
            <w:left w:w="108" w:type="dxa"/>
            <w:bottom w:w="0" w:type="dxa"/>
            <w:right w:w="108" w:type="dxa"/>
          </w:tblCellMar>
        </w:tblPrEx>
        <w:trPr>
          <w:trHeight w:val="308" w:hRule="atLeast"/>
        </w:trPr>
        <w:tc>
          <w:tcPr>
            <w:tcW w:w="5030" w:type="dxa"/>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676"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10</w:t>
            </w:r>
          </w:p>
        </w:tc>
        <w:tc>
          <w:tcPr>
            <w:tcW w:w="98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719" w:type="dxa"/>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十、节能环保支出</w:t>
            </w:r>
          </w:p>
        </w:tc>
        <w:tc>
          <w:tcPr>
            <w:tcW w:w="676"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41</w:t>
            </w:r>
          </w:p>
        </w:tc>
        <w:tc>
          <w:tcPr>
            <w:tcW w:w="2033"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5030" w:type="dxa"/>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676"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11</w:t>
            </w:r>
          </w:p>
        </w:tc>
        <w:tc>
          <w:tcPr>
            <w:tcW w:w="98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719" w:type="dxa"/>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十一、城乡社区支出</w:t>
            </w:r>
          </w:p>
        </w:tc>
        <w:tc>
          <w:tcPr>
            <w:tcW w:w="676"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42</w:t>
            </w:r>
          </w:p>
        </w:tc>
        <w:tc>
          <w:tcPr>
            <w:tcW w:w="2033"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5030" w:type="dxa"/>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676"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12</w:t>
            </w:r>
          </w:p>
        </w:tc>
        <w:tc>
          <w:tcPr>
            <w:tcW w:w="98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719" w:type="dxa"/>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十二、农林水支出</w:t>
            </w:r>
          </w:p>
        </w:tc>
        <w:tc>
          <w:tcPr>
            <w:tcW w:w="676"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43</w:t>
            </w:r>
          </w:p>
        </w:tc>
        <w:tc>
          <w:tcPr>
            <w:tcW w:w="2033"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5030" w:type="dxa"/>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676"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13</w:t>
            </w:r>
          </w:p>
        </w:tc>
        <w:tc>
          <w:tcPr>
            <w:tcW w:w="98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719" w:type="dxa"/>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十三、交通运输支出</w:t>
            </w:r>
          </w:p>
        </w:tc>
        <w:tc>
          <w:tcPr>
            <w:tcW w:w="676"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44</w:t>
            </w:r>
          </w:p>
        </w:tc>
        <w:tc>
          <w:tcPr>
            <w:tcW w:w="2033"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5030" w:type="dxa"/>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676"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14</w:t>
            </w:r>
          </w:p>
        </w:tc>
        <w:tc>
          <w:tcPr>
            <w:tcW w:w="98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719" w:type="dxa"/>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十四、资源勘探工业信息等支出</w:t>
            </w:r>
          </w:p>
        </w:tc>
        <w:tc>
          <w:tcPr>
            <w:tcW w:w="676"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45</w:t>
            </w:r>
          </w:p>
        </w:tc>
        <w:tc>
          <w:tcPr>
            <w:tcW w:w="2033"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5030" w:type="dxa"/>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676"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15</w:t>
            </w:r>
          </w:p>
        </w:tc>
        <w:tc>
          <w:tcPr>
            <w:tcW w:w="98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719" w:type="dxa"/>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十五、商业服务业等支出</w:t>
            </w:r>
          </w:p>
        </w:tc>
        <w:tc>
          <w:tcPr>
            <w:tcW w:w="676"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46</w:t>
            </w:r>
          </w:p>
        </w:tc>
        <w:tc>
          <w:tcPr>
            <w:tcW w:w="2033"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5030" w:type="dxa"/>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676"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16</w:t>
            </w:r>
          </w:p>
        </w:tc>
        <w:tc>
          <w:tcPr>
            <w:tcW w:w="98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719" w:type="dxa"/>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十六、金融支出</w:t>
            </w:r>
          </w:p>
        </w:tc>
        <w:tc>
          <w:tcPr>
            <w:tcW w:w="676"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47</w:t>
            </w:r>
          </w:p>
        </w:tc>
        <w:tc>
          <w:tcPr>
            <w:tcW w:w="2033"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5030" w:type="dxa"/>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676"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17</w:t>
            </w:r>
          </w:p>
        </w:tc>
        <w:tc>
          <w:tcPr>
            <w:tcW w:w="98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719" w:type="dxa"/>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十七、援助其他地区支出</w:t>
            </w:r>
          </w:p>
        </w:tc>
        <w:tc>
          <w:tcPr>
            <w:tcW w:w="676"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48</w:t>
            </w:r>
          </w:p>
        </w:tc>
        <w:tc>
          <w:tcPr>
            <w:tcW w:w="2033"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5030" w:type="dxa"/>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676"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18</w:t>
            </w:r>
          </w:p>
        </w:tc>
        <w:tc>
          <w:tcPr>
            <w:tcW w:w="98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719" w:type="dxa"/>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十八、自然资源海洋气象等支出</w:t>
            </w:r>
          </w:p>
        </w:tc>
        <w:tc>
          <w:tcPr>
            <w:tcW w:w="676"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49</w:t>
            </w:r>
          </w:p>
        </w:tc>
        <w:tc>
          <w:tcPr>
            <w:tcW w:w="2033"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5030" w:type="dxa"/>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676"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19</w:t>
            </w:r>
          </w:p>
        </w:tc>
        <w:tc>
          <w:tcPr>
            <w:tcW w:w="98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719" w:type="dxa"/>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十九、住房保障支出</w:t>
            </w:r>
          </w:p>
        </w:tc>
        <w:tc>
          <w:tcPr>
            <w:tcW w:w="676"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50</w:t>
            </w:r>
          </w:p>
        </w:tc>
        <w:tc>
          <w:tcPr>
            <w:tcW w:w="2033"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5030" w:type="dxa"/>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676"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20</w:t>
            </w:r>
          </w:p>
        </w:tc>
        <w:tc>
          <w:tcPr>
            <w:tcW w:w="98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719" w:type="dxa"/>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二十、粮油物资储备支出</w:t>
            </w:r>
          </w:p>
        </w:tc>
        <w:tc>
          <w:tcPr>
            <w:tcW w:w="676"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51</w:t>
            </w:r>
          </w:p>
        </w:tc>
        <w:tc>
          <w:tcPr>
            <w:tcW w:w="2033"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5030" w:type="dxa"/>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676"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21</w:t>
            </w:r>
          </w:p>
        </w:tc>
        <w:tc>
          <w:tcPr>
            <w:tcW w:w="98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719" w:type="dxa"/>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二十一、国有资本经营预算支出</w:t>
            </w:r>
          </w:p>
        </w:tc>
        <w:tc>
          <w:tcPr>
            <w:tcW w:w="676"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52</w:t>
            </w:r>
          </w:p>
        </w:tc>
        <w:tc>
          <w:tcPr>
            <w:tcW w:w="2033"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5030" w:type="dxa"/>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676"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22</w:t>
            </w:r>
          </w:p>
        </w:tc>
        <w:tc>
          <w:tcPr>
            <w:tcW w:w="98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719" w:type="dxa"/>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二十二、灾害防治及应急管理支出</w:t>
            </w:r>
          </w:p>
        </w:tc>
        <w:tc>
          <w:tcPr>
            <w:tcW w:w="676"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53</w:t>
            </w:r>
          </w:p>
        </w:tc>
        <w:tc>
          <w:tcPr>
            <w:tcW w:w="2033"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5030" w:type="dxa"/>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676"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23</w:t>
            </w:r>
          </w:p>
        </w:tc>
        <w:tc>
          <w:tcPr>
            <w:tcW w:w="98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719" w:type="dxa"/>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二十三、其他支出</w:t>
            </w:r>
          </w:p>
        </w:tc>
        <w:tc>
          <w:tcPr>
            <w:tcW w:w="676"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54</w:t>
            </w:r>
          </w:p>
        </w:tc>
        <w:tc>
          <w:tcPr>
            <w:tcW w:w="2033"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5030" w:type="dxa"/>
            <w:tcBorders>
              <w:top w:val="nil"/>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Arial"/>
                <w:b/>
                <w:bCs/>
                <w:color w:val="auto"/>
                <w:sz w:val="20"/>
                <w:szCs w:val="20"/>
                <w:highlight w:val="none"/>
              </w:rPr>
            </w:pPr>
            <w:r>
              <w:rPr>
                <w:rFonts w:hint="eastAsia" w:cs="Arial"/>
                <w:b/>
                <w:bCs/>
                <w:color w:val="auto"/>
                <w:sz w:val="20"/>
                <w:szCs w:val="20"/>
                <w:highlight w:val="none"/>
              </w:rPr>
              <w:t>　</w:t>
            </w:r>
          </w:p>
        </w:tc>
        <w:tc>
          <w:tcPr>
            <w:tcW w:w="676"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0"/>
                <w:szCs w:val="20"/>
                <w:highlight w:val="none"/>
              </w:rPr>
            </w:pPr>
            <w:r>
              <w:rPr>
                <w:rFonts w:hint="eastAsia" w:cs="Arial"/>
                <w:color w:val="auto"/>
                <w:sz w:val="20"/>
                <w:szCs w:val="20"/>
                <w:highlight w:val="none"/>
              </w:rPr>
              <w:t>24</w:t>
            </w:r>
          </w:p>
        </w:tc>
        <w:tc>
          <w:tcPr>
            <w:tcW w:w="98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0"/>
                <w:szCs w:val="20"/>
                <w:highlight w:val="none"/>
              </w:rPr>
            </w:pPr>
            <w:r>
              <w:rPr>
                <w:rFonts w:hint="eastAsia" w:cs="Arial"/>
                <w:color w:val="auto"/>
                <w:sz w:val="20"/>
                <w:szCs w:val="20"/>
                <w:highlight w:val="none"/>
              </w:rPr>
              <w:t>　</w:t>
            </w:r>
          </w:p>
        </w:tc>
        <w:tc>
          <w:tcPr>
            <w:tcW w:w="4719" w:type="dxa"/>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二十四、债务还本支出</w:t>
            </w:r>
          </w:p>
        </w:tc>
        <w:tc>
          <w:tcPr>
            <w:tcW w:w="676"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55</w:t>
            </w:r>
          </w:p>
        </w:tc>
        <w:tc>
          <w:tcPr>
            <w:tcW w:w="2033"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5030" w:type="dxa"/>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0"/>
                <w:szCs w:val="20"/>
                <w:highlight w:val="none"/>
              </w:rPr>
            </w:pPr>
            <w:r>
              <w:rPr>
                <w:rFonts w:hint="eastAsia" w:cs="Arial"/>
                <w:color w:val="auto"/>
                <w:sz w:val="20"/>
                <w:szCs w:val="20"/>
                <w:highlight w:val="none"/>
              </w:rPr>
              <w:t>　</w:t>
            </w:r>
          </w:p>
        </w:tc>
        <w:tc>
          <w:tcPr>
            <w:tcW w:w="676"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0"/>
                <w:szCs w:val="20"/>
                <w:highlight w:val="none"/>
              </w:rPr>
            </w:pPr>
            <w:r>
              <w:rPr>
                <w:rFonts w:hint="eastAsia" w:cs="Arial"/>
                <w:color w:val="auto"/>
                <w:sz w:val="20"/>
                <w:szCs w:val="20"/>
                <w:highlight w:val="none"/>
              </w:rPr>
              <w:t>25</w:t>
            </w:r>
          </w:p>
        </w:tc>
        <w:tc>
          <w:tcPr>
            <w:tcW w:w="98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0"/>
                <w:szCs w:val="20"/>
                <w:highlight w:val="none"/>
              </w:rPr>
            </w:pPr>
            <w:r>
              <w:rPr>
                <w:rFonts w:hint="eastAsia" w:cs="Arial"/>
                <w:color w:val="auto"/>
                <w:sz w:val="20"/>
                <w:szCs w:val="20"/>
                <w:highlight w:val="none"/>
              </w:rPr>
              <w:t>　</w:t>
            </w:r>
          </w:p>
        </w:tc>
        <w:tc>
          <w:tcPr>
            <w:tcW w:w="4719" w:type="dxa"/>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二十五、债务付息支出</w:t>
            </w:r>
          </w:p>
        </w:tc>
        <w:tc>
          <w:tcPr>
            <w:tcW w:w="676"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56</w:t>
            </w:r>
          </w:p>
        </w:tc>
        <w:tc>
          <w:tcPr>
            <w:tcW w:w="2033"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5030" w:type="dxa"/>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0"/>
                <w:szCs w:val="20"/>
                <w:highlight w:val="none"/>
              </w:rPr>
            </w:pPr>
            <w:r>
              <w:rPr>
                <w:rFonts w:hint="eastAsia" w:cs="Arial"/>
                <w:color w:val="auto"/>
                <w:sz w:val="20"/>
                <w:szCs w:val="20"/>
                <w:highlight w:val="none"/>
              </w:rPr>
              <w:t>　</w:t>
            </w:r>
          </w:p>
        </w:tc>
        <w:tc>
          <w:tcPr>
            <w:tcW w:w="676"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0"/>
                <w:szCs w:val="20"/>
                <w:highlight w:val="none"/>
              </w:rPr>
            </w:pPr>
            <w:r>
              <w:rPr>
                <w:rFonts w:hint="eastAsia" w:cs="Arial"/>
                <w:color w:val="auto"/>
                <w:sz w:val="20"/>
                <w:szCs w:val="20"/>
                <w:highlight w:val="none"/>
              </w:rPr>
              <w:t>26</w:t>
            </w:r>
          </w:p>
        </w:tc>
        <w:tc>
          <w:tcPr>
            <w:tcW w:w="98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0"/>
                <w:szCs w:val="20"/>
                <w:highlight w:val="none"/>
              </w:rPr>
            </w:pPr>
            <w:r>
              <w:rPr>
                <w:rFonts w:hint="eastAsia" w:cs="Arial"/>
                <w:color w:val="auto"/>
                <w:sz w:val="20"/>
                <w:szCs w:val="20"/>
                <w:highlight w:val="none"/>
              </w:rPr>
              <w:t>　</w:t>
            </w:r>
          </w:p>
        </w:tc>
        <w:tc>
          <w:tcPr>
            <w:tcW w:w="4719" w:type="dxa"/>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二十六、抗疫特别国债安排的支出</w:t>
            </w:r>
          </w:p>
        </w:tc>
        <w:tc>
          <w:tcPr>
            <w:tcW w:w="676"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57</w:t>
            </w:r>
          </w:p>
        </w:tc>
        <w:tc>
          <w:tcPr>
            <w:tcW w:w="2033"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5030" w:type="dxa"/>
            <w:tcBorders>
              <w:top w:val="nil"/>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Arial"/>
                <w:b/>
                <w:bCs/>
                <w:color w:val="auto"/>
                <w:sz w:val="22"/>
                <w:highlight w:val="none"/>
              </w:rPr>
            </w:pPr>
            <w:r>
              <w:rPr>
                <w:rFonts w:hint="eastAsia" w:cs="Arial"/>
                <w:b/>
                <w:bCs/>
                <w:color w:val="auto"/>
                <w:sz w:val="22"/>
                <w:highlight w:val="none"/>
              </w:rPr>
              <w:t>本年收入合计</w:t>
            </w:r>
          </w:p>
        </w:tc>
        <w:tc>
          <w:tcPr>
            <w:tcW w:w="676"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27</w:t>
            </w:r>
          </w:p>
        </w:tc>
        <w:tc>
          <w:tcPr>
            <w:tcW w:w="98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167.48</w:t>
            </w:r>
          </w:p>
        </w:tc>
        <w:tc>
          <w:tcPr>
            <w:tcW w:w="4719"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b/>
                <w:bCs/>
                <w:color w:val="auto"/>
                <w:sz w:val="22"/>
                <w:highlight w:val="none"/>
              </w:rPr>
            </w:pPr>
            <w:r>
              <w:rPr>
                <w:rFonts w:hint="eastAsia" w:cs="Arial"/>
                <w:b/>
                <w:bCs/>
                <w:color w:val="auto"/>
                <w:sz w:val="22"/>
                <w:highlight w:val="none"/>
              </w:rPr>
              <w:t>本年支出合计</w:t>
            </w:r>
          </w:p>
        </w:tc>
        <w:tc>
          <w:tcPr>
            <w:tcW w:w="676"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58</w:t>
            </w:r>
          </w:p>
        </w:tc>
        <w:tc>
          <w:tcPr>
            <w:tcW w:w="2033"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185.34</w:t>
            </w:r>
          </w:p>
        </w:tc>
      </w:tr>
      <w:tr>
        <w:tblPrEx>
          <w:tblCellMar>
            <w:top w:w="0" w:type="dxa"/>
            <w:left w:w="108" w:type="dxa"/>
            <w:bottom w:w="0" w:type="dxa"/>
            <w:right w:w="108" w:type="dxa"/>
          </w:tblCellMar>
        </w:tblPrEx>
        <w:trPr>
          <w:trHeight w:val="308" w:hRule="atLeast"/>
        </w:trPr>
        <w:tc>
          <w:tcPr>
            <w:tcW w:w="5030" w:type="dxa"/>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使用非财政拨款结余</w:t>
            </w:r>
          </w:p>
        </w:tc>
        <w:tc>
          <w:tcPr>
            <w:tcW w:w="676"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28</w:t>
            </w:r>
          </w:p>
        </w:tc>
        <w:tc>
          <w:tcPr>
            <w:tcW w:w="98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719" w:type="dxa"/>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结余分配</w:t>
            </w:r>
          </w:p>
        </w:tc>
        <w:tc>
          <w:tcPr>
            <w:tcW w:w="676"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59</w:t>
            </w:r>
          </w:p>
        </w:tc>
        <w:tc>
          <w:tcPr>
            <w:tcW w:w="2033"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5030" w:type="dxa"/>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年初结转和结余</w:t>
            </w:r>
          </w:p>
        </w:tc>
        <w:tc>
          <w:tcPr>
            <w:tcW w:w="676"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29</w:t>
            </w:r>
          </w:p>
        </w:tc>
        <w:tc>
          <w:tcPr>
            <w:tcW w:w="98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18.20</w:t>
            </w:r>
          </w:p>
        </w:tc>
        <w:tc>
          <w:tcPr>
            <w:tcW w:w="4719" w:type="dxa"/>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年末结转和结余</w:t>
            </w:r>
          </w:p>
        </w:tc>
        <w:tc>
          <w:tcPr>
            <w:tcW w:w="676"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60</w:t>
            </w:r>
          </w:p>
        </w:tc>
        <w:tc>
          <w:tcPr>
            <w:tcW w:w="2033"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0.33</w:t>
            </w:r>
          </w:p>
        </w:tc>
      </w:tr>
      <w:tr>
        <w:tblPrEx>
          <w:tblCellMar>
            <w:top w:w="0" w:type="dxa"/>
            <w:left w:w="108" w:type="dxa"/>
            <w:bottom w:w="0" w:type="dxa"/>
            <w:right w:w="108" w:type="dxa"/>
          </w:tblCellMar>
        </w:tblPrEx>
        <w:trPr>
          <w:trHeight w:val="308" w:hRule="atLeast"/>
        </w:trPr>
        <w:tc>
          <w:tcPr>
            <w:tcW w:w="5030" w:type="dxa"/>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676"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30</w:t>
            </w:r>
          </w:p>
        </w:tc>
        <w:tc>
          <w:tcPr>
            <w:tcW w:w="98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719" w:type="dxa"/>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676"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61</w:t>
            </w:r>
          </w:p>
        </w:tc>
        <w:tc>
          <w:tcPr>
            <w:tcW w:w="2033" w:type="dxa"/>
            <w:gridSpan w:val="2"/>
            <w:tcBorders>
              <w:top w:val="nil"/>
              <w:left w:val="nil"/>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5030" w:type="dxa"/>
            <w:tcBorders>
              <w:top w:val="nil"/>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Arial"/>
                <w:b/>
                <w:bCs/>
                <w:color w:val="auto"/>
                <w:sz w:val="22"/>
                <w:highlight w:val="none"/>
              </w:rPr>
            </w:pPr>
            <w:r>
              <w:rPr>
                <w:rFonts w:hint="eastAsia" w:cs="Arial"/>
                <w:b/>
                <w:bCs/>
                <w:color w:val="auto"/>
                <w:sz w:val="22"/>
                <w:highlight w:val="none"/>
              </w:rPr>
              <w:t>总计</w:t>
            </w:r>
          </w:p>
        </w:tc>
        <w:tc>
          <w:tcPr>
            <w:tcW w:w="676" w:type="dxa"/>
            <w:tcBorders>
              <w:top w:val="nil"/>
              <w:left w:val="nil"/>
              <w:bottom w:val="single" w:color="000000" w:sz="8"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31</w:t>
            </w:r>
          </w:p>
        </w:tc>
        <w:tc>
          <w:tcPr>
            <w:tcW w:w="98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185.68</w:t>
            </w:r>
          </w:p>
        </w:tc>
        <w:tc>
          <w:tcPr>
            <w:tcW w:w="4719"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b/>
                <w:bCs/>
                <w:color w:val="auto"/>
                <w:sz w:val="22"/>
                <w:highlight w:val="none"/>
              </w:rPr>
            </w:pPr>
            <w:r>
              <w:rPr>
                <w:rFonts w:hint="eastAsia" w:cs="Arial"/>
                <w:b/>
                <w:bCs/>
                <w:color w:val="auto"/>
                <w:sz w:val="22"/>
                <w:highlight w:val="none"/>
              </w:rPr>
              <w:t>总计</w:t>
            </w:r>
          </w:p>
        </w:tc>
        <w:tc>
          <w:tcPr>
            <w:tcW w:w="676"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62</w:t>
            </w:r>
          </w:p>
        </w:tc>
        <w:tc>
          <w:tcPr>
            <w:tcW w:w="2033"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185.68</w:t>
            </w:r>
          </w:p>
        </w:tc>
      </w:tr>
      <w:tr>
        <w:tblPrEx>
          <w:tblCellMar>
            <w:top w:w="0" w:type="dxa"/>
            <w:left w:w="108" w:type="dxa"/>
            <w:bottom w:w="0" w:type="dxa"/>
            <w:right w:w="108" w:type="dxa"/>
          </w:tblCellMar>
        </w:tblPrEx>
        <w:trPr>
          <w:trHeight w:val="308" w:hRule="atLeast"/>
        </w:trPr>
        <w:tc>
          <w:tcPr>
            <w:tcW w:w="14121" w:type="dxa"/>
            <w:gridSpan w:val="7"/>
            <w:tcBorders>
              <w:top w:val="nil"/>
              <w:left w:val="nil"/>
              <w:bottom w:val="nil"/>
              <w:right w:val="nil"/>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注：本表反映</w:t>
            </w:r>
            <w:r>
              <w:rPr>
                <w:rFonts w:hint="eastAsia" w:cs="Arial"/>
                <w:color w:val="auto"/>
                <w:sz w:val="22"/>
                <w:highlight w:val="none"/>
                <w:lang w:eastAsia="zh-CN"/>
              </w:rPr>
              <w:t>单位</w:t>
            </w:r>
            <w:r>
              <w:rPr>
                <w:rFonts w:hint="eastAsia" w:cs="Arial"/>
                <w:color w:val="auto"/>
                <w:sz w:val="22"/>
                <w:highlight w:val="none"/>
              </w:rPr>
              <w:t>本年度的总收支和年末结转结余情况。本表金额转换为万元时，因四舍五入可能存在尾差。</w:t>
            </w:r>
          </w:p>
        </w:tc>
      </w:tr>
      <w:tr>
        <w:tblPrEx>
          <w:tblCellMar>
            <w:top w:w="0" w:type="dxa"/>
            <w:left w:w="0" w:type="dxa"/>
            <w:bottom w:w="0" w:type="dxa"/>
            <w:right w:w="0" w:type="dxa"/>
          </w:tblCellMar>
        </w:tblPrEx>
        <w:trPr>
          <w:gridAfter w:val="1"/>
          <w:wAfter w:w="133" w:type="dxa"/>
          <w:trHeight w:val="165" w:hRule="atLeast"/>
        </w:trPr>
        <w:tc>
          <w:tcPr>
            <w:tcW w:w="13988"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89" w:type="dxa"/>
        <w:tblLayout w:type="autofit"/>
        <w:tblCellMar>
          <w:top w:w="0" w:type="dxa"/>
          <w:left w:w="108" w:type="dxa"/>
          <w:bottom w:w="0" w:type="dxa"/>
          <w:right w:w="108" w:type="dxa"/>
        </w:tblCellMar>
      </w:tblPr>
      <w:tblGrid>
        <w:gridCol w:w="543"/>
        <w:gridCol w:w="543"/>
        <w:gridCol w:w="543"/>
        <w:gridCol w:w="3956"/>
        <w:gridCol w:w="1285"/>
        <w:gridCol w:w="1285"/>
        <w:gridCol w:w="1150"/>
        <w:gridCol w:w="864"/>
        <w:gridCol w:w="864"/>
        <w:gridCol w:w="1435"/>
        <w:gridCol w:w="1617"/>
      </w:tblGrid>
      <w:tr>
        <w:tblPrEx>
          <w:tblCellMar>
            <w:top w:w="0" w:type="dxa"/>
            <w:left w:w="108" w:type="dxa"/>
            <w:bottom w:w="0" w:type="dxa"/>
            <w:right w:w="108" w:type="dxa"/>
          </w:tblCellMar>
        </w:tblPrEx>
        <w:trPr>
          <w:trHeight w:val="390" w:hRule="atLeast"/>
        </w:trPr>
        <w:tc>
          <w:tcPr>
            <w:tcW w:w="0" w:type="auto"/>
            <w:gridSpan w:val="11"/>
            <w:tcBorders>
              <w:top w:val="nil"/>
              <w:left w:val="nil"/>
              <w:bottom w:val="nil"/>
              <w:right w:val="nil"/>
            </w:tcBorders>
            <w:shd w:val="clear" w:color="000000" w:fill="FFFFFF"/>
            <w:noWrap/>
            <w:vAlign w:val="bottom"/>
          </w:tcPr>
          <w:p>
            <w:pPr>
              <w:jc w:val="center"/>
              <w:rPr>
                <w:rFonts w:ascii="宋体" w:hAnsi="宋体" w:cs="Arial"/>
                <w:color w:val="auto"/>
                <w:sz w:val="30"/>
                <w:szCs w:val="30"/>
                <w:highlight w:val="none"/>
              </w:rPr>
            </w:pPr>
            <w:r>
              <w:rPr>
                <w:rFonts w:hint="eastAsia" w:cs="Arial"/>
                <w:color w:val="auto"/>
                <w:sz w:val="30"/>
                <w:szCs w:val="30"/>
                <w:highlight w:val="none"/>
              </w:rPr>
              <w:t>收入决算表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0" w:type="auto"/>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0" w:type="auto"/>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0" w:type="auto"/>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0" w:type="auto"/>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0" w:type="auto"/>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0" w:type="auto"/>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0" w:type="auto"/>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0" w:type="auto"/>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0" w:type="auto"/>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0" w:type="auto"/>
            <w:tcBorders>
              <w:top w:val="nil"/>
              <w:left w:val="nil"/>
              <w:bottom w:val="nil"/>
              <w:right w:val="nil"/>
            </w:tcBorders>
            <w:shd w:val="clear" w:color="000000" w:fill="FFFFFF"/>
            <w:noWrap/>
            <w:vAlign w:val="bottom"/>
          </w:tcPr>
          <w:p>
            <w:pPr>
              <w:jc w:val="right"/>
              <w:rPr>
                <w:rFonts w:ascii="宋体" w:hAnsi="宋体" w:cs="Arial"/>
                <w:color w:val="auto"/>
                <w:sz w:val="20"/>
                <w:szCs w:val="20"/>
                <w:highlight w:val="none"/>
              </w:rPr>
            </w:pPr>
            <w:r>
              <w:rPr>
                <w:rFonts w:hint="eastAsia" w:cs="Arial"/>
                <w:color w:val="auto"/>
                <w:sz w:val="20"/>
                <w:szCs w:val="20"/>
                <w:highlight w:val="none"/>
              </w:rPr>
              <w:t>公开02表</w:t>
            </w:r>
          </w:p>
        </w:tc>
      </w:tr>
      <w:tr>
        <w:tblPrEx>
          <w:tblCellMar>
            <w:top w:w="0" w:type="dxa"/>
            <w:left w:w="108" w:type="dxa"/>
            <w:bottom w:w="0" w:type="dxa"/>
            <w:right w:w="108" w:type="dxa"/>
          </w:tblCellMar>
        </w:tblPrEx>
        <w:trPr>
          <w:trHeight w:val="255" w:hRule="atLeast"/>
        </w:trPr>
        <w:tc>
          <w:tcPr>
            <w:tcW w:w="0" w:type="auto"/>
            <w:gridSpan w:val="4"/>
            <w:tcBorders>
              <w:top w:val="nil"/>
              <w:left w:val="nil"/>
              <w:bottom w:val="nil"/>
              <w:right w:val="nil"/>
            </w:tcBorders>
            <w:shd w:val="clear" w:color="000000" w:fill="FFFFFF"/>
            <w:noWrap/>
            <w:vAlign w:val="bottom"/>
          </w:tcPr>
          <w:p>
            <w:pPr>
              <w:rPr>
                <w:rFonts w:ascii="宋体" w:hAnsi="宋体" w:cs="Arial"/>
                <w:color w:val="auto"/>
                <w:sz w:val="20"/>
                <w:szCs w:val="20"/>
                <w:highlight w:val="none"/>
              </w:rPr>
            </w:pPr>
            <w:r>
              <w:rPr>
                <w:rFonts w:hint="eastAsia" w:cs="Arial"/>
                <w:color w:val="auto"/>
                <w:sz w:val="20"/>
                <w:szCs w:val="20"/>
                <w:highlight w:val="none"/>
                <w:lang w:eastAsia="zh-CN"/>
              </w:rPr>
              <w:t>单位</w:t>
            </w:r>
            <w:r>
              <w:rPr>
                <w:rFonts w:hint="eastAsia" w:cs="Arial"/>
                <w:color w:val="auto"/>
                <w:sz w:val="20"/>
                <w:szCs w:val="20"/>
                <w:highlight w:val="none"/>
              </w:rPr>
              <w:t>：许昌市电化教育馆</w:t>
            </w:r>
          </w:p>
        </w:tc>
        <w:tc>
          <w:tcPr>
            <w:tcW w:w="0" w:type="auto"/>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0" w:type="auto"/>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0" w:type="auto"/>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0" w:type="auto"/>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0" w:type="auto"/>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0" w:type="auto"/>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0" w:type="auto"/>
            <w:tcBorders>
              <w:top w:val="nil"/>
              <w:left w:val="nil"/>
              <w:bottom w:val="nil"/>
              <w:right w:val="nil"/>
            </w:tcBorders>
            <w:shd w:val="clear" w:color="000000" w:fill="FFFFFF"/>
            <w:noWrap/>
            <w:vAlign w:val="bottom"/>
          </w:tcPr>
          <w:p>
            <w:pPr>
              <w:jc w:val="right"/>
              <w:rPr>
                <w:rFonts w:ascii="宋体" w:hAnsi="宋体" w:cs="Arial"/>
                <w:color w:val="auto"/>
                <w:sz w:val="20"/>
                <w:szCs w:val="20"/>
                <w:highlight w:val="none"/>
              </w:rPr>
            </w:pPr>
            <w:r>
              <w:rPr>
                <w:rFonts w:hint="eastAsia" w:cs="Arial"/>
                <w:color w:val="auto"/>
                <w:sz w:val="20"/>
                <w:szCs w:val="20"/>
                <w:highlight w:val="none"/>
              </w:rPr>
              <w:t>金额单位：万元</w:t>
            </w:r>
          </w:p>
        </w:tc>
      </w:tr>
      <w:tr>
        <w:tblPrEx>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项目</w:t>
            </w:r>
          </w:p>
        </w:tc>
        <w:tc>
          <w:tcPr>
            <w:tcW w:w="0" w:type="auto"/>
            <w:vMerge w:val="restart"/>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本年收入合计</w:t>
            </w:r>
          </w:p>
        </w:tc>
        <w:tc>
          <w:tcPr>
            <w:tcW w:w="0" w:type="auto"/>
            <w:vMerge w:val="restart"/>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财政拨款收入</w:t>
            </w:r>
          </w:p>
        </w:tc>
        <w:tc>
          <w:tcPr>
            <w:tcW w:w="0" w:type="auto"/>
            <w:vMerge w:val="restart"/>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上级补助收入</w:t>
            </w:r>
          </w:p>
        </w:tc>
        <w:tc>
          <w:tcPr>
            <w:tcW w:w="0" w:type="auto"/>
            <w:vMerge w:val="restart"/>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事业收入</w:t>
            </w:r>
          </w:p>
        </w:tc>
        <w:tc>
          <w:tcPr>
            <w:tcW w:w="0" w:type="auto"/>
            <w:vMerge w:val="restart"/>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经营收入</w:t>
            </w:r>
          </w:p>
        </w:tc>
        <w:tc>
          <w:tcPr>
            <w:tcW w:w="0" w:type="auto"/>
            <w:vMerge w:val="restart"/>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附属单位上缴收入</w:t>
            </w:r>
          </w:p>
        </w:tc>
        <w:tc>
          <w:tcPr>
            <w:tcW w:w="0" w:type="auto"/>
            <w:vMerge w:val="restart"/>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其他收入</w:t>
            </w:r>
          </w:p>
        </w:tc>
      </w:tr>
      <w:tr>
        <w:tblPrEx>
          <w:tblCellMar>
            <w:top w:w="0" w:type="dxa"/>
            <w:left w:w="108" w:type="dxa"/>
            <w:bottom w:w="0" w:type="dxa"/>
            <w:right w:w="108" w:type="dxa"/>
          </w:tblCellMar>
        </w:tblPrEx>
        <w:trPr>
          <w:trHeight w:val="312" w:hRule="atLeast"/>
        </w:trPr>
        <w:tc>
          <w:tcPr>
            <w:tcW w:w="0" w:type="auto"/>
            <w:gridSpan w:val="3"/>
            <w:vMerge w:val="restart"/>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功能分类科目编码</w:t>
            </w:r>
          </w:p>
        </w:tc>
        <w:tc>
          <w:tcPr>
            <w:tcW w:w="0" w:type="auto"/>
            <w:vMerge w:val="restar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科目名称</w:t>
            </w:r>
          </w:p>
        </w:tc>
        <w:tc>
          <w:tcPr>
            <w:tcW w:w="0" w:type="auto"/>
            <w:vMerge w:val="continue"/>
            <w:tcBorders>
              <w:top w:val="single" w:color="000000" w:sz="4" w:space="0"/>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0" w:type="auto"/>
            <w:vMerge w:val="continue"/>
            <w:tcBorders>
              <w:top w:val="single" w:color="000000" w:sz="4" w:space="0"/>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0" w:type="auto"/>
            <w:vMerge w:val="continue"/>
            <w:tcBorders>
              <w:top w:val="single" w:color="000000" w:sz="4" w:space="0"/>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0" w:type="auto"/>
            <w:vMerge w:val="continue"/>
            <w:tcBorders>
              <w:top w:val="single" w:color="000000" w:sz="4" w:space="0"/>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0" w:type="auto"/>
            <w:vMerge w:val="continue"/>
            <w:tcBorders>
              <w:top w:val="single" w:color="000000" w:sz="4" w:space="0"/>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0" w:type="auto"/>
            <w:vMerge w:val="continue"/>
            <w:tcBorders>
              <w:top w:val="single" w:color="000000" w:sz="4" w:space="0"/>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0" w:type="auto"/>
            <w:vMerge w:val="continue"/>
            <w:tcBorders>
              <w:top w:val="single" w:color="000000" w:sz="4" w:space="0"/>
              <w:left w:val="nil"/>
              <w:bottom w:val="single" w:color="000000" w:sz="4" w:space="0"/>
              <w:right w:val="single" w:color="000000" w:sz="4" w:space="0"/>
            </w:tcBorders>
            <w:noWrap w:val="0"/>
            <w:vAlign w:val="center"/>
          </w:tcPr>
          <w:p>
            <w:pPr>
              <w:rPr>
                <w:rFonts w:ascii="宋体" w:hAnsi="宋体" w:cs="Arial"/>
                <w:color w:val="auto"/>
                <w:sz w:val="22"/>
                <w:highlight w:val="none"/>
              </w:rPr>
            </w:pPr>
          </w:p>
        </w:tc>
      </w:tr>
      <w:tr>
        <w:tblPrEx>
          <w:tblCellMar>
            <w:top w:w="0" w:type="dxa"/>
            <w:left w:w="108" w:type="dxa"/>
            <w:bottom w:w="0" w:type="dxa"/>
            <w:right w:w="108" w:type="dxa"/>
          </w:tblCellMar>
        </w:tblPrEx>
        <w:trPr>
          <w:trHeight w:val="312" w:hRule="atLeast"/>
        </w:trPr>
        <w:tc>
          <w:tcPr>
            <w:tcW w:w="0" w:type="auto"/>
            <w:gridSpan w:val="3"/>
            <w:vMerge w:val="continue"/>
            <w:tcBorders>
              <w:top w:val="nil"/>
              <w:left w:val="single" w:color="000000" w:sz="4" w:space="0"/>
              <w:bottom w:val="single" w:color="000000" w:sz="4" w:space="0"/>
              <w:right w:val="single" w:color="000000" w:sz="4" w:space="0"/>
            </w:tcBorders>
            <w:noWrap w:val="0"/>
            <w:vAlign w:val="center"/>
          </w:tcPr>
          <w:p>
            <w:pPr>
              <w:rPr>
                <w:rFonts w:ascii="宋体" w:hAnsi="宋体" w:cs="Arial"/>
                <w:color w:val="auto"/>
                <w:sz w:val="22"/>
                <w:highlight w:val="none"/>
              </w:rPr>
            </w:pPr>
          </w:p>
        </w:tc>
        <w:tc>
          <w:tcPr>
            <w:tcW w:w="0" w:type="auto"/>
            <w:vMerge w:val="continue"/>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0" w:type="auto"/>
            <w:vMerge w:val="continue"/>
            <w:tcBorders>
              <w:top w:val="single" w:color="000000" w:sz="4" w:space="0"/>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0" w:type="auto"/>
            <w:vMerge w:val="continue"/>
            <w:tcBorders>
              <w:top w:val="single" w:color="000000" w:sz="4" w:space="0"/>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0" w:type="auto"/>
            <w:vMerge w:val="continue"/>
            <w:tcBorders>
              <w:top w:val="single" w:color="000000" w:sz="4" w:space="0"/>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0" w:type="auto"/>
            <w:vMerge w:val="continue"/>
            <w:tcBorders>
              <w:top w:val="single" w:color="000000" w:sz="4" w:space="0"/>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0" w:type="auto"/>
            <w:vMerge w:val="continue"/>
            <w:tcBorders>
              <w:top w:val="single" w:color="000000" w:sz="4" w:space="0"/>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0" w:type="auto"/>
            <w:vMerge w:val="continue"/>
            <w:tcBorders>
              <w:top w:val="single" w:color="000000" w:sz="4" w:space="0"/>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0" w:type="auto"/>
            <w:vMerge w:val="continue"/>
            <w:tcBorders>
              <w:top w:val="single" w:color="000000" w:sz="4" w:space="0"/>
              <w:left w:val="nil"/>
              <w:bottom w:val="single" w:color="000000" w:sz="4" w:space="0"/>
              <w:right w:val="single" w:color="000000" w:sz="4" w:space="0"/>
            </w:tcBorders>
            <w:noWrap w:val="0"/>
            <w:vAlign w:val="center"/>
          </w:tcPr>
          <w:p>
            <w:pPr>
              <w:rPr>
                <w:rFonts w:ascii="宋体" w:hAnsi="宋体" w:cs="Arial"/>
                <w:color w:val="auto"/>
                <w:sz w:val="22"/>
                <w:highlight w:val="none"/>
              </w:rPr>
            </w:pPr>
          </w:p>
        </w:tc>
      </w:tr>
      <w:tr>
        <w:tblPrEx>
          <w:tblCellMar>
            <w:top w:w="0" w:type="dxa"/>
            <w:left w:w="108" w:type="dxa"/>
            <w:bottom w:w="0" w:type="dxa"/>
            <w:right w:w="108" w:type="dxa"/>
          </w:tblCellMar>
        </w:tblPrEx>
        <w:trPr>
          <w:trHeight w:val="312" w:hRule="atLeast"/>
        </w:trPr>
        <w:tc>
          <w:tcPr>
            <w:tcW w:w="0" w:type="auto"/>
            <w:gridSpan w:val="3"/>
            <w:vMerge w:val="continue"/>
            <w:tcBorders>
              <w:top w:val="nil"/>
              <w:left w:val="single" w:color="000000" w:sz="4" w:space="0"/>
              <w:bottom w:val="single" w:color="000000" w:sz="4" w:space="0"/>
              <w:right w:val="single" w:color="000000" w:sz="4" w:space="0"/>
            </w:tcBorders>
            <w:noWrap w:val="0"/>
            <w:vAlign w:val="center"/>
          </w:tcPr>
          <w:p>
            <w:pPr>
              <w:rPr>
                <w:rFonts w:ascii="宋体" w:hAnsi="宋体" w:cs="Arial"/>
                <w:color w:val="auto"/>
                <w:sz w:val="22"/>
                <w:highlight w:val="none"/>
              </w:rPr>
            </w:pPr>
          </w:p>
        </w:tc>
        <w:tc>
          <w:tcPr>
            <w:tcW w:w="0" w:type="auto"/>
            <w:vMerge w:val="continue"/>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0" w:type="auto"/>
            <w:vMerge w:val="continue"/>
            <w:tcBorders>
              <w:top w:val="single" w:color="000000" w:sz="4" w:space="0"/>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0" w:type="auto"/>
            <w:vMerge w:val="continue"/>
            <w:tcBorders>
              <w:top w:val="single" w:color="000000" w:sz="4" w:space="0"/>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0" w:type="auto"/>
            <w:vMerge w:val="continue"/>
            <w:tcBorders>
              <w:top w:val="single" w:color="000000" w:sz="4" w:space="0"/>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0" w:type="auto"/>
            <w:vMerge w:val="continue"/>
            <w:tcBorders>
              <w:top w:val="single" w:color="000000" w:sz="4" w:space="0"/>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0" w:type="auto"/>
            <w:vMerge w:val="continue"/>
            <w:tcBorders>
              <w:top w:val="single" w:color="000000" w:sz="4" w:space="0"/>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0" w:type="auto"/>
            <w:vMerge w:val="continue"/>
            <w:tcBorders>
              <w:top w:val="single" w:color="000000" w:sz="4" w:space="0"/>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0" w:type="auto"/>
            <w:vMerge w:val="continue"/>
            <w:tcBorders>
              <w:top w:val="single" w:color="000000" w:sz="4" w:space="0"/>
              <w:left w:val="nil"/>
              <w:bottom w:val="single" w:color="000000" w:sz="4" w:space="0"/>
              <w:right w:val="single" w:color="000000" w:sz="4" w:space="0"/>
            </w:tcBorders>
            <w:noWrap w:val="0"/>
            <w:vAlign w:val="center"/>
          </w:tcPr>
          <w:p>
            <w:pPr>
              <w:rPr>
                <w:rFonts w:ascii="宋体" w:hAnsi="宋体" w:cs="Arial"/>
                <w:color w:val="auto"/>
                <w:sz w:val="22"/>
                <w:highlight w:val="none"/>
              </w:rPr>
            </w:pP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栏次</w:t>
            </w:r>
          </w:p>
        </w:tc>
        <w:tc>
          <w:tcPr>
            <w:tcW w:w="0" w:type="auto"/>
            <w:tcBorders>
              <w:top w:val="nil"/>
              <w:left w:val="nil"/>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1</w:t>
            </w:r>
          </w:p>
        </w:tc>
        <w:tc>
          <w:tcPr>
            <w:tcW w:w="0" w:type="auto"/>
            <w:tcBorders>
              <w:top w:val="nil"/>
              <w:left w:val="nil"/>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2</w:t>
            </w:r>
          </w:p>
        </w:tc>
        <w:tc>
          <w:tcPr>
            <w:tcW w:w="0" w:type="auto"/>
            <w:tcBorders>
              <w:top w:val="nil"/>
              <w:left w:val="nil"/>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3</w:t>
            </w:r>
          </w:p>
        </w:tc>
        <w:tc>
          <w:tcPr>
            <w:tcW w:w="0" w:type="auto"/>
            <w:tcBorders>
              <w:top w:val="nil"/>
              <w:left w:val="nil"/>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4</w:t>
            </w:r>
          </w:p>
        </w:tc>
        <w:tc>
          <w:tcPr>
            <w:tcW w:w="0" w:type="auto"/>
            <w:tcBorders>
              <w:top w:val="nil"/>
              <w:left w:val="nil"/>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5</w:t>
            </w:r>
          </w:p>
        </w:tc>
        <w:tc>
          <w:tcPr>
            <w:tcW w:w="0" w:type="auto"/>
            <w:tcBorders>
              <w:top w:val="nil"/>
              <w:left w:val="nil"/>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6</w:t>
            </w:r>
          </w:p>
        </w:tc>
        <w:tc>
          <w:tcPr>
            <w:tcW w:w="0" w:type="auto"/>
            <w:tcBorders>
              <w:top w:val="nil"/>
              <w:left w:val="nil"/>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7</w:t>
            </w: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合计</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b/>
                <w:bCs/>
                <w:color w:val="auto"/>
                <w:sz w:val="22"/>
                <w:highlight w:val="none"/>
              </w:rPr>
            </w:pPr>
            <w:r>
              <w:rPr>
                <w:rFonts w:hint="eastAsia" w:cs="Arial"/>
                <w:b/>
                <w:bCs/>
                <w:color w:val="auto"/>
                <w:sz w:val="22"/>
                <w:highlight w:val="none"/>
              </w:rPr>
              <w:t>167.48</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b/>
                <w:bCs/>
                <w:color w:val="auto"/>
                <w:sz w:val="22"/>
                <w:highlight w:val="none"/>
              </w:rPr>
            </w:pPr>
            <w:r>
              <w:rPr>
                <w:rFonts w:hint="eastAsia" w:cs="Arial"/>
                <w:b/>
                <w:bCs/>
                <w:color w:val="auto"/>
                <w:sz w:val="22"/>
                <w:highlight w:val="none"/>
              </w:rPr>
              <w:t>167.48</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b/>
                <w:bCs/>
                <w:color w:val="auto"/>
                <w:sz w:val="22"/>
                <w:highlight w:val="none"/>
              </w:rPr>
            </w:pPr>
            <w:r>
              <w:rPr>
                <w:rFonts w:hint="eastAsia" w:cs="Arial"/>
                <w:b/>
                <w:bCs/>
                <w:color w:val="auto"/>
                <w:sz w:val="22"/>
                <w:highlight w:val="none"/>
              </w:rPr>
              <w:t>　</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b/>
                <w:bCs/>
                <w:color w:val="auto"/>
                <w:sz w:val="22"/>
                <w:highlight w:val="none"/>
              </w:rPr>
            </w:pPr>
            <w:r>
              <w:rPr>
                <w:rFonts w:hint="eastAsia" w:cs="Arial"/>
                <w:b/>
                <w:bCs/>
                <w:color w:val="auto"/>
                <w:sz w:val="22"/>
                <w:highlight w:val="none"/>
              </w:rPr>
              <w:t>　</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b/>
                <w:bCs/>
                <w:color w:val="auto"/>
                <w:sz w:val="22"/>
                <w:highlight w:val="none"/>
              </w:rPr>
            </w:pPr>
            <w:r>
              <w:rPr>
                <w:rFonts w:hint="eastAsia" w:cs="Arial"/>
                <w:b/>
                <w:bCs/>
                <w:color w:val="auto"/>
                <w:sz w:val="22"/>
                <w:highlight w:val="none"/>
              </w:rPr>
              <w:t>　</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b/>
                <w:bCs/>
                <w:color w:val="auto"/>
                <w:sz w:val="22"/>
                <w:highlight w:val="none"/>
              </w:rPr>
            </w:pPr>
            <w:r>
              <w:rPr>
                <w:rFonts w:hint="eastAsia" w:cs="Arial"/>
                <w:b/>
                <w:bCs/>
                <w:color w:val="auto"/>
                <w:sz w:val="22"/>
                <w:highlight w:val="none"/>
              </w:rPr>
              <w:t>　</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b/>
                <w:bCs/>
                <w:color w:val="auto"/>
                <w:sz w:val="22"/>
                <w:highlight w:val="none"/>
              </w:rPr>
            </w:pPr>
            <w:r>
              <w:rPr>
                <w:rFonts w:hint="eastAsia" w:cs="Arial"/>
                <w:b/>
                <w:bCs/>
                <w:color w:val="auto"/>
                <w:sz w:val="22"/>
                <w:highlight w:val="none"/>
              </w:rPr>
              <w:t>　</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201</w:t>
            </w:r>
          </w:p>
        </w:tc>
        <w:tc>
          <w:tcPr>
            <w:tcW w:w="0" w:type="auto"/>
            <w:tcBorders>
              <w:top w:val="nil"/>
              <w:left w:val="nil"/>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一般公共服务支出</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0.84</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0.84</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20129</w:t>
            </w:r>
          </w:p>
        </w:tc>
        <w:tc>
          <w:tcPr>
            <w:tcW w:w="0" w:type="auto"/>
            <w:tcBorders>
              <w:top w:val="nil"/>
              <w:left w:val="nil"/>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群众团体事务</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0.84</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0.84</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2012906</w:t>
            </w:r>
          </w:p>
        </w:tc>
        <w:tc>
          <w:tcPr>
            <w:tcW w:w="0" w:type="auto"/>
            <w:tcBorders>
              <w:top w:val="nil"/>
              <w:left w:val="nil"/>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 xml:space="preserve">  工会事务</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0.84</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0.84</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205</w:t>
            </w:r>
          </w:p>
        </w:tc>
        <w:tc>
          <w:tcPr>
            <w:tcW w:w="0" w:type="auto"/>
            <w:tcBorders>
              <w:top w:val="nil"/>
              <w:left w:val="nil"/>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教育支出</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127.96</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127.96</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204"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20501</w:t>
            </w:r>
          </w:p>
        </w:tc>
        <w:tc>
          <w:tcPr>
            <w:tcW w:w="0" w:type="auto"/>
            <w:tcBorders>
              <w:top w:val="nil"/>
              <w:left w:val="nil"/>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教育管理事务</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127.96</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127.96</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204"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2050199</w:t>
            </w:r>
          </w:p>
        </w:tc>
        <w:tc>
          <w:tcPr>
            <w:tcW w:w="0" w:type="auto"/>
            <w:tcBorders>
              <w:top w:val="nil"/>
              <w:left w:val="nil"/>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 xml:space="preserve">  其他教育管理事务支出</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127.96</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127.96</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252"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208</w:t>
            </w:r>
          </w:p>
        </w:tc>
        <w:tc>
          <w:tcPr>
            <w:tcW w:w="0" w:type="auto"/>
            <w:tcBorders>
              <w:top w:val="nil"/>
              <w:left w:val="nil"/>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社会保障和就业支出</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33.59</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33.59</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20805</w:t>
            </w:r>
          </w:p>
        </w:tc>
        <w:tc>
          <w:tcPr>
            <w:tcW w:w="0" w:type="auto"/>
            <w:tcBorders>
              <w:top w:val="nil"/>
              <w:left w:val="nil"/>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行政事业单位养老支出</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33.59</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33.59</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2080502</w:t>
            </w:r>
          </w:p>
        </w:tc>
        <w:tc>
          <w:tcPr>
            <w:tcW w:w="0" w:type="auto"/>
            <w:tcBorders>
              <w:top w:val="nil"/>
              <w:left w:val="nil"/>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 xml:space="preserve">  事业单位离退休</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23.81</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23.81</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2080505</w:t>
            </w:r>
          </w:p>
        </w:tc>
        <w:tc>
          <w:tcPr>
            <w:tcW w:w="0" w:type="auto"/>
            <w:tcBorders>
              <w:top w:val="nil"/>
              <w:left w:val="nil"/>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 xml:space="preserve">  机关事业单位基本养老保险缴费支出</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9.78</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9.78</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210</w:t>
            </w:r>
          </w:p>
        </w:tc>
        <w:tc>
          <w:tcPr>
            <w:tcW w:w="0" w:type="auto"/>
            <w:tcBorders>
              <w:top w:val="nil"/>
              <w:left w:val="nil"/>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卫生健康支出</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5.09</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5.09</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21011</w:t>
            </w:r>
          </w:p>
        </w:tc>
        <w:tc>
          <w:tcPr>
            <w:tcW w:w="0" w:type="auto"/>
            <w:tcBorders>
              <w:top w:val="nil"/>
              <w:left w:val="nil"/>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行政事业单位医疗</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5.09</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5.09</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2101101</w:t>
            </w:r>
          </w:p>
        </w:tc>
        <w:tc>
          <w:tcPr>
            <w:tcW w:w="0" w:type="auto"/>
            <w:tcBorders>
              <w:top w:val="nil"/>
              <w:left w:val="nil"/>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 xml:space="preserve">  行政单位医疗</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0.50</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0.50</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2101102</w:t>
            </w:r>
          </w:p>
        </w:tc>
        <w:tc>
          <w:tcPr>
            <w:tcW w:w="0" w:type="auto"/>
            <w:tcBorders>
              <w:top w:val="nil"/>
              <w:left w:val="nil"/>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 xml:space="preserve">  事业单位医疗</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4.11</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4.11</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2101103</w:t>
            </w:r>
          </w:p>
        </w:tc>
        <w:tc>
          <w:tcPr>
            <w:tcW w:w="0" w:type="auto"/>
            <w:tcBorders>
              <w:top w:val="nil"/>
              <w:left w:val="nil"/>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 xml:space="preserve">  公务员医疗补助</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0.48</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0.48</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0" w:type="auto"/>
            <w:gridSpan w:val="11"/>
            <w:tcBorders>
              <w:top w:val="nil"/>
              <w:left w:val="nil"/>
              <w:bottom w:val="nil"/>
              <w:right w:val="nil"/>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注：本表反映</w:t>
            </w:r>
            <w:r>
              <w:rPr>
                <w:rFonts w:hint="eastAsia" w:cs="Arial"/>
                <w:color w:val="auto"/>
                <w:sz w:val="22"/>
                <w:highlight w:val="none"/>
                <w:lang w:eastAsia="zh-CN"/>
              </w:rPr>
              <w:t>单位</w:t>
            </w:r>
            <w:r>
              <w:rPr>
                <w:rFonts w:hint="eastAsia" w:cs="Arial"/>
                <w:color w:val="auto"/>
                <w:sz w:val="22"/>
                <w:highlight w:val="none"/>
              </w:rPr>
              <w:t>本年度取得的各项收入情况。本表金额转换为万元时，因四舍五入可能存在尾差。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5000" w:type="pct"/>
        <w:tblInd w:w="0" w:type="dxa"/>
        <w:tblLayout w:type="autofit"/>
        <w:tblCellMar>
          <w:top w:w="0" w:type="dxa"/>
          <w:left w:w="108" w:type="dxa"/>
          <w:bottom w:w="0" w:type="dxa"/>
          <w:right w:w="108" w:type="dxa"/>
        </w:tblCellMar>
      </w:tblPr>
      <w:tblGrid>
        <w:gridCol w:w="330"/>
        <w:gridCol w:w="330"/>
        <w:gridCol w:w="326"/>
        <w:gridCol w:w="3956"/>
        <w:gridCol w:w="1505"/>
        <w:gridCol w:w="1505"/>
        <w:gridCol w:w="1505"/>
        <w:gridCol w:w="1511"/>
        <w:gridCol w:w="1582"/>
        <w:gridCol w:w="1624"/>
      </w:tblGrid>
      <w:tr>
        <w:tblPrEx>
          <w:tblCellMar>
            <w:top w:w="0" w:type="dxa"/>
            <w:left w:w="108" w:type="dxa"/>
            <w:bottom w:w="0" w:type="dxa"/>
            <w:right w:w="108" w:type="dxa"/>
          </w:tblCellMar>
        </w:tblPrEx>
        <w:trPr>
          <w:trHeight w:val="702" w:hRule="atLeast"/>
        </w:trPr>
        <w:tc>
          <w:tcPr>
            <w:tcW w:w="5000" w:type="pct"/>
            <w:gridSpan w:val="10"/>
            <w:tcBorders>
              <w:top w:val="nil"/>
              <w:left w:val="nil"/>
              <w:bottom w:val="nil"/>
              <w:right w:val="nil"/>
            </w:tcBorders>
            <w:shd w:val="clear" w:color="000000" w:fill="FFFFFF"/>
            <w:noWrap/>
            <w:vAlign w:val="bottom"/>
          </w:tcPr>
          <w:p>
            <w:pPr>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支出决算表</w:t>
            </w:r>
          </w:p>
        </w:tc>
      </w:tr>
      <w:tr>
        <w:tblPrEx>
          <w:tblCellMar>
            <w:top w:w="0" w:type="dxa"/>
            <w:left w:w="108" w:type="dxa"/>
            <w:bottom w:w="0" w:type="dxa"/>
            <w:right w:w="108" w:type="dxa"/>
          </w:tblCellMar>
        </w:tblPrEx>
        <w:trPr>
          <w:trHeight w:val="255" w:hRule="atLeast"/>
        </w:trPr>
        <w:tc>
          <w:tcPr>
            <w:tcW w:w="116" w:type="pct"/>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116" w:type="pct"/>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115" w:type="pct"/>
            <w:tcBorders>
              <w:top w:val="nil"/>
              <w:left w:val="nil"/>
              <w:bottom w:val="nil"/>
              <w:right w:val="nil"/>
            </w:tcBorders>
            <w:shd w:val="clear" w:color="000000" w:fill="FFFFFF"/>
            <w:noWrap/>
            <w:vAlign w:val="bottom"/>
          </w:tcPr>
          <w:p>
            <w:pPr>
              <w:jc w:val="center"/>
              <w:rPr>
                <w:rFonts w:hint="eastAsia" w:ascii="Times New Roman" w:hAnsi="Times New Roman" w:cs="Arial"/>
                <w:color w:val="auto"/>
                <w:sz w:val="30"/>
                <w:szCs w:val="30"/>
                <w:highlight w:val="none"/>
              </w:rPr>
            </w:pPr>
            <w:r>
              <w:rPr>
                <w:rFonts w:hint="eastAsia" w:ascii="Times New Roman" w:hAnsi="Times New Roman" w:cs="Arial"/>
                <w:color w:val="auto"/>
                <w:sz w:val="30"/>
                <w:szCs w:val="30"/>
                <w:highlight w:val="none"/>
              </w:rPr>
              <w:t>　</w:t>
            </w:r>
          </w:p>
        </w:tc>
        <w:tc>
          <w:tcPr>
            <w:tcW w:w="1395" w:type="pct"/>
            <w:tcBorders>
              <w:top w:val="nil"/>
              <w:left w:val="nil"/>
              <w:bottom w:val="nil"/>
              <w:right w:val="nil"/>
            </w:tcBorders>
            <w:shd w:val="clear" w:color="000000" w:fill="FFFFFF"/>
            <w:noWrap/>
            <w:vAlign w:val="bottom"/>
          </w:tcPr>
          <w:p>
            <w:pPr>
              <w:jc w:val="center"/>
              <w:rPr>
                <w:rFonts w:hint="eastAsia" w:ascii="Times New Roman" w:hAnsi="Times New Roman" w:cs="Arial"/>
                <w:color w:val="auto"/>
                <w:sz w:val="30"/>
                <w:szCs w:val="30"/>
                <w:highlight w:val="none"/>
              </w:rPr>
            </w:pPr>
          </w:p>
        </w:tc>
        <w:tc>
          <w:tcPr>
            <w:tcW w:w="531" w:type="pct"/>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531" w:type="pct"/>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531" w:type="pct"/>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533" w:type="pct"/>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558" w:type="pct"/>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570" w:type="pct"/>
            <w:tcBorders>
              <w:top w:val="nil"/>
              <w:left w:val="nil"/>
              <w:bottom w:val="nil"/>
              <w:right w:val="nil"/>
            </w:tcBorders>
            <w:shd w:val="clear" w:color="000000" w:fill="FFFFFF"/>
            <w:noWrap/>
            <w:vAlign w:val="bottom"/>
          </w:tcPr>
          <w:p>
            <w:pPr>
              <w:jc w:val="right"/>
              <w:rPr>
                <w:rFonts w:ascii="宋体" w:hAnsi="宋体" w:cs="Arial"/>
                <w:color w:val="auto"/>
                <w:sz w:val="20"/>
                <w:szCs w:val="20"/>
                <w:highlight w:val="none"/>
              </w:rPr>
            </w:pPr>
            <w:r>
              <w:rPr>
                <w:rFonts w:hint="eastAsia" w:cs="Arial"/>
                <w:color w:val="auto"/>
                <w:sz w:val="20"/>
                <w:szCs w:val="20"/>
                <w:highlight w:val="none"/>
              </w:rPr>
              <w:t>公开03表</w:t>
            </w:r>
          </w:p>
        </w:tc>
      </w:tr>
      <w:tr>
        <w:tblPrEx>
          <w:tblCellMar>
            <w:top w:w="0" w:type="dxa"/>
            <w:left w:w="108" w:type="dxa"/>
            <w:bottom w:w="0" w:type="dxa"/>
            <w:right w:w="108" w:type="dxa"/>
          </w:tblCellMar>
        </w:tblPrEx>
        <w:trPr>
          <w:trHeight w:val="255" w:hRule="atLeast"/>
        </w:trPr>
        <w:tc>
          <w:tcPr>
            <w:tcW w:w="1743" w:type="pct"/>
            <w:gridSpan w:val="4"/>
            <w:tcBorders>
              <w:top w:val="nil"/>
              <w:left w:val="nil"/>
              <w:bottom w:val="nil"/>
              <w:right w:val="nil"/>
            </w:tcBorders>
            <w:shd w:val="clear" w:color="000000" w:fill="FFFFFF"/>
            <w:noWrap/>
            <w:vAlign w:val="bottom"/>
          </w:tcPr>
          <w:p>
            <w:pPr>
              <w:rPr>
                <w:rFonts w:ascii="宋体" w:hAnsi="宋体" w:cs="Arial"/>
                <w:color w:val="auto"/>
                <w:sz w:val="20"/>
                <w:szCs w:val="20"/>
                <w:highlight w:val="none"/>
              </w:rPr>
            </w:pPr>
            <w:r>
              <w:rPr>
                <w:rFonts w:hint="eastAsia" w:cs="Arial"/>
                <w:color w:val="auto"/>
                <w:sz w:val="20"/>
                <w:szCs w:val="20"/>
                <w:highlight w:val="none"/>
                <w:lang w:eastAsia="zh-CN"/>
              </w:rPr>
              <w:t>单位</w:t>
            </w:r>
            <w:r>
              <w:rPr>
                <w:rFonts w:hint="eastAsia" w:cs="Arial"/>
                <w:color w:val="auto"/>
                <w:sz w:val="20"/>
                <w:szCs w:val="20"/>
                <w:highlight w:val="none"/>
              </w:rPr>
              <w:t>：许昌市电化教育馆</w:t>
            </w:r>
          </w:p>
        </w:tc>
        <w:tc>
          <w:tcPr>
            <w:tcW w:w="531" w:type="pct"/>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531" w:type="pct"/>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531" w:type="pct"/>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533" w:type="pct"/>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558" w:type="pct"/>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570" w:type="pct"/>
            <w:tcBorders>
              <w:top w:val="nil"/>
              <w:left w:val="nil"/>
              <w:bottom w:val="nil"/>
              <w:right w:val="nil"/>
            </w:tcBorders>
            <w:shd w:val="clear" w:color="000000" w:fill="FFFFFF"/>
            <w:noWrap/>
            <w:vAlign w:val="bottom"/>
          </w:tcPr>
          <w:p>
            <w:pPr>
              <w:jc w:val="right"/>
              <w:rPr>
                <w:rFonts w:ascii="宋体" w:hAnsi="宋体" w:cs="Arial"/>
                <w:color w:val="auto"/>
                <w:sz w:val="20"/>
                <w:szCs w:val="20"/>
                <w:highlight w:val="none"/>
              </w:rPr>
            </w:pPr>
            <w:r>
              <w:rPr>
                <w:rFonts w:hint="eastAsia" w:cs="Arial"/>
                <w:color w:val="auto"/>
                <w:sz w:val="20"/>
                <w:szCs w:val="20"/>
                <w:highlight w:val="none"/>
              </w:rPr>
              <w:t>金额单位：万元</w:t>
            </w:r>
          </w:p>
        </w:tc>
      </w:tr>
      <w:tr>
        <w:tblPrEx>
          <w:tblCellMar>
            <w:top w:w="0" w:type="dxa"/>
            <w:left w:w="108" w:type="dxa"/>
            <w:bottom w:w="0" w:type="dxa"/>
            <w:right w:w="108" w:type="dxa"/>
          </w:tblCellMar>
        </w:tblPrEx>
        <w:trPr>
          <w:trHeight w:val="308" w:hRule="atLeast"/>
        </w:trPr>
        <w:tc>
          <w:tcPr>
            <w:tcW w:w="1743" w:type="pct"/>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项目</w:t>
            </w:r>
          </w:p>
        </w:tc>
        <w:tc>
          <w:tcPr>
            <w:tcW w:w="531" w:type="pct"/>
            <w:vMerge w:val="restart"/>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本年支出合计</w:t>
            </w:r>
          </w:p>
        </w:tc>
        <w:tc>
          <w:tcPr>
            <w:tcW w:w="531" w:type="pct"/>
            <w:vMerge w:val="restart"/>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基本支出</w:t>
            </w:r>
          </w:p>
        </w:tc>
        <w:tc>
          <w:tcPr>
            <w:tcW w:w="531" w:type="pct"/>
            <w:vMerge w:val="restart"/>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项目支出</w:t>
            </w:r>
          </w:p>
        </w:tc>
        <w:tc>
          <w:tcPr>
            <w:tcW w:w="533" w:type="pct"/>
            <w:vMerge w:val="restart"/>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上缴上级支出</w:t>
            </w:r>
          </w:p>
        </w:tc>
        <w:tc>
          <w:tcPr>
            <w:tcW w:w="558" w:type="pct"/>
            <w:vMerge w:val="restart"/>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经营支出</w:t>
            </w:r>
          </w:p>
        </w:tc>
        <w:tc>
          <w:tcPr>
            <w:tcW w:w="570" w:type="pct"/>
            <w:vMerge w:val="restart"/>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对附属单位补助支出</w:t>
            </w:r>
          </w:p>
        </w:tc>
      </w:tr>
      <w:tr>
        <w:tblPrEx>
          <w:tblCellMar>
            <w:top w:w="0" w:type="dxa"/>
            <w:left w:w="108" w:type="dxa"/>
            <w:bottom w:w="0" w:type="dxa"/>
            <w:right w:w="108" w:type="dxa"/>
          </w:tblCellMar>
        </w:tblPrEx>
        <w:trPr>
          <w:trHeight w:val="312" w:hRule="atLeast"/>
        </w:trPr>
        <w:tc>
          <w:tcPr>
            <w:tcW w:w="347" w:type="pct"/>
            <w:gridSpan w:val="3"/>
            <w:vMerge w:val="restart"/>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功能分类科目编码</w:t>
            </w:r>
          </w:p>
        </w:tc>
        <w:tc>
          <w:tcPr>
            <w:tcW w:w="1395" w:type="pct"/>
            <w:vMerge w:val="restar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科目名称</w:t>
            </w:r>
          </w:p>
        </w:tc>
        <w:tc>
          <w:tcPr>
            <w:tcW w:w="531" w:type="pct"/>
            <w:vMerge w:val="continue"/>
            <w:tcBorders>
              <w:top w:val="single" w:color="000000" w:sz="4" w:space="0"/>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531" w:type="pct"/>
            <w:vMerge w:val="continue"/>
            <w:tcBorders>
              <w:top w:val="single" w:color="000000" w:sz="4" w:space="0"/>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531" w:type="pct"/>
            <w:vMerge w:val="continue"/>
            <w:tcBorders>
              <w:top w:val="single" w:color="000000" w:sz="4" w:space="0"/>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533" w:type="pct"/>
            <w:vMerge w:val="continue"/>
            <w:tcBorders>
              <w:top w:val="single" w:color="000000" w:sz="4" w:space="0"/>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558" w:type="pct"/>
            <w:vMerge w:val="continue"/>
            <w:tcBorders>
              <w:top w:val="single" w:color="000000" w:sz="4" w:space="0"/>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570" w:type="pct"/>
            <w:vMerge w:val="continue"/>
            <w:tcBorders>
              <w:top w:val="single" w:color="000000" w:sz="4" w:space="0"/>
              <w:left w:val="nil"/>
              <w:bottom w:val="single" w:color="000000" w:sz="4" w:space="0"/>
              <w:right w:val="single" w:color="000000" w:sz="4" w:space="0"/>
            </w:tcBorders>
            <w:noWrap w:val="0"/>
            <w:vAlign w:val="center"/>
          </w:tcPr>
          <w:p>
            <w:pPr>
              <w:rPr>
                <w:rFonts w:ascii="宋体" w:hAnsi="宋体" w:cs="Arial"/>
                <w:color w:val="auto"/>
                <w:sz w:val="22"/>
                <w:highlight w:val="none"/>
              </w:rPr>
            </w:pPr>
          </w:p>
        </w:tc>
      </w:tr>
      <w:tr>
        <w:tblPrEx>
          <w:tblCellMar>
            <w:top w:w="0" w:type="dxa"/>
            <w:left w:w="108" w:type="dxa"/>
            <w:bottom w:w="0" w:type="dxa"/>
            <w:right w:w="108" w:type="dxa"/>
          </w:tblCellMar>
        </w:tblPrEx>
        <w:trPr>
          <w:trHeight w:val="312" w:hRule="atLeast"/>
        </w:trPr>
        <w:tc>
          <w:tcPr>
            <w:tcW w:w="347" w:type="pct"/>
            <w:gridSpan w:val="3"/>
            <w:vMerge w:val="continue"/>
            <w:tcBorders>
              <w:top w:val="nil"/>
              <w:left w:val="single" w:color="000000" w:sz="4" w:space="0"/>
              <w:bottom w:val="single" w:color="000000" w:sz="4" w:space="0"/>
              <w:right w:val="single" w:color="000000" w:sz="4" w:space="0"/>
            </w:tcBorders>
            <w:noWrap w:val="0"/>
            <w:vAlign w:val="center"/>
          </w:tcPr>
          <w:p>
            <w:pPr>
              <w:rPr>
                <w:rFonts w:ascii="宋体" w:hAnsi="宋体" w:cs="Arial"/>
                <w:color w:val="auto"/>
                <w:sz w:val="22"/>
                <w:highlight w:val="none"/>
              </w:rPr>
            </w:pPr>
          </w:p>
        </w:tc>
        <w:tc>
          <w:tcPr>
            <w:tcW w:w="1395" w:type="pct"/>
            <w:vMerge w:val="continue"/>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531" w:type="pct"/>
            <w:vMerge w:val="continue"/>
            <w:tcBorders>
              <w:top w:val="single" w:color="000000" w:sz="4" w:space="0"/>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531" w:type="pct"/>
            <w:vMerge w:val="continue"/>
            <w:tcBorders>
              <w:top w:val="single" w:color="000000" w:sz="4" w:space="0"/>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531" w:type="pct"/>
            <w:vMerge w:val="continue"/>
            <w:tcBorders>
              <w:top w:val="single" w:color="000000" w:sz="4" w:space="0"/>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533" w:type="pct"/>
            <w:vMerge w:val="continue"/>
            <w:tcBorders>
              <w:top w:val="single" w:color="000000" w:sz="4" w:space="0"/>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558" w:type="pct"/>
            <w:vMerge w:val="continue"/>
            <w:tcBorders>
              <w:top w:val="single" w:color="000000" w:sz="4" w:space="0"/>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570" w:type="pct"/>
            <w:vMerge w:val="continue"/>
            <w:tcBorders>
              <w:top w:val="single" w:color="000000" w:sz="4" w:space="0"/>
              <w:left w:val="nil"/>
              <w:bottom w:val="single" w:color="000000" w:sz="4" w:space="0"/>
              <w:right w:val="single" w:color="000000" w:sz="4" w:space="0"/>
            </w:tcBorders>
            <w:noWrap w:val="0"/>
            <w:vAlign w:val="center"/>
          </w:tcPr>
          <w:p>
            <w:pPr>
              <w:rPr>
                <w:rFonts w:ascii="宋体" w:hAnsi="宋体" w:cs="Arial"/>
                <w:color w:val="auto"/>
                <w:sz w:val="22"/>
                <w:highlight w:val="none"/>
              </w:rPr>
            </w:pPr>
          </w:p>
        </w:tc>
      </w:tr>
      <w:tr>
        <w:tblPrEx>
          <w:tblCellMar>
            <w:top w:w="0" w:type="dxa"/>
            <w:left w:w="108" w:type="dxa"/>
            <w:bottom w:w="0" w:type="dxa"/>
            <w:right w:w="108" w:type="dxa"/>
          </w:tblCellMar>
        </w:tblPrEx>
        <w:trPr>
          <w:trHeight w:val="312" w:hRule="atLeast"/>
        </w:trPr>
        <w:tc>
          <w:tcPr>
            <w:tcW w:w="347" w:type="pct"/>
            <w:gridSpan w:val="3"/>
            <w:vMerge w:val="continue"/>
            <w:tcBorders>
              <w:top w:val="nil"/>
              <w:left w:val="single" w:color="000000" w:sz="4" w:space="0"/>
              <w:bottom w:val="single" w:color="000000" w:sz="4" w:space="0"/>
              <w:right w:val="single" w:color="000000" w:sz="4" w:space="0"/>
            </w:tcBorders>
            <w:noWrap w:val="0"/>
            <w:vAlign w:val="center"/>
          </w:tcPr>
          <w:p>
            <w:pPr>
              <w:rPr>
                <w:rFonts w:ascii="宋体" w:hAnsi="宋体" w:cs="Arial"/>
                <w:color w:val="auto"/>
                <w:sz w:val="22"/>
                <w:highlight w:val="none"/>
              </w:rPr>
            </w:pPr>
          </w:p>
        </w:tc>
        <w:tc>
          <w:tcPr>
            <w:tcW w:w="1395" w:type="pct"/>
            <w:vMerge w:val="continue"/>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531" w:type="pct"/>
            <w:vMerge w:val="continue"/>
            <w:tcBorders>
              <w:top w:val="single" w:color="000000" w:sz="4" w:space="0"/>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531" w:type="pct"/>
            <w:vMerge w:val="continue"/>
            <w:tcBorders>
              <w:top w:val="single" w:color="000000" w:sz="4" w:space="0"/>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531" w:type="pct"/>
            <w:vMerge w:val="continue"/>
            <w:tcBorders>
              <w:top w:val="single" w:color="000000" w:sz="4" w:space="0"/>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533" w:type="pct"/>
            <w:vMerge w:val="continue"/>
            <w:tcBorders>
              <w:top w:val="single" w:color="000000" w:sz="4" w:space="0"/>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558" w:type="pct"/>
            <w:vMerge w:val="continue"/>
            <w:tcBorders>
              <w:top w:val="single" w:color="000000" w:sz="4" w:space="0"/>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570" w:type="pct"/>
            <w:vMerge w:val="continue"/>
            <w:tcBorders>
              <w:top w:val="single" w:color="000000" w:sz="4" w:space="0"/>
              <w:left w:val="nil"/>
              <w:bottom w:val="single" w:color="000000" w:sz="4" w:space="0"/>
              <w:right w:val="single" w:color="000000" w:sz="4" w:space="0"/>
            </w:tcBorders>
            <w:noWrap w:val="0"/>
            <w:vAlign w:val="center"/>
          </w:tcPr>
          <w:p>
            <w:pPr>
              <w:rPr>
                <w:rFonts w:ascii="宋体" w:hAnsi="宋体" w:cs="Arial"/>
                <w:color w:val="auto"/>
                <w:sz w:val="22"/>
                <w:highlight w:val="none"/>
              </w:rPr>
            </w:pPr>
          </w:p>
        </w:tc>
      </w:tr>
      <w:tr>
        <w:tblPrEx>
          <w:tblCellMar>
            <w:top w:w="0" w:type="dxa"/>
            <w:left w:w="108" w:type="dxa"/>
            <w:bottom w:w="0" w:type="dxa"/>
            <w:right w:w="108" w:type="dxa"/>
          </w:tblCellMar>
        </w:tblPrEx>
        <w:trPr>
          <w:trHeight w:val="308" w:hRule="atLeast"/>
        </w:trPr>
        <w:tc>
          <w:tcPr>
            <w:tcW w:w="1743" w:type="pct"/>
            <w:gridSpan w:val="4"/>
            <w:tcBorders>
              <w:top w:val="nil"/>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栏次</w:t>
            </w:r>
          </w:p>
        </w:tc>
        <w:tc>
          <w:tcPr>
            <w:tcW w:w="531" w:type="pct"/>
            <w:tcBorders>
              <w:top w:val="nil"/>
              <w:left w:val="nil"/>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1</w:t>
            </w:r>
          </w:p>
        </w:tc>
        <w:tc>
          <w:tcPr>
            <w:tcW w:w="531" w:type="pct"/>
            <w:tcBorders>
              <w:top w:val="nil"/>
              <w:left w:val="nil"/>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2</w:t>
            </w:r>
          </w:p>
        </w:tc>
        <w:tc>
          <w:tcPr>
            <w:tcW w:w="531" w:type="pct"/>
            <w:tcBorders>
              <w:top w:val="nil"/>
              <w:left w:val="nil"/>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3</w:t>
            </w:r>
          </w:p>
        </w:tc>
        <w:tc>
          <w:tcPr>
            <w:tcW w:w="533" w:type="pct"/>
            <w:tcBorders>
              <w:top w:val="nil"/>
              <w:left w:val="nil"/>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4</w:t>
            </w:r>
          </w:p>
        </w:tc>
        <w:tc>
          <w:tcPr>
            <w:tcW w:w="558" w:type="pct"/>
            <w:tcBorders>
              <w:top w:val="nil"/>
              <w:left w:val="nil"/>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5</w:t>
            </w:r>
          </w:p>
        </w:tc>
        <w:tc>
          <w:tcPr>
            <w:tcW w:w="570" w:type="pct"/>
            <w:tcBorders>
              <w:top w:val="nil"/>
              <w:left w:val="nil"/>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6</w:t>
            </w:r>
          </w:p>
        </w:tc>
      </w:tr>
      <w:tr>
        <w:tblPrEx>
          <w:tblCellMar>
            <w:top w:w="0" w:type="dxa"/>
            <w:left w:w="108" w:type="dxa"/>
            <w:bottom w:w="0" w:type="dxa"/>
            <w:right w:w="108" w:type="dxa"/>
          </w:tblCellMar>
        </w:tblPrEx>
        <w:trPr>
          <w:trHeight w:val="308" w:hRule="atLeast"/>
        </w:trPr>
        <w:tc>
          <w:tcPr>
            <w:tcW w:w="1743" w:type="pct"/>
            <w:gridSpan w:val="4"/>
            <w:tcBorders>
              <w:top w:val="nil"/>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合计</w:t>
            </w:r>
          </w:p>
        </w:tc>
        <w:tc>
          <w:tcPr>
            <w:tcW w:w="53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b/>
                <w:bCs/>
                <w:color w:val="auto"/>
                <w:sz w:val="22"/>
                <w:highlight w:val="none"/>
              </w:rPr>
            </w:pPr>
            <w:r>
              <w:rPr>
                <w:rFonts w:hint="eastAsia" w:cs="Arial"/>
                <w:b/>
                <w:bCs/>
                <w:color w:val="auto"/>
                <w:sz w:val="22"/>
                <w:highlight w:val="none"/>
              </w:rPr>
              <w:t>185.34</w:t>
            </w:r>
          </w:p>
        </w:tc>
        <w:tc>
          <w:tcPr>
            <w:tcW w:w="53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b/>
                <w:bCs/>
                <w:color w:val="auto"/>
                <w:sz w:val="22"/>
                <w:highlight w:val="none"/>
              </w:rPr>
            </w:pPr>
            <w:r>
              <w:rPr>
                <w:rFonts w:hint="eastAsia" w:cs="Arial"/>
                <w:b/>
                <w:bCs/>
                <w:color w:val="auto"/>
                <w:sz w:val="22"/>
                <w:highlight w:val="none"/>
              </w:rPr>
              <w:t>182.78</w:t>
            </w:r>
          </w:p>
        </w:tc>
        <w:tc>
          <w:tcPr>
            <w:tcW w:w="53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b/>
                <w:bCs/>
                <w:color w:val="auto"/>
                <w:sz w:val="22"/>
                <w:highlight w:val="none"/>
              </w:rPr>
            </w:pPr>
            <w:r>
              <w:rPr>
                <w:rFonts w:hint="eastAsia" w:cs="Arial"/>
                <w:b/>
                <w:bCs/>
                <w:color w:val="auto"/>
                <w:sz w:val="22"/>
                <w:highlight w:val="none"/>
              </w:rPr>
              <w:t>2.56</w:t>
            </w:r>
          </w:p>
        </w:tc>
        <w:tc>
          <w:tcPr>
            <w:tcW w:w="53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b/>
                <w:bCs/>
                <w:color w:val="auto"/>
                <w:sz w:val="22"/>
                <w:highlight w:val="none"/>
              </w:rPr>
            </w:pPr>
            <w:r>
              <w:rPr>
                <w:rFonts w:hint="eastAsia" w:cs="Arial"/>
                <w:b/>
                <w:bCs/>
                <w:color w:val="auto"/>
                <w:sz w:val="22"/>
                <w:highlight w:val="none"/>
              </w:rPr>
              <w:t>　</w:t>
            </w:r>
          </w:p>
        </w:tc>
        <w:tc>
          <w:tcPr>
            <w:tcW w:w="558"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b/>
                <w:bCs/>
                <w:color w:val="auto"/>
                <w:sz w:val="22"/>
                <w:highlight w:val="none"/>
              </w:rPr>
            </w:pPr>
            <w:r>
              <w:rPr>
                <w:rFonts w:hint="eastAsia" w:cs="Arial"/>
                <w:b/>
                <w:bCs/>
                <w:color w:val="auto"/>
                <w:sz w:val="22"/>
                <w:highlight w:val="none"/>
              </w:rPr>
              <w:t>　</w:t>
            </w:r>
          </w:p>
        </w:tc>
        <w:tc>
          <w:tcPr>
            <w:tcW w:w="57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b/>
                <w:bCs/>
                <w:color w:val="auto"/>
                <w:sz w:val="22"/>
                <w:highlight w:val="none"/>
              </w:rPr>
            </w:pPr>
            <w:r>
              <w:rPr>
                <w:rFonts w:hint="eastAsia" w:cs="Arial"/>
                <w:b/>
                <w:bCs/>
                <w:color w:val="auto"/>
                <w:sz w:val="22"/>
                <w:highlight w:val="none"/>
              </w:rPr>
              <w:t>　</w:t>
            </w:r>
          </w:p>
        </w:tc>
      </w:tr>
      <w:tr>
        <w:tblPrEx>
          <w:tblCellMar>
            <w:top w:w="0" w:type="dxa"/>
            <w:left w:w="108" w:type="dxa"/>
            <w:bottom w:w="0" w:type="dxa"/>
            <w:right w:w="108" w:type="dxa"/>
          </w:tblCellMar>
        </w:tblPrEx>
        <w:trPr>
          <w:trHeight w:val="308" w:hRule="atLeast"/>
        </w:trPr>
        <w:tc>
          <w:tcPr>
            <w:tcW w:w="347" w:type="pct"/>
            <w:gridSpan w:val="3"/>
            <w:tcBorders>
              <w:top w:val="nil"/>
              <w:left w:val="single" w:color="000000" w:sz="4" w:space="0"/>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201</w:t>
            </w:r>
          </w:p>
        </w:tc>
        <w:tc>
          <w:tcPr>
            <w:tcW w:w="1395" w:type="pct"/>
            <w:tcBorders>
              <w:top w:val="nil"/>
              <w:left w:val="nil"/>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一般公共服务支出</w:t>
            </w:r>
          </w:p>
        </w:tc>
        <w:tc>
          <w:tcPr>
            <w:tcW w:w="53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0.84</w:t>
            </w:r>
          </w:p>
        </w:tc>
        <w:tc>
          <w:tcPr>
            <w:tcW w:w="53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0.84</w:t>
            </w:r>
          </w:p>
        </w:tc>
        <w:tc>
          <w:tcPr>
            <w:tcW w:w="53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53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558"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57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347" w:type="pct"/>
            <w:gridSpan w:val="3"/>
            <w:tcBorders>
              <w:top w:val="nil"/>
              <w:left w:val="single" w:color="000000" w:sz="4" w:space="0"/>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20129</w:t>
            </w:r>
          </w:p>
        </w:tc>
        <w:tc>
          <w:tcPr>
            <w:tcW w:w="1395" w:type="pct"/>
            <w:tcBorders>
              <w:top w:val="nil"/>
              <w:left w:val="nil"/>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群众团体事务</w:t>
            </w:r>
          </w:p>
        </w:tc>
        <w:tc>
          <w:tcPr>
            <w:tcW w:w="53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0.84</w:t>
            </w:r>
          </w:p>
        </w:tc>
        <w:tc>
          <w:tcPr>
            <w:tcW w:w="53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0.84</w:t>
            </w:r>
          </w:p>
        </w:tc>
        <w:tc>
          <w:tcPr>
            <w:tcW w:w="53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53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558"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57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347" w:type="pct"/>
            <w:gridSpan w:val="3"/>
            <w:tcBorders>
              <w:top w:val="nil"/>
              <w:left w:val="single" w:color="000000" w:sz="4" w:space="0"/>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2012906</w:t>
            </w:r>
          </w:p>
        </w:tc>
        <w:tc>
          <w:tcPr>
            <w:tcW w:w="1395" w:type="pct"/>
            <w:tcBorders>
              <w:top w:val="nil"/>
              <w:left w:val="nil"/>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 xml:space="preserve">  工会事务</w:t>
            </w:r>
          </w:p>
        </w:tc>
        <w:tc>
          <w:tcPr>
            <w:tcW w:w="53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0.84</w:t>
            </w:r>
          </w:p>
        </w:tc>
        <w:tc>
          <w:tcPr>
            <w:tcW w:w="53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0.84</w:t>
            </w:r>
          </w:p>
        </w:tc>
        <w:tc>
          <w:tcPr>
            <w:tcW w:w="53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53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558"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57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347" w:type="pct"/>
            <w:gridSpan w:val="3"/>
            <w:tcBorders>
              <w:top w:val="nil"/>
              <w:left w:val="single" w:color="000000" w:sz="4" w:space="0"/>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205</w:t>
            </w:r>
          </w:p>
        </w:tc>
        <w:tc>
          <w:tcPr>
            <w:tcW w:w="1395" w:type="pct"/>
            <w:tcBorders>
              <w:top w:val="nil"/>
              <w:left w:val="nil"/>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教育支出</w:t>
            </w:r>
          </w:p>
        </w:tc>
        <w:tc>
          <w:tcPr>
            <w:tcW w:w="53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141.30</w:t>
            </w:r>
          </w:p>
        </w:tc>
        <w:tc>
          <w:tcPr>
            <w:tcW w:w="53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138.74</w:t>
            </w:r>
          </w:p>
        </w:tc>
        <w:tc>
          <w:tcPr>
            <w:tcW w:w="53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2.56</w:t>
            </w:r>
          </w:p>
        </w:tc>
        <w:tc>
          <w:tcPr>
            <w:tcW w:w="53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558"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57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347" w:type="pct"/>
            <w:gridSpan w:val="3"/>
            <w:tcBorders>
              <w:top w:val="nil"/>
              <w:left w:val="single" w:color="000000" w:sz="4" w:space="0"/>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20501</w:t>
            </w:r>
          </w:p>
        </w:tc>
        <w:tc>
          <w:tcPr>
            <w:tcW w:w="1395" w:type="pct"/>
            <w:tcBorders>
              <w:top w:val="nil"/>
              <w:left w:val="nil"/>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教育管理事务</w:t>
            </w:r>
          </w:p>
        </w:tc>
        <w:tc>
          <w:tcPr>
            <w:tcW w:w="53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138.74</w:t>
            </w:r>
          </w:p>
        </w:tc>
        <w:tc>
          <w:tcPr>
            <w:tcW w:w="53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138.74</w:t>
            </w:r>
          </w:p>
        </w:tc>
        <w:tc>
          <w:tcPr>
            <w:tcW w:w="53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53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558"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57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347" w:type="pct"/>
            <w:gridSpan w:val="3"/>
            <w:tcBorders>
              <w:top w:val="nil"/>
              <w:left w:val="single" w:color="000000" w:sz="4" w:space="0"/>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2050199</w:t>
            </w:r>
          </w:p>
        </w:tc>
        <w:tc>
          <w:tcPr>
            <w:tcW w:w="1395" w:type="pct"/>
            <w:tcBorders>
              <w:top w:val="nil"/>
              <w:left w:val="nil"/>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 xml:space="preserve">  其他教育管理事务支出</w:t>
            </w:r>
          </w:p>
        </w:tc>
        <w:tc>
          <w:tcPr>
            <w:tcW w:w="53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138.74</w:t>
            </w:r>
          </w:p>
        </w:tc>
        <w:tc>
          <w:tcPr>
            <w:tcW w:w="53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138.74</w:t>
            </w:r>
          </w:p>
        </w:tc>
        <w:tc>
          <w:tcPr>
            <w:tcW w:w="53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53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558"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57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347" w:type="pct"/>
            <w:gridSpan w:val="3"/>
            <w:tcBorders>
              <w:top w:val="nil"/>
              <w:left w:val="single" w:color="000000" w:sz="4" w:space="0"/>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20502</w:t>
            </w:r>
          </w:p>
        </w:tc>
        <w:tc>
          <w:tcPr>
            <w:tcW w:w="1395" w:type="pct"/>
            <w:tcBorders>
              <w:top w:val="nil"/>
              <w:left w:val="nil"/>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普通教育</w:t>
            </w:r>
          </w:p>
        </w:tc>
        <w:tc>
          <w:tcPr>
            <w:tcW w:w="53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2.56</w:t>
            </w:r>
          </w:p>
        </w:tc>
        <w:tc>
          <w:tcPr>
            <w:tcW w:w="53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53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2.56</w:t>
            </w:r>
          </w:p>
        </w:tc>
        <w:tc>
          <w:tcPr>
            <w:tcW w:w="53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558"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57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347" w:type="pct"/>
            <w:gridSpan w:val="3"/>
            <w:tcBorders>
              <w:top w:val="nil"/>
              <w:left w:val="single" w:color="000000" w:sz="4" w:space="0"/>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2050299</w:t>
            </w:r>
          </w:p>
        </w:tc>
        <w:tc>
          <w:tcPr>
            <w:tcW w:w="1395" w:type="pct"/>
            <w:tcBorders>
              <w:top w:val="nil"/>
              <w:left w:val="nil"/>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 xml:space="preserve">  其他普通教育支出</w:t>
            </w:r>
          </w:p>
        </w:tc>
        <w:tc>
          <w:tcPr>
            <w:tcW w:w="53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2.56</w:t>
            </w:r>
          </w:p>
        </w:tc>
        <w:tc>
          <w:tcPr>
            <w:tcW w:w="53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53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2.56</w:t>
            </w:r>
          </w:p>
        </w:tc>
        <w:tc>
          <w:tcPr>
            <w:tcW w:w="53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558"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57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347" w:type="pct"/>
            <w:gridSpan w:val="3"/>
            <w:tcBorders>
              <w:top w:val="nil"/>
              <w:left w:val="single" w:color="000000" w:sz="4" w:space="0"/>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208</w:t>
            </w:r>
          </w:p>
        </w:tc>
        <w:tc>
          <w:tcPr>
            <w:tcW w:w="1395" w:type="pct"/>
            <w:tcBorders>
              <w:top w:val="nil"/>
              <w:left w:val="nil"/>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社会保障和就业支出</w:t>
            </w:r>
          </w:p>
        </w:tc>
        <w:tc>
          <w:tcPr>
            <w:tcW w:w="53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37.46</w:t>
            </w:r>
          </w:p>
        </w:tc>
        <w:tc>
          <w:tcPr>
            <w:tcW w:w="53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37.46</w:t>
            </w:r>
          </w:p>
        </w:tc>
        <w:tc>
          <w:tcPr>
            <w:tcW w:w="53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53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558"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57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347" w:type="pct"/>
            <w:gridSpan w:val="3"/>
            <w:tcBorders>
              <w:top w:val="nil"/>
              <w:left w:val="single" w:color="000000" w:sz="4" w:space="0"/>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20805</w:t>
            </w:r>
          </w:p>
        </w:tc>
        <w:tc>
          <w:tcPr>
            <w:tcW w:w="1395" w:type="pct"/>
            <w:tcBorders>
              <w:top w:val="nil"/>
              <w:left w:val="nil"/>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行政事业单位养老支出</w:t>
            </w:r>
          </w:p>
        </w:tc>
        <w:tc>
          <w:tcPr>
            <w:tcW w:w="53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37.46</w:t>
            </w:r>
          </w:p>
        </w:tc>
        <w:tc>
          <w:tcPr>
            <w:tcW w:w="53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37.46</w:t>
            </w:r>
          </w:p>
        </w:tc>
        <w:tc>
          <w:tcPr>
            <w:tcW w:w="53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53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558"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57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347" w:type="pct"/>
            <w:gridSpan w:val="3"/>
            <w:tcBorders>
              <w:top w:val="nil"/>
              <w:left w:val="single" w:color="000000" w:sz="4" w:space="0"/>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2080502</w:t>
            </w:r>
          </w:p>
        </w:tc>
        <w:tc>
          <w:tcPr>
            <w:tcW w:w="1395" w:type="pct"/>
            <w:tcBorders>
              <w:top w:val="nil"/>
              <w:left w:val="nil"/>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 xml:space="preserve">  事业单位离退休</w:t>
            </w:r>
          </w:p>
        </w:tc>
        <w:tc>
          <w:tcPr>
            <w:tcW w:w="53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26.59</w:t>
            </w:r>
          </w:p>
        </w:tc>
        <w:tc>
          <w:tcPr>
            <w:tcW w:w="53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26.59</w:t>
            </w:r>
          </w:p>
        </w:tc>
        <w:tc>
          <w:tcPr>
            <w:tcW w:w="53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53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558"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57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347" w:type="pct"/>
            <w:gridSpan w:val="3"/>
            <w:tcBorders>
              <w:top w:val="nil"/>
              <w:left w:val="single" w:color="000000" w:sz="4" w:space="0"/>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2080505</w:t>
            </w:r>
          </w:p>
        </w:tc>
        <w:tc>
          <w:tcPr>
            <w:tcW w:w="1395" w:type="pct"/>
            <w:tcBorders>
              <w:top w:val="nil"/>
              <w:left w:val="nil"/>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 xml:space="preserve">  机关事业单位基本养老保险缴费支出</w:t>
            </w:r>
          </w:p>
        </w:tc>
        <w:tc>
          <w:tcPr>
            <w:tcW w:w="53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10.87</w:t>
            </w:r>
          </w:p>
        </w:tc>
        <w:tc>
          <w:tcPr>
            <w:tcW w:w="53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10.87</w:t>
            </w:r>
          </w:p>
        </w:tc>
        <w:tc>
          <w:tcPr>
            <w:tcW w:w="53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53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558"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57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347" w:type="pct"/>
            <w:gridSpan w:val="3"/>
            <w:tcBorders>
              <w:top w:val="nil"/>
              <w:left w:val="single" w:color="000000" w:sz="4" w:space="0"/>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210</w:t>
            </w:r>
          </w:p>
        </w:tc>
        <w:tc>
          <w:tcPr>
            <w:tcW w:w="1395" w:type="pct"/>
            <w:tcBorders>
              <w:top w:val="nil"/>
              <w:left w:val="nil"/>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卫生健康支出</w:t>
            </w:r>
          </w:p>
        </w:tc>
        <w:tc>
          <w:tcPr>
            <w:tcW w:w="53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5.75</w:t>
            </w:r>
          </w:p>
        </w:tc>
        <w:tc>
          <w:tcPr>
            <w:tcW w:w="53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5.75</w:t>
            </w:r>
          </w:p>
        </w:tc>
        <w:tc>
          <w:tcPr>
            <w:tcW w:w="53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53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558"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57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347" w:type="pct"/>
            <w:gridSpan w:val="3"/>
            <w:tcBorders>
              <w:top w:val="nil"/>
              <w:left w:val="single" w:color="000000" w:sz="4" w:space="0"/>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21011</w:t>
            </w:r>
          </w:p>
        </w:tc>
        <w:tc>
          <w:tcPr>
            <w:tcW w:w="1395" w:type="pct"/>
            <w:tcBorders>
              <w:top w:val="nil"/>
              <w:left w:val="nil"/>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行政事业单位医疗</w:t>
            </w:r>
          </w:p>
        </w:tc>
        <w:tc>
          <w:tcPr>
            <w:tcW w:w="53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5.75</w:t>
            </w:r>
          </w:p>
        </w:tc>
        <w:tc>
          <w:tcPr>
            <w:tcW w:w="53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5.75</w:t>
            </w:r>
          </w:p>
        </w:tc>
        <w:tc>
          <w:tcPr>
            <w:tcW w:w="53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53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558"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57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347" w:type="pct"/>
            <w:gridSpan w:val="3"/>
            <w:tcBorders>
              <w:top w:val="nil"/>
              <w:left w:val="single" w:color="000000" w:sz="4" w:space="0"/>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2101101</w:t>
            </w:r>
          </w:p>
        </w:tc>
        <w:tc>
          <w:tcPr>
            <w:tcW w:w="1395" w:type="pct"/>
            <w:tcBorders>
              <w:top w:val="nil"/>
              <w:left w:val="nil"/>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 xml:space="preserve">  行政单位医疗</w:t>
            </w:r>
          </w:p>
        </w:tc>
        <w:tc>
          <w:tcPr>
            <w:tcW w:w="53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0.70</w:t>
            </w:r>
          </w:p>
        </w:tc>
        <w:tc>
          <w:tcPr>
            <w:tcW w:w="53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0.70</w:t>
            </w:r>
          </w:p>
        </w:tc>
        <w:tc>
          <w:tcPr>
            <w:tcW w:w="53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53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558"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57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347" w:type="pct"/>
            <w:gridSpan w:val="3"/>
            <w:tcBorders>
              <w:top w:val="nil"/>
              <w:left w:val="single" w:color="000000" w:sz="4" w:space="0"/>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2101102</w:t>
            </w:r>
          </w:p>
        </w:tc>
        <w:tc>
          <w:tcPr>
            <w:tcW w:w="1395" w:type="pct"/>
            <w:tcBorders>
              <w:top w:val="nil"/>
              <w:left w:val="nil"/>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 xml:space="preserve">  事业单位医疗</w:t>
            </w:r>
          </w:p>
        </w:tc>
        <w:tc>
          <w:tcPr>
            <w:tcW w:w="53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4.52</w:t>
            </w:r>
          </w:p>
        </w:tc>
        <w:tc>
          <w:tcPr>
            <w:tcW w:w="53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4.52</w:t>
            </w:r>
          </w:p>
        </w:tc>
        <w:tc>
          <w:tcPr>
            <w:tcW w:w="53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53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558"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57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347" w:type="pct"/>
            <w:gridSpan w:val="3"/>
            <w:tcBorders>
              <w:top w:val="nil"/>
              <w:left w:val="single" w:color="000000" w:sz="4" w:space="0"/>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2101103</w:t>
            </w:r>
          </w:p>
        </w:tc>
        <w:tc>
          <w:tcPr>
            <w:tcW w:w="1395" w:type="pct"/>
            <w:tcBorders>
              <w:top w:val="nil"/>
              <w:left w:val="nil"/>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 xml:space="preserve">  公务员医疗补助</w:t>
            </w:r>
          </w:p>
        </w:tc>
        <w:tc>
          <w:tcPr>
            <w:tcW w:w="53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0.53</w:t>
            </w:r>
          </w:p>
        </w:tc>
        <w:tc>
          <w:tcPr>
            <w:tcW w:w="53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0.53</w:t>
            </w:r>
          </w:p>
        </w:tc>
        <w:tc>
          <w:tcPr>
            <w:tcW w:w="53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53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558"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57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5000" w:type="pct"/>
            <w:gridSpan w:val="10"/>
            <w:tcBorders>
              <w:top w:val="nil"/>
              <w:left w:val="nil"/>
              <w:bottom w:val="nil"/>
              <w:right w:val="nil"/>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注：本表反映</w:t>
            </w:r>
            <w:r>
              <w:rPr>
                <w:rFonts w:hint="eastAsia" w:cs="Arial"/>
                <w:color w:val="auto"/>
                <w:sz w:val="22"/>
                <w:highlight w:val="none"/>
                <w:lang w:eastAsia="zh-CN"/>
              </w:rPr>
              <w:t>单位</w:t>
            </w:r>
            <w:r>
              <w:rPr>
                <w:rFonts w:hint="eastAsia" w:cs="Arial"/>
                <w:color w:val="auto"/>
                <w:sz w:val="22"/>
                <w:highlight w:val="none"/>
              </w:rPr>
              <w:t>本年度各项支出情况。本表金额转换为万元时，因四舍五入可能存在尾差。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5000" w:type="pct"/>
        <w:tblInd w:w="0" w:type="dxa"/>
        <w:tblLayout w:type="autofit"/>
        <w:tblCellMar>
          <w:top w:w="0" w:type="dxa"/>
          <w:left w:w="108" w:type="dxa"/>
          <w:bottom w:w="0" w:type="dxa"/>
          <w:right w:w="108" w:type="dxa"/>
        </w:tblCellMar>
      </w:tblPr>
      <w:tblGrid>
        <w:gridCol w:w="3537"/>
        <w:gridCol w:w="437"/>
        <w:gridCol w:w="1239"/>
        <w:gridCol w:w="3745"/>
        <w:gridCol w:w="437"/>
        <w:gridCol w:w="822"/>
        <w:gridCol w:w="1219"/>
        <w:gridCol w:w="1006"/>
        <w:gridCol w:w="1732"/>
      </w:tblGrid>
      <w:tr>
        <w:tblPrEx>
          <w:tblCellMar>
            <w:top w:w="0" w:type="dxa"/>
            <w:left w:w="108" w:type="dxa"/>
            <w:bottom w:w="0" w:type="dxa"/>
            <w:right w:w="108" w:type="dxa"/>
          </w:tblCellMar>
        </w:tblPrEx>
        <w:trPr>
          <w:trHeight w:val="390" w:hRule="atLeast"/>
        </w:trPr>
        <w:tc>
          <w:tcPr>
            <w:tcW w:w="5000" w:type="pct"/>
            <w:gridSpan w:val="9"/>
            <w:tcBorders>
              <w:top w:val="nil"/>
              <w:left w:val="nil"/>
              <w:bottom w:val="nil"/>
              <w:right w:val="nil"/>
            </w:tcBorders>
            <w:shd w:val="clear" w:color="000000" w:fill="FFFFFF"/>
            <w:noWrap/>
            <w:vAlign w:val="bottom"/>
          </w:tcPr>
          <w:p>
            <w:pPr>
              <w:jc w:val="center"/>
              <w:rPr>
                <w:rFonts w:ascii="宋体" w:hAnsi="宋体" w:cs="Arial"/>
                <w:color w:val="auto"/>
                <w:sz w:val="30"/>
                <w:szCs w:val="30"/>
                <w:highlight w:val="none"/>
              </w:rPr>
            </w:pPr>
            <w:r>
              <w:rPr>
                <w:rFonts w:hint="eastAsia" w:cs="Arial"/>
                <w:color w:val="auto"/>
                <w:sz w:val="30"/>
                <w:szCs w:val="30"/>
                <w:highlight w:val="none"/>
              </w:rPr>
              <w:t>财政拨款收入支出决算总表</w:t>
            </w:r>
          </w:p>
        </w:tc>
      </w:tr>
      <w:tr>
        <w:tblPrEx>
          <w:tblCellMar>
            <w:top w:w="0" w:type="dxa"/>
            <w:left w:w="108" w:type="dxa"/>
            <w:bottom w:w="0" w:type="dxa"/>
            <w:right w:w="108" w:type="dxa"/>
          </w:tblCellMar>
        </w:tblPrEx>
        <w:trPr>
          <w:trHeight w:val="255" w:hRule="atLeast"/>
        </w:trPr>
        <w:tc>
          <w:tcPr>
            <w:tcW w:w="1248" w:type="pct"/>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154" w:type="pct"/>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437" w:type="pct"/>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1321" w:type="pct"/>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154" w:type="pct"/>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290" w:type="pct"/>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430" w:type="pct"/>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355" w:type="pct"/>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611" w:type="pct"/>
            <w:tcBorders>
              <w:top w:val="nil"/>
              <w:left w:val="nil"/>
              <w:bottom w:val="nil"/>
              <w:right w:val="nil"/>
            </w:tcBorders>
            <w:shd w:val="clear" w:color="000000" w:fill="FFFFFF"/>
            <w:noWrap/>
            <w:vAlign w:val="bottom"/>
          </w:tcPr>
          <w:p>
            <w:pPr>
              <w:jc w:val="right"/>
              <w:rPr>
                <w:rFonts w:ascii="宋体" w:hAnsi="宋体" w:cs="Arial"/>
                <w:color w:val="auto"/>
                <w:sz w:val="20"/>
                <w:szCs w:val="20"/>
                <w:highlight w:val="none"/>
              </w:rPr>
            </w:pPr>
            <w:r>
              <w:rPr>
                <w:rFonts w:hint="eastAsia" w:cs="Arial"/>
                <w:color w:val="auto"/>
                <w:sz w:val="20"/>
                <w:szCs w:val="20"/>
                <w:highlight w:val="none"/>
              </w:rPr>
              <w:t>公开04表</w:t>
            </w:r>
          </w:p>
        </w:tc>
      </w:tr>
      <w:tr>
        <w:tblPrEx>
          <w:tblCellMar>
            <w:top w:w="0" w:type="dxa"/>
            <w:left w:w="108" w:type="dxa"/>
            <w:bottom w:w="0" w:type="dxa"/>
            <w:right w:w="108" w:type="dxa"/>
          </w:tblCellMar>
        </w:tblPrEx>
        <w:trPr>
          <w:trHeight w:val="255" w:hRule="atLeast"/>
        </w:trPr>
        <w:tc>
          <w:tcPr>
            <w:tcW w:w="1248" w:type="pct"/>
            <w:tcBorders>
              <w:top w:val="nil"/>
              <w:left w:val="nil"/>
              <w:bottom w:val="nil"/>
              <w:right w:val="nil"/>
            </w:tcBorders>
            <w:shd w:val="clear" w:color="000000" w:fill="FFFFFF"/>
            <w:noWrap/>
            <w:vAlign w:val="bottom"/>
          </w:tcPr>
          <w:p>
            <w:pPr>
              <w:rPr>
                <w:rFonts w:ascii="宋体" w:hAnsi="宋体" w:cs="Arial"/>
                <w:color w:val="auto"/>
                <w:sz w:val="20"/>
                <w:szCs w:val="20"/>
                <w:highlight w:val="none"/>
              </w:rPr>
            </w:pPr>
            <w:r>
              <w:rPr>
                <w:rFonts w:hint="eastAsia" w:cs="Arial"/>
                <w:color w:val="auto"/>
                <w:sz w:val="20"/>
                <w:szCs w:val="20"/>
                <w:highlight w:val="none"/>
                <w:lang w:eastAsia="zh-CN"/>
              </w:rPr>
              <w:t>单位</w:t>
            </w:r>
            <w:r>
              <w:rPr>
                <w:rFonts w:hint="eastAsia" w:cs="Arial"/>
                <w:color w:val="auto"/>
                <w:sz w:val="20"/>
                <w:szCs w:val="20"/>
                <w:highlight w:val="none"/>
              </w:rPr>
              <w:t>：许昌市电化教育馆</w:t>
            </w:r>
          </w:p>
        </w:tc>
        <w:tc>
          <w:tcPr>
            <w:tcW w:w="154" w:type="pct"/>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437" w:type="pct"/>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1321" w:type="pct"/>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154" w:type="pct"/>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290" w:type="pct"/>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430" w:type="pct"/>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355" w:type="pct"/>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611" w:type="pct"/>
            <w:tcBorders>
              <w:top w:val="nil"/>
              <w:left w:val="nil"/>
              <w:bottom w:val="nil"/>
              <w:right w:val="nil"/>
            </w:tcBorders>
            <w:shd w:val="clear" w:color="000000" w:fill="FFFFFF"/>
            <w:noWrap/>
            <w:vAlign w:val="bottom"/>
          </w:tcPr>
          <w:p>
            <w:pPr>
              <w:jc w:val="right"/>
              <w:rPr>
                <w:rFonts w:ascii="宋体" w:hAnsi="宋体" w:cs="Arial"/>
                <w:color w:val="auto"/>
                <w:sz w:val="20"/>
                <w:szCs w:val="20"/>
                <w:highlight w:val="none"/>
              </w:rPr>
            </w:pPr>
            <w:r>
              <w:rPr>
                <w:rFonts w:hint="eastAsia" w:cs="Arial"/>
                <w:color w:val="auto"/>
                <w:sz w:val="20"/>
                <w:szCs w:val="20"/>
                <w:highlight w:val="none"/>
              </w:rPr>
              <w:t>金额单位：万元</w:t>
            </w:r>
          </w:p>
        </w:tc>
      </w:tr>
      <w:tr>
        <w:tblPrEx>
          <w:tblCellMar>
            <w:top w:w="0" w:type="dxa"/>
            <w:left w:w="108" w:type="dxa"/>
            <w:bottom w:w="0" w:type="dxa"/>
            <w:right w:w="108" w:type="dxa"/>
          </w:tblCellMar>
        </w:tblPrEx>
        <w:trPr>
          <w:trHeight w:val="308" w:hRule="atLeast"/>
        </w:trPr>
        <w:tc>
          <w:tcPr>
            <w:tcW w:w="1839" w:type="pct"/>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收     入</w:t>
            </w:r>
          </w:p>
        </w:tc>
        <w:tc>
          <w:tcPr>
            <w:tcW w:w="3161" w:type="pct"/>
            <w:gridSpan w:val="6"/>
            <w:tcBorders>
              <w:top w:val="single" w:color="000000" w:sz="4" w:space="0"/>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支     出</w:t>
            </w:r>
          </w:p>
        </w:tc>
      </w:tr>
      <w:tr>
        <w:tblPrEx>
          <w:tblCellMar>
            <w:top w:w="0" w:type="dxa"/>
            <w:left w:w="108" w:type="dxa"/>
            <w:bottom w:w="0" w:type="dxa"/>
            <w:right w:w="108" w:type="dxa"/>
          </w:tblCellMar>
        </w:tblPrEx>
        <w:trPr>
          <w:trHeight w:val="312" w:hRule="atLeast"/>
        </w:trPr>
        <w:tc>
          <w:tcPr>
            <w:tcW w:w="1248" w:type="pct"/>
            <w:vMerge w:val="restart"/>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项目</w:t>
            </w:r>
          </w:p>
        </w:tc>
        <w:tc>
          <w:tcPr>
            <w:tcW w:w="154" w:type="pct"/>
            <w:vMerge w:val="restart"/>
            <w:tcBorders>
              <w:top w:val="nil"/>
              <w:left w:val="nil"/>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行次</w:t>
            </w:r>
          </w:p>
        </w:tc>
        <w:tc>
          <w:tcPr>
            <w:tcW w:w="437" w:type="pct"/>
            <w:vMerge w:val="restart"/>
            <w:tcBorders>
              <w:top w:val="nil"/>
              <w:left w:val="nil"/>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金额</w:t>
            </w:r>
          </w:p>
        </w:tc>
        <w:tc>
          <w:tcPr>
            <w:tcW w:w="1321" w:type="pct"/>
            <w:vMerge w:val="restart"/>
            <w:tcBorders>
              <w:top w:val="nil"/>
              <w:left w:val="nil"/>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项目</w:t>
            </w:r>
          </w:p>
        </w:tc>
        <w:tc>
          <w:tcPr>
            <w:tcW w:w="154" w:type="pct"/>
            <w:vMerge w:val="restart"/>
            <w:tcBorders>
              <w:top w:val="nil"/>
              <w:left w:val="nil"/>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行次</w:t>
            </w:r>
          </w:p>
        </w:tc>
        <w:tc>
          <w:tcPr>
            <w:tcW w:w="290" w:type="pct"/>
            <w:vMerge w:val="restar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合计</w:t>
            </w:r>
          </w:p>
        </w:tc>
        <w:tc>
          <w:tcPr>
            <w:tcW w:w="430" w:type="pct"/>
            <w:vMerge w:val="restart"/>
            <w:tcBorders>
              <w:top w:val="nil"/>
              <w:left w:val="nil"/>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一般公共预算财政拨款</w:t>
            </w:r>
          </w:p>
        </w:tc>
        <w:tc>
          <w:tcPr>
            <w:tcW w:w="355" w:type="pct"/>
            <w:vMerge w:val="restart"/>
            <w:tcBorders>
              <w:top w:val="nil"/>
              <w:left w:val="nil"/>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政府性基金预算财政拨款</w:t>
            </w:r>
          </w:p>
        </w:tc>
        <w:tc>
          <w:tcPr>
            <w:tcW w:w="611" w:type="pct"/>
            <w:vMerge w:val="restart"/>
            <w:tcBorders>
              <w:top w:val="nil"/>
              <w:left w:val="nil"/>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国有资本经营预算财政拨款</w:t>
            </w:r>
          </w:p>
        </w:tc>
      </w:tr>
      <w:tr>
        <w:tblPrEx>
          <w:tblCellMar>
            <w:top w:w="0" w:type="dxa"/>
            <w:left w:w="108" w:type="dxa"/>
            <w:bottom w:w="0" w:type="dxa"/>
            <w:right w:w="108" w:type="dxa"/>
          </w:tblCellMar>
        </w:tblPrEx>
        <w:trPr>
          <w:trHeight w:val="615" w:hRule="atLeast"/>
        </w:trPr>
        <w:tc>
          <w:tcPr>
            <w:tcW w:w="1248" w:type="pct"/>
            <w:vMerge w:val="continue"/>
            <w:tcBorders>
              <w:top w:val="nil"/>
              <w:left w:val="single" w:color="000000" w:sz="4" w:space="0"/>
              <w:bottom w:val="single" w:color="000000" w:sz="4" w:space="0"/>
              <w:right w:val="single" w:color="000000" w:sz="4" w:space="0"/>
            </w:tcBorders>
            <w:noWrap w:val="0"/>
            <w:vAlign w:val="center"/>
          </w:tcPr>
          <w:p>
            <w:pPr>
              <w:rPr>
                <w:rFonts w:ascii="宋体" w:hAnsi="宋体" w:cs="Arial"/>
                <w:color w:val="auto"/>
                <w:sz w:val="22"/>
                <w:highlight w:val="none"/>
              </w:rPr>
            </w:pPr>
          </w:p>
        </w:tc>
        <w:tc>
          <w:tcPr>
            <w:tcW w:w="154" w:type="pct"/>
            <w:vMerge w:val="continue"/>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437" w:type="pct"/>
            <w:vMerge w:val="continue"/>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1321" w:type="pct"/>
            <w:vMerge w:val="continue"/>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154" w:type="pct"/>
            <w:vMerge w:val="continue"/>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290" w:type="pct"/>
            <w:vMerge w:val="continue"/>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430" w:type="pct"/>
            <w:vMerge w:val="continue"/>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355" w:type="pct"/>
            <w:vMerge w:val="continue"/>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611" w:type="pct"/>
            <w:vMerge w:val="continue"/>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p>
        </w:tc>
      </w:tr>
      <w:tr>
        <w:tblPrEx>
          <w:tblCellMar>
            <w:top w:w="0" w:type="dxa"/>
            <w:left w:w="108" w:type="dxa"/>
            <w:bottom w:w="0" w:type="dxa"/>
            <w:right w:w="108" w:type="dxa"/>
          </w:tblCellMar>
        </w:tblPrEx>
        <w:trPr>
          <w:trHeight w:val="308" w:hRule="atLeast"/>
        </w:trPr>
        <w:tc>
          <w:tcPr>
            <w:tcW w:w="1248" w:type="pct"/>
            <w:tcBorders>
              <w:top w:val="nil"/>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栏次</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　</w:t>
            </w:r>
          </w:p>
        </w:tc>
        <w:tc>
          <w:tcPr>
            <w:tcW w:w="437"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1</w:t>
            </w:r>
          </w:p>
        </w:tc>
        <w:tc>
          <w:tcPr>
            <w:tcW w:w="1321"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栏次</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　</w:t>
            </w:r>
          </w:p>
        </w:tc>
        <w:tc>
          <w:tcPr>
            <w:tcW w:w="290"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2</w:t>
            </w:r>
          </w:p>
        </w:tc>
        <w:tc>
          <w:tcPr>
            <w:tcW w:w="430"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3</w:t>
            </w:r>
          </w:p>
        </w:tc>
        <w:tc>
          <w:tcPr>
            <w:tcW w:w="355"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4</w:t>
            </w:r>
          </w:p>
        </w:tc>
        <w:tc>
          <w:tcPr>
            <w:tcW w:w="611"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5</w:t>
            </w:r>
          </w:p>
        </w:tc>
      </w:tr>
      <w:tr>
        <w:tblPrEx>
          <w:tblCellMar>
            <w:top w:w="0" w:type="dxa"/>
            <w:left w:w="108" w:type="dxa"/>
            <w:bottom w:w="0" w:type="dxa"/>
            <w:right w:w="108" w:type="dxa"/>
          </w:tblCellMar>
        </w:tblPrEx>
        <w:trPr>
          <w:trHeight w:val="308" w:hRule="atLeast"/>
        </w:trPr>
        <w:tc>
          <w:tcPr>
            <w:tcW w:w="1248" w:type="pct"/>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一、一般公共预算财政拨款</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1</w:t>
            </w:r>
          </w:p>
        </w:tc>
        <w:tc>
          <w:tcPr>
            <w:tcW w:w="437"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167.48</w:t>
            </w:r>
          </w:p>
        </w:tc>
        <w:tc>
          <w:tcPr>
            <w:tcW w:w="1321"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一、一般公共服务支出</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33</w:t>
            </w:r>
          </w:p>
        </w:tc>
        <w:tc>
          <w:tcPr>
            <w:tcW w:w="29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0.84</w:t>
            </w:r>
          </w:p>
        </w:tc>
        <w:tc>
          <w:tcPr>
            <w:tcW w:w="43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0.84</w:t>
            </w:r>
          </w:p>
        </w:tc>
        <w:tc>
          <w:tcPr>
            <w:tcW w:w="35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61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1248" w:type="pct"/>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二、政府性基金预算财政拨款</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2</w:t>
            </w:r>
          </w:p>
        </w:tc>
        <w:tc>
          <w:tcPr>
            <w:tcW w:w="437"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1321"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二、外交支出</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34</w:t>
            </w:r>
          </w:p>
        </w:tc>
        <w:tc>
          <w:tcPr>
            <w:tcW w:w="29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3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5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61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1248" w:type="pct"/>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三、国有资本经营财政拨款</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3</w:t>
            </w:r>
          </w:p>
        </w:tc>
        <w:tc>
          <w:tcPr>
            <w:tcW w:w="437"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1321"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三、国防支出</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35</w:t>
            </w:r>
          </w:p>
        </w:tc>
        <w:tc>
          <w:tcPr>
            <w:tcW w:w="29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3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5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61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1248" w:type="pct"/>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4</w:t>
            </w:r>
          </w:p>
        </w:tc>
        <w:tc>
          <w:tcPr>
            <w:tcW w:w="437"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1321"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四、公共安全支出</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36</w:t>
            </w:r>
          </w:p>
        </w:tc>
        <w:tc>
          <w:tcPr>
            <w:tcW w:w="29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3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5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61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1248" w:type="pct"/>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5</w:t>
            </w:r>
          </w:p>
        </w:tc>
        <w:tc>
          <w:tcPr>
            <w:tcW w:w="437"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1321"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五、教育支出</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37</w:t>
            </w:r>
          </w:p>
        </w:tc>
        <w:tc>
          <w:tcPr>
            <w:tcW w:w="29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141.30</w:t>
            </w:r>
          </w:p>
        </w:tc>
        <w:tc>
          <w:tcPr>
            <w:tcW w:w="43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141.30</w:t>
            </w:r>
          </w:p>
        </w:tc>
        <w:tc>
          <w:tcPr>
            <w:tcW w:w="35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61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1248" w:type="pct"/>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6</w:t>
            </w:r>
          </w:p>
        </w:tc>
        <w:tc>
          <w:tcPr>
            <w:tcW w:w="437"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1321"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六、科学技术支出</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38</w:t>
            </w:r>
          </w:p>
        </w:tc>
        <w:tc>
          <w:tcPr>
            <w:tcW w:w="29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3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5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61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1248" w:type="pct"/>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7</w:t>
            </w:r>
          </w:p>
        </w:tc>
        <w:tc>
          <w:tcPr>
            <w:tcW w:w="437"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1321"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七、文化旅游体育与传媒支出</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39</w:t>
            </w:r>
          </w:p>
        </w:tc>
        <w:tc>
          <w:tcPr>
            <w:tcW w:w="29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3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5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61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1248" w:type="pct"/>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8</w:t>
            </w:r>
          </w:p>
        </w:tc>
        <w:tc>
          <w:tcPr>
            <w:tcW w:w="437"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1321"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八、社会保障和就业支出</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40</w:t>
            </w:r>
          </w:p>
        </w:tc>
        <w:tc>
          <w:tcPr>
            <w:tcW w:w="29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37.46</w:t>
            </w:r>
          </w:p>
        </w:tc>
        <w:tc>
          <w:tcPr>
            <w:tcW w:w="43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37.46</w:t>
            </w:r>
          </w:p>
        </w:tc>
        <w:tc>
          <w:tcPr>
            <w:tcW w:w="35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61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1248" w:type="pct"/>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9</w:t>
            </w:r>
          </w:p>
        </w:tc>
        <w:tc>
          <w:tcPr>
            <w:tcW w:w="437"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1321"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九、卫生健康支出</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41</w:t>
            </w:r>
          </w:p>
        </w:tc>
        <w:tc>
          <w:tcPr>
            <w:tcW w:w="29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5.75</w:t>
            </w:r>
          </w:p>
        </w:tc>
        <w:tc>
          <w:tcPr>
            <w:tcW w:w="43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5.75</w:t>
            </w:r>
          </w:p>
        </w:tc>
        <w:tc>
          <w:tcPr>
            <w:tcW w:w="35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61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1248" w:type="pct"/>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10</w:t>
            </w:r>
          </w:p>
        </w:tc>
        <w:tc>
          <w:tcPr>
            <w:tcW w:w="437"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1321"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十、节能环保支出</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42</w:t>
            </w:r>
          </w:p>
        </w:tc>
        <w:tc>
          <w:tcPr>
            <w:tcW w:w="29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3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5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61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1248" w:type="pct"/>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11</w:t>
            </w:r>
          </w:p>
        </w:tc>
        <w:tc>
          <w:tcPr>
            <w:tcW w:w="437"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1321"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十一、城乡社区支出</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43</w:t>
            </w:r>
          </w:p>
        </w:tc>
        <w:tc>
          <w:tcPr>
            <w:tcW w:w="29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3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5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61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1248" w:type="pct"/>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12</w:t>
            </w:r>
          </w:p>
        </w:tc>
        <w:tc>
          <w:tcPr>
            <w:tcW w:w="437"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1321"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十二、农林水支出</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44</w:t>
            </w:r>
          </w:p>
        </w:tc>
        <w:tc>
          <w:tcPr>
            <w:tcW w:w="29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3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5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61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1248" w:type="pct"/>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13</w:t>
            </w:r>
          </w:p>
        </w:tc>
        <w:tc>
          <w:tcPr>
            <w:tcW w:w="437"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1321"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十三、交通运输支出</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45</w:t>
            </w:r>
          </w:p>
        </w:tc>
        <w:tc>
          <w:tcPr>
            <w:tcW w:w="29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3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5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61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1248" w:type="pct"/>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14</w:t>
            </w:r>
          </w:p>
        </w:tc>
        <w:tc>
          <w:tcPr>
            <w:tcW w:w="437"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1321"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十四、资源勘探工业信息等支出</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46</w:t>
            </w:r>
          </w:p>
        </w:tc>
        <w:tc>
          <w:tcPr>
            <w:tcW w:w="29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3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5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61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1248" w:type="pct"/>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15</w:t>
            </w:r>
          </w:p>
        </w:tc>
        <w:tc>
          <w:tcPr>
            <w:tcW w:w="437"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1321"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十五、商业服务业等支出</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47</w:t>
            </w:r>
          </w:p>
        </w:tc>
        <w:tc>
          <w:tcPr>
            <w:tcW w:w="29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3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5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61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1248" w:type="pct"/>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16</w:t>
            </w:r>
          </w:p>
        </w:tc>
        <w:tc>
          <w:tcPr>
            <w:tcW w:w="437"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1321"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十六、金融支出</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48</w:t>
            </w:r>
          </w:p>
        </w:tc>
        <w:tc>
          <w:tcPr>
            <w:tcW w:w="29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3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5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61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1248" w:type="pct"/>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17</w:t>
            </w:r>
          </w:p>
        </w:tc>
        <w:tc>
          <w:tcPr>
            <w:tcW w:w="437"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1321"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十七、援助其他地区支出</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49</w:t>
            </w:r>
          </w:p>
        </w:tc>
        <w:tc>
          <w:tcPr>
            <w:tcW w:w="29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3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5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61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1248" w:type="pct"/>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18</w:t>
            </w:r>
          </w:p>
        </w:tc>
        <w:tc>
          <w:tcPr>
            <w:tcW w:w="437"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1321"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十八、自然资源海洋气象等支出</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50</w:t>
            </w:r>
          </w:p>
        </w:tc>
        <w:tc>
          <w:tcPr>
            <w:tcW w:w="29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3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5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61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1248" w:type="pct"/>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19</w:t>
            </w:r>
          </w:p>
        </w:tc>
        <w:tc>
          <w:tcPr>
            <w:tcW w:w="437"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1321"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十九、住房保障支出</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51</w:t>
            </w:r>
          </w:p>
        </w:tc>
        <w:tc>
          <w:tcPr>
            <w:tcW w:w="29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3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5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61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1248" w:type="pct"/>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20</w:t>
            </w:r>
          </w:p>
        </w:tc>
        <w:tc>
          <w:tcPr>
            <w:tcW w:w="437"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1321"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二十、粮油物资储备支出</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52</w:t>
            </w:r>
          </w:p>
        </w:tc>
        <w:tc>
          <w:tcPr>
            <w:tcW w:w="29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3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5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61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1248" w:type="pct"/>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21</w:t>
            </w:r>
          </w:p>
        </w:tc>
        <w:tc>
          <w:tcPr>
            <w:tcW w:w="437"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1321"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二十一、国有资本经营预算支出</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53</w:t>
            </w:r>
          </w:p>
        </w:tc>
        <w:tc>
          <w:tcPr>
            <w:tcW w:w="29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3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5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61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1248" w:type="pct"/>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22</w:t>
            </w:r>
          </w:p>
        </w:tc>
        <w:tc>
          <w:tcPr>
            <w:tcW w:w="437"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1321"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二十二、灾害防治及应急管理支出</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54</w:t>
            </w:r>
          </w:p>
        </w:tc>
        <w:tc>
          <w:tcPr>
            <w:tcW w:w="29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3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5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61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1248" w:type="pct"/>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23</w:t>
            </w:r>
          </w:p>
        </w:tc>
        <w:tc>
          <w:tcPr>
            <w:tcW w:w="437"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1321"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二十三、其他支出</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55</w:t>
            </w:r>
          </w:p>
        </w:tc>
        <w:tc>
          <w:tcPr>
            <w:tcW w:w="29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3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5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61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1248" w:type="pct"/>
            <w:tcBorders>
              <w:top w:val="nil"/>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Arial"/>
                <w:b/>
                <w:bCs/>
                <w:color w:val="auto"/>
                <w:sz w:val="20"/>
                <w:szCs w:val="20"/>
                <w:highlight w:val="none"/>
              </w:rPr>
            </w:pPr>
            <w:r>
              <w:rPr>
                <w:rFonts w:hint="eastAsia" w:cs="Arial"/>
                <w:b/>
                <w:bCs/>
                <w:color w:val="auto"/>
                <w:sz w:val="20"/>
                <w:szCs w:val="20"/>
                <w:highlight w:val="none"/>
              </w:rPr>
              <w:t>　</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24</w:t>
            </w:r>
          </w:p>
        </w:tc>
        <w:tc>
          <w:tcPr>
            <w:tcW w:w="437"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1321"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二十四、债务还本支出</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56</w:t>
            </w:r>
          </w:p>
        </w:tc>
        <w:tc>
          <w:tcPr>
            <w:tcW w:w="29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3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5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61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1248" w:type="pct"/>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0"/>
                <w:szCs w:val="20"/>
                <w:highlight w:val="none"/>
              </w:rPr>
            </w:pPr>
            <w:r>
              <w:rPr>
                <w:rFonts w:hint="eastAsia" w:cs="Arial"/>
                <w:color w:val="auto"/>
                <w:sz w:val="20"/>
                <w:szCs w:val="20"/>
                <w:highlight w:val="none"/>
              </w:rPr>
              <w:t>　</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25</w:t>
            </w:r>
          </w:p>
        </w:tc>
        <w:tc>
          <w:tcPr>
            <w:tcW w:w="437"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1321"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二十五、债务付息支出</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57</w:t>
            </w:r>
          </w:p>
        </w:tc>
        <w:tc>
          <w:tcPr>
            <w:tcW w:w="29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3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5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61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1248" w:type="pct"/>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0"/>
                <w:szCs w:val="20"/>
                <w:highlight w:val="none"/>
              </w:rPr>
            </w:pPr>
            <w:r>
              <w:rPr>
                <w:rFonts w:hint="eastAsia" w:cs="Arial"/>
                <w:color w:val="auto"/>
                <w:sz w:val="20"/>
                <w:szCs w:val="20"/>
                <w:highlight w:val="none"/>
              </w:rPr>
              <w:t>　</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26</w:t>
            </w:r>
          </w:p>
        </w:tc>
        <w:tc>
          <w:tcPr>
            <w:tcW w:w="437"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1321"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二十六、抗疫特别国债安排的支出</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58</w:t>
            </w:r>
          </w:p>
        </w:tc>
        <w:tc>
          <w:tcPr>
            <w:tcW w:w="29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3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5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61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1248" w:type="pct"/>
            <w:tcBorders>
              <w:top w:val="nil"/>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Arial"/>
                <w:b/>
                <w:bCs/>
                <w:color w:val="auto"/>
                <w:sz w:val="22"/>
                <w:highlight w:val="none"/>
              </w:rPr>
            </w:pPr>
            <w:r>
              <w:rPr>
                <w:rFonts w:hint="eastAsia" w:cs="Arial"/>
                <w:b/>
                <w:bCs/>
                <w:color w:val="auto"/>
                <w:sz w:val="22"/>
                <w:highlight w:val="none"/>
              </w:rPr>
              <w:t>本年收入合计</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27</w:t>
            </w:r>
          </w:p>
        </w:tc>
        <w:tc>
          <w:tcPr>
            <w:tcW w:w="437"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167.48</w:t>
            </w:r>
          </w:p>
        </w:tc>
        <w:tc>
          <w:tcPr>
            <w:tcW w:w="1321"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b/>
                <w:bCs/>
                <w:color w:val="auto"/>
                <w:sz w:val="22"/>
                <w:highlight w:val="none"/>
              </w:rPr>
            </w:pPr>
            <w:r>
              <w:rPr>
                <w:rFonts w:hint="eastAsia" w:cs="Arial"/>
                <w:b/>
                <w:bCs/>
                <w:color w:val="auto"/>
                <w:sz w:val="22"/>
                <w:highlight w:val="none"/>
              </w:rPr>
              <w:t>本年支出合计</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59</w:t>
            </w:r>
          </w:p>
        </w:tc>
        <w:tc>
          <w:tcPr>
            <w:tcW w:w="29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185.34</w:t>
            </w:r>
          </w:p>
        </w:tc>
        <w:tc>
          <w:tcPr>
            <w:tcW w:w="43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185.34</w:t>
            </w:r>
          </w:p>
        </w:tc>
        <w:tc>
          <w:tcPr>
            <w:tcW w:w="35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61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1248" w:type="pct"/>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年初财政拨款结转和结余</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28</w:t>
            </w:r>
          </w:p>
        </w:tc>
        <w:tc>
          <w:tcPr>
            <w:tcW w:w="437"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17.87</w:t>
            </w:r>
          </w:p>
        </w:tc>
        <w:tc>
          <w:tcPr>
            <w:tcW w:w="1321"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年末财政拨款结转和结余</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60</w:t>
            </w:r>
          </w:p>
        </w:tc>
        <w:tc>
          <w:tcPr>
            <w:tcW w:w="29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3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5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61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1248" w:type="pct"/>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一般公共预算财政拨款</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29</w:t>
            </w:r>
          </w:p>
        </w:tc>
        <w:tc>
          <w:tcPr>
            <w:tcW w:w="437"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17.87</w:t>
            </w:r>
          </w:p>
        </w:tc>
        <w:tc>
          <w:tcPr>
            <w:tcW w:w="1321"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61</w:t>
            </w:r>
          </w:p>
        </w:tc>
        <w:tc>
          <w:tcPr>
            <w:tcW w:w="29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3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5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61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1248" w:type="pct"/>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政府性基金预算财政拨款</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30</w:t>
            </w:r>
          </w:p>
        </w:tc>
        <w:tc>
          <w:tcPr>
            <w:tcW w:w="437"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1321"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62</w:t>
            </w:r>
          </w:p>
        </w:tc>
        <w:tc>
          <w:tcPr>
            <w:tcW w:w="29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3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5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61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1248" w:type="pct"/>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国有资本经营预算财政拨款</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31</w:t>
            </w:r>
          </w:p>
        </w:tc>
        <w:tc>
          <w:tcPr>
            <w:tcW w:w="437"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1321"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63</w:t>
            </w:r>
          </w:p>
        </w:tc>
        <w:tc>
          <w:tcPr>
            <w:tcW w:w="29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3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5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61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1248" w:type="pct"/>
            <w:tcBorders>
              <w:top w:val="nil"/>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Arial"/>
                <w:b/>
                <w:bCs/>
                <w:color w:val="auto"/>
                <w:sz w:val="22"/>
                <w:highlight w:val="none"/>
              </w:rPr>
            </w:pPr>
            <w:r>
              <w:rPr>
                <w:rFonts w:hint="eastAsia" w:cs="Arial"/>
                <w:b/>
                <w:bCs/>
                <w:color w:val="auto"/>
                <w:sz w:val="22"/>
                <w:highlight w:val="none"/>
              </w:rPr>
              <w:t>总计</w:t>
            </w:r>
          </w:p>
        </w:tc>
        <w:tc>
          <w:tcPr>
            <w:tcW w:w="154" w:type="pct"/>
            <w:tcBorders>
              <w:top w:val="nil"/>
              <w:left w:val="nil"/>
              <w:bottom w:val="single" w:color="000000" w:sz="8"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32</w:t>
            </w:r>
          </w:p>
        </w:tc>
        <w:tc>
          <w:tcPr>
            <w:tcW w:w="437"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185.34</w:t>
            </w:r>
          </w:p>
        </w:tc>
        <w:tc>
          <w:tcPr>
            <w:tcW w:w="1321"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b/>
                <w:bCs/>
                <w:color w:val="auto"/>
                <w:sz w:val="22"/>
                <w:highlight w:val="none"/>
              </w:rPr>
            </w:pPr>
            <w:r>
              <w:rPr>
                <w:rFonts w:hint="eastAsia" w:cs="Arial"/>
                <w:b/>
                <w:bCs/>
                <w:color w:val="auto"/>
                <w:sz w:val="22"/>
                <w:highlight w:val="none"/>
              </w:rPr>
              <w:t>总计</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64</w:t>
            </w:r>
          </w:p>
        </w:tc>
        <w:tc>
          <w:tcPr>
            <w:tcW w:w="29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185.34</w:t>
            </w:r>
          </w:p>
        </w:tc>
        <w:tc>
          <w:tcPr>
            <w:tcW w:w="43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185.34</w:t>
            </w:r>
          </w:p>
        </w:tc>
        <w:tc>
          <w:tcPr>
            <w:tcW w:w="35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61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585" w:hRule="atLeast"/>
        </w:trPr>
        <w:tc>
          <w:tcPr>
            <w:tcW w:w="5000" w:type="pct"/>
            <w:gridSpan w:val="9"/>
            <w:tcBorders>
              <w:top w:val="nil"/>
              <w:left w:val="nil"/>
              <w:bottom w:val="nil"/>
              <w:right w:val="nil"/>
            </w:tcBorders>
            <w:shd w:val="clear" w:color="000000" w:fill="FFFFFF"/>
            <w:noWrap w:val="0"/>
            <w:vAlign w:val="center"/>
          </w:tcPr>
          <w:p>
            <w:pPr>
              <w:rPr>
                <w:rFonts w:ascii="宋体" w:hAnsi="宋体" w:cs="Arial"/>
                <w:color w:val="auto"/>
                <w:sz w:val="22"/>
                <w:highlight w:val="none"/>
              </w:rPr>
            </w:pPr>
            <w:r>
              <w:rPr>
                <w:rFonts w:hint="eastAsia" w:cs="Arial"/>
                <w:color w:val="auto"/>
                <w:sz w:val="22"/>
                <w:highlight w:val="none"/>
              </w:rPr>
              <w:t>注：本表反映</w:t>
            </w:r>
            <w:r>
              <w:rPr>
                <w:rFonts w:hint="eastAsia" w:cs="Arial"/>
                <w:color w:val="auto"/>
                <w:sz w:val="22"/>
                <w:highlight w:val="none"/>
                <w:lang w:eastAsia="zh-CN"/>
              </w:rPr>
              <w:t>单位</w:t>
            </w:r>
            <w:r>
              <w:rPr>
                <w:rFonts w:hint="eastAsia" w:cs="Arial"/>
                <w:color w:val="auto"/>
                <w:sz w:val="22"/>
                <w:highlight w:val="none"/>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344" w:type="dxa"/>
        <w:tblInd w:w="89" w:type="dxa"/>
        <w:tblLayout w:type="autofit"/>
        <w:tblCellMar>
          <w:top w:w="0" w:type="dxa"/>
          <w:left w:w="108" w:type="dxa"/>
          <w:bottom w:w="0" w:type="dxa"/>
          <w:right w:w="108" w:type="dxa"/>
        </w:tblCellMar>
      </w:tblPr>
      <w:tblGrid>
        <w:gridCol w:w="396"/>
        <w:gridCol w:w="316"/>
        <w:gridCol w:w="274"/>
        <w:gridCol w:w="5053"/>
        <w:gridCol w:w="1984"/>
        <w:gridCol w:w="502"/>
        <w:gridCol w:w="1481"/>
        <w:gridCol w:w="929"/>
        <w:gridCol w:w="2410"/>
      </w:tblGrid>
      <w:tr>
        <w:tblPrEx>
          <w:tblCellMar>
            <w:top w:w="0" w:type="dxa"/>
            <w:left w:w="108" w:type="dxa"/>
            <w:bottom w:w="0" w:type="dxa"/>
            <w:right w:w="108" w:type="dxa"/>
          </w:tblCellMar>
        </w:tblPrEx>
        <w:trPr>
          <w:trHeight w:val="390" w:hRule="atLeast"/>
        </w:trPr>
        <w:tc>
          <w:tcPr>
            <w:tcW w:w="13344" w:type="dxa"/>
            <w:gridSpan w:val="9"/>
            <w:tcBorders>
              <w:top w:val="nil"/>
              <w:left w:val="nil"/>
              <w:bottom w:val="nil"/>
              <w:right w:val="nil"/>
            </w:tcBorders>
            <w:shd w:val="clear" w:color="000000" w:fill="FFFFFF"/>
            <w:noWrap/>
            <w:vAlign w:val="bottom"/>
          </w:tcPr>
          <w:p>
            <w:pPr>
              <w:jc w:val="center"/>
              <w:rPr>
                <w:rFonts w:ascii="宋体" w:hAnsi="宋体" w:cs="Arial"/>
                <w:color w:val="auto"/>
                <w:sz w:val="30"/>
                <w:szCs w:val="30"/>
                <w:highlight w:val="none"/>
              </w:rPr>
            </w:pPr>
            <w:r>
              <w:rPr>
                <w:rFonts w:hint="eastAsia" w:cs="Arial"/>
                <w:color w:val="auto"/>
                <w:sz w:val="30"/>
                <w:szCs w:val="30"/>
                <w:highlight w:val="none"/>
              </w:rPr>
              <w:t>一般公共预算财政拨款支出决算表</w:t>
            </w:r>
          </w:p>
        </w:tc>
      </w:tr>
      <w:tr>
        <w:tblPrEx>
          <w:tblCellMar>
            <w:top w:w="0" w:type="dxa"/>
            <w:left w:w="108" w:type="dxa"/>
            <w:bottom w:w="0" w:type="dxa"/>
            <w:right w:w="108" w:type="dxa"/>
          </w:tblCellMar>
        </w:tblPrEx>
        <w:trPr>
          <w:trHeight w:val="255" w:hRule="atLeast"/>
        </w:trPr>
        <w:tc>
          <w:tcPr>
            <w:tcW w:w="396" w:type="dxa"/>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316" w:type="dxa"/>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273" w:type="dxa"/>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5053" w:type="dxa"/>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1984" w:type="dxa"/>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1983" w:type="dxa"/>
            <w:gridSpan w:val="2"/>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3339" w:type="dxa"/>
            <w:gridSpan w:val="2"/>
            <w:tcBorders>
              <w:top w:val="nil"/>
              <w:left w:val="nil"/>
              <w:bottom w:val="nil"/>
              <w:right w:val="nil"/>
            </w:tcBorders>
            <w:shd w:val="clear" w:color="000000" w:fill="FFFFFF"/>
            <w:noWrap/>
            <w:vAlign w:val="bottom"/>
          </w:tcPr>
          <w:p>
            <w:pPr>
              <w:jc w:val="right"/>
              <w:rPr>
                <w:rFonts w:ascii="宋体" w:hAnsi="宋体" w:cs="Arial"/>
                <w:color w:val="auto"/>
                <w:sz w:val="20"/>
                <w:szCs w:val="20"/>
                <w:highlight w:val="none"/>
              </w:rPr>
            </w:pPr>
            <w:r>
              <w:rPr>
                <w:rFonts w:hint="eastAsia" w:cs="Arial"/>
                <w:color w:val="auto"/>
                <w:sz w:val="20"/>
                <w:szCs w:val="20"/>
                <w:highlight w:val="none"/>
              </w:rPr>
              <w:t>公开05表</w:t>
            </w:r>
          </w:p>
        </w:tc>
      </w:tr>
      <w:tr>
        <w:tblPrEx>
          <w:tblCellMar>
            <w:top w:w="0" w:type="dxa"/>
            <w:left w:w="108" w:type="dxa"/>
            <w:bottom w:w="0" w:type="dxa"/>
            <w:right w:w="108" w:type="dxa"/>
          </w:tblCellMar>
        </w:tblPrEx>
        <w:trPr>
          <w:trHeight w:val="255" w:hRule="atLeast"/>
        </w:trPr>
        <w:tc>
          <w:tcPr>
            <w:tcW w:w="6038" w:type="dxa"/>
            <w:gridSpan w:val="4"/>
            <w:tcBorders>
              <w:top w:val="nil"/>
              <w:left w:val="nil"/>
              <w:bottom w:val="nil"/>
              <w:right w:val="nil"/>
            </w:tcBorders>
            <w:shd w:val="clear" w:color="000000" w:fill="FFFFFF"/>
            <w:noWrap/>
            <w:vAlign w:val="bottom"/>
          </w:tcPr>
          <w:p>
            <w:pPr>
              <w:rPr>
                <w:rFonts w:ascii="宋体" w:hAnsi="宋体" w:cs="Arial"/>
                <w:color w:val="auto"/>
                <w:sz w:val="20"/>
                <w:szCs w:val="20"/>
                <w:highlight w:val="none"/>
              </w:rPr>
            </w:pPr>
            <w:r>
              <w:rPr>
                <w:rFonts w:hint="eastAsia" w:cs="Arial"/>
                <w:color w:val="auto"/>
                <w:sz w:val="20"/>
                <w:szCs w:val="20"/>
                <w:highlight w:val="none"/>
                <w:lang w:eastAsia="zh-CN"/>
              </w:rPr>
              <w:t>单位</w:t>
            </w:r>
            <w:r>
              <w:rPr>
                <w:rFonts w:hint="eastAsia" w:cs="Arial"/>
                <w:color w:val="auto"/>
                <w:sz w:val="20"/>
                <w:szCs w:val="20"/>
                <w:highlight w:val="none"/>
              </w:rPr>
              <w:t>：许昌市电化教育馆</w:t>
            </w:r>
          </w:p>
        </w:tc>
        <w:tc>
          <w:tcPr>
            <w:tcW w:w="1984" w:type="dxa"/>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1983" w:type="dxa"/>
            <w:gridSpan w:val="2"/>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3339" w:type="dxa"/>
            <w:gridSpan w:val="2"/>
            <w:tcBorders>
              <w:top w:val="nil"/>
              <w:left w:val="nil"/>
              <w:bottom w:val="nil"/>
              <w:right w:val="nil"/>
            </w:tcBorders>
            <w:shd w:val="clear" w:color="000000" w:fill="FFFFFF"/>
            <w:noWrap/>
            <w:vAlign w:val="bottom"/>
          </w:tcPr>
          <w:p>
            <w:pPr>
              <w:jc w:val="right"/>
              <w:rPr>
                <w:rFonts w:ascii="宋体" w:hAnsi="宋体" w:cs="Arial"/>
                <w:color w:val="auto"/>
                <w:sz w:val="20"/>
                <w:szCs w:val="20"/>
                <w:highlight w:val="none"/>
              </w:rPr>
            </w:pPr>
            <w:r>
              <w:rPr>
                <w:rFonts w:hint="eastAsia" w:cs="Arial"/>
                <w:color w:val="auto"/>
                <w:sz w:val="20"/>
                <w:szCs w:val="20"/>
                <w:highlight w:val="none"/>
              </w:rPr>
              <w:t>金额单位：万元</w:t>
            </w:r>
          </w:p>
        </w:tc>
      </w:tr>
      <w:tr>
        <w:tblPrEx>
          <w:tblCellMar>
            <w:top w:w="0" w:type="dxa"/>
            <w:left w:w="108" w:type="dxa"/>
            <w:bottom w:w="0" w:type="dxa"/>
            <w:right w:w="108" w:type="dxa"/>
          </w:tblCellMar>
        </w:tblPrEx>
        <w:trPr>
          <w:trHeight w:val="308" w:hRule="atLeast"/>
        </w:trPr>
        <w:tc>
          <w:tcPr>
            <w:tcW w:w="6038"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项目</w:t>
            </w:r>
          </w:p>
        </w:tc>
        <w:tc>
          <w:tcPr>
            <w:tcW w:w="7306" w:type="dxa"/>
            <w:gridSpan w:val="5"/>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本年支出</w:t>
            </w:r>
          </w:p>
        </w:tc>
      </w:tr>
      <w:tr>
        <w:tblPrEx>
          <w:tblCellMar>
            <w:top w:w="0" w:type="dxa"/>
            <w:left w:w="108" w:type="dxa"/>
            <w:bottom w:w="0" w:type="dxa"/>
            <w:right w:w="108" w:type="dxa"/>
          </w:tblCellMar>
        </w:tblPrEx>
        <w:trPr>
          <w:trHeight w:val="312" w:hRule="atLeast"/>
        </w:trPr>
        <w:tc>
          <w:tcPr>
            <w:tcW w:w="985" w:type="dxa"/>
            <w:gridSpan w:val="3"/>
            <w:vMerge w:val="restart"/>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功能分类科目编码</w:t>
            </w:r>
          </w:p>
        </w:tc>
        <w:tc>
          <w:tcPr>
            <w:tcW w:w="5053" w:type="dxa"/>
            <w:vMerge w:val="restar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科目名称</w:t>
            </w:r>
          </w:p>
        </w:tc>
        <w:tc>
          <w:tcPr>
            <w:tcW w:w="2486" w:type="dxa"/>
            <w:gridSpan w:val="2"/>
            <w:vMerge w:val="restart"/>
            <w:tcBorders>
              <w:top w:val="nil"/>
              <w:left w:val="nil"/>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小计</w:t>
            </w:r>
          </w:p>
        </w:tc>
        <w:tc>
          <w:tcPr>
            <w:tcW w:w="2410" w:type="dxa"/>
            <w:gridSpan w:val="2"/>
            <w:vMerge w:val="restart"/>
            <w:tcBorders>
              <w:top w:val="nil"/>
              <w:left w:val="nil"/>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基本支出</w:t>
            </w:r>
          </w:p>
        </w:tc>
        <w:tc>
          <w:tcPr>
            <w:tcW w:w="2410" w:type="dxa"/>
            <w:vMerge w:val="restart"/>
            <w:tcBorders>
              <w:top w:val="nil"/>
              <w:left w:val="nil"/>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项目支出</w:t>
            </w:r>
          </w:p>
        </w:tc>
      </w:tr>
      <w:tr>
        <w:tblPrEx>
          <w:tblCellMar>
            <w:top w:w="0" w:type="dxa"/>
            <w:left w:w="108" w:type="dxa"/>
            <w:bottom w:w="0" w:type="dxa"/>
            <w:right w:w="108" w:type="dxa"/>
          </w:tblCellMar>
        </w:tblPrEx>
        <w:trPr>
          <w:trHeight w:val="312" w:hRule="atLeast"/>
        </w:trPr>
        <w:tc>
          <w:tcPr>
            <w:tcW w:w="985" w:type="dxa"/>
            <w:gridSpan w:val="3"/>
            <w:vMerge w:val="continue"/>
            <w:tcBorders>
              <w:top w:val="nil"/>
              <w:left w:val="single" w:color="000000" w:sz="4" w:space="0"/>
              <w:bottom w:val="single" w:color="000000" w:sz="4" w:space="0"/>
              <w:right w:val="single" w:color="000000" w:sz="4" w:space="0"/>
            </w:tcBorders>
            <w:noWrap w:val="0"/>
            <w:vAlign w:val="center"/>
          </w:tcPr>
          <w:p>
            <w:pPr>
              <w:rPr>
                <w:rFonts w:ascii="宋体" w:hAnsi="宋体" w:cs="Arial"/>
                <w:color w:val="auto"/>
                <w:sz w:val="22"/>
                <w:highlight w:val="none"/>
              </w:rPr>
            </w:pPr>
          </w:p>
        </w:tc>
        <w:tc>
          <w:tcPr>
            <w:tcW w:w="5053" w:type="dxa"/>
            <w:vMerge w:val="continue"/>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2486" w:type="dxa"/>
            <w:gridSpan w:val="2"/>
            <w:vMerge w:val="continue"/>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2410" w:type="dxa"/>
            <w:gridSpan w:val="2"/>
            <w:vMerge w:val="continue"/>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2410" w:type="dxa"/>
            <w:vMerge w:val="continue"/>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p>
        </w:tc>
      </w:tr>
      <w:tr>
        <w:tblPrEx>
          <w:tblCellMar>
            <w:top w:w="0" w:type="dxa"/>
            <w:left w:w="108" w:type="dxa"/>
            <w:bottom w:w="0" w:type="dxa"/>
            <w:right w:w="108" w:type="dxa"/>
          </w:tblCellMar>
        </w:tblPrEx>
        <w:trPr>
          <w:trHeight w:val="312" w:hRule="atLeast"/>
        </w:trPr>
        <w:tc>
          <w:tcPr>
            <w:tcW w:w="985" w:type="dxa"/>
            <w:gridSpan w:val="3"/>
            <w:vMerge w:val="continue"/>
            <w:tcBorders>
              <w:top w:val="nil"/>
              <w:left w:val="single" w:color="000000" w:sz="4" w:space="0"/>
              <w:bottom w:val="single" w:color="000000" w:sz="4" w:space="0"/>
              <w:right w:val="single" w:color="000000" w:sz="4" w:space="0"/>
            </w:tcBorders>
            <w:noWrap w:val="0"/>
            <w:vAlign w:val="center"/>
          </w:tcPr>
          <w:p>
            <w:pPr>
              <w:rPr>
                <w:rFonts w:ascii="宋体" w:hAnsi="宋体" w:cs="Arial"/>
                <w:color w:val="auto"/>
                <w:sz w:val="22"/>
                <w:highlight w:val="none"/>
              </w:rPr>
            </w:pPr>
          </w:p>
        </w:tc>
        <w:tc>
          <w:tcPr>
            <w:tcW w:w="5053" w:type="dxa"/>
            <w:vMerge w:val="continue"/>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2486" w:type="dxa"/>
            <w:gridSpan w:val="2"/>
            <w:vMerge w:val="continue"/>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2410" w:type="dxa"/>
            <w:gridSpan w:val="2"/>
            <w:vMerge w:val="continue"/>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2410" w:type="dxa"/>
            <w:vMerge w:val="continue"/>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p>
        </w:tc>
      </w:tr>
      <w:tr>
        <w:tblPrEx>
          <w:tblCellMar>
            <w:top w:w="0" w:type="dxa"/>
            <w:left w:w="108" w:type="dxa"/>
            <w:bottom w:w="0" w:type="dxa"/>
            <w:right w:w="108" w:type="dxa"/>
          </w:tblCellMar>
        </w:tblPrEx>
        <w:trPr>
          <w:trHeight w:val="308" w:hRule="atLeast"/>
        </w:trPr>
        <w:tc>
          <w:tcPr>
            <w:tcW w:w="6038" w:type="dxa"/>
            <w:gridSpan w:val="4"/>
            <w:tcBorders>
              <w:top w:val="nil"/>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栏次</w:t>
            </w:r>
          </w:p>
        </w:tc>
        <w:tc>
          <w:tcPr>
            <w:tcW w:w="2486" w:type="dxa"/>
            <w:gridSpan w:val="2"/>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1</w:t>
            </w:r>
          </w:p>
        </w:tc>
        <w:tc>
          <w:tcPr>
            <w:tcW w:w="2410" w:type="dxa"/>
            <w:gridSpan w:val="2"/>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2</w:t>
            </w:r>
          </w:p>
        </w:tc>
        <w:tc>
          <w:tcPr>
            <w:tcW w:w="2410"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3</w:t>
            </w:r>
          </w:p>
        </w:tc>
      </w:tr>
      <w:tr>
        <w:tblPrEx>
          <w:tblCellMar>
            <w:top w:w="0" w:type="dxa"/>
            <w:left w:w="108" w:type="dxa"/>
            <w:bottom w:w="0" w:type="dxa"/>
            <w:right w:w="108" w:type="dxa"/>
          </w:tblCellMar>
        </w:tblPrEx>
        <w:trPr>
          <w:trHeight w:val="308" w:hRule="atLeast"/>
        </w:trPr>
        <w:tc>
          <w:tcPr>
            <w:tcW w:w="6038" w:type="dxa"/>
            <w:gridSpan w:val="4"/>
            <w:tcBorders>
              <w:top w:val="nil"/>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合计</w:t>
            </w:r>
          </w:p>
        </w:tc>
        <w:tc>
          <w:tcPr>
            <w:tcW w:w="2486"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b/>
                <w:bCs/>
                <w:color w:val="auto"/>
                <w:sz w:val="22"/>
                <w:highlight w:val="none"/>
              </w:rPr>
            </w:pPr>
            <w:r>
              <w:rPr>
                <w:rFonts w:hint="eastAsia" w:cs="Arial"/>
                <w:b/>
                <w:bCs/>
                <w:color w:val="auto"/>
                <w:sz w:val="22"/>
                <w:highlight w:val="none"/>
              </w:rPr>
              <w:t>185.34</w:t>
            </w:r>
          </w:p>
        </w:tc>
        <w:tc>
          <w:tcPr>
            <w:tcW w:w="241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b/>
                <w:bCs/>
                <w:color w:val="auto"/>
                <w:sz w:val="22"/>
                <w:highlight w:val="none"/>
              </w:rPr>
            </w:pPr>
            <w:r>
              <w:rPr>
                <w:rFonts w:hint="eastAsia" w:cs="Arial"/>
                <w:b/>
                <w:bCs/>
                <w:color w:val="auto"/>
                <w:sz w:val="22"/>
                <w:highlight w:val="none"/>
              </w:rPr>
              <w:t>182.78</w:t>
            </w:r>
          </w:p>
        </w:tc>
        <w:tc>
          <w:tcPr>
            <w:tcW w:w="241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b/>
                <w:bCs/>
                <w:color w:val="auto"/>
                <w:sz w:val="22"/>
                <w:highlight w:val="none"/>
              </w:rPr>
            </w:pPr>
            <w:r>
              <w:rPr>
                <w:rFonts w:hint="eastAsia" w:cs="Arial"/>
                <w:b/>
                <w:bCs/>
                <w:color w:val="auto"/>
                <w:sz w:val="22"/>
                <w:highlight w:val="none"/>
              </w:rPr>
              <w:t>2.56</w:t>
            </w:r>
          </w:p>
        </w:tc>
      </w:tr>
      <w:tr>
        <w:tblPrEx>
          <w:tblCellMar>
            <w:top w:w="0" w:type="dxa"/>
            <w:left w:w="108" w:type="dxa"/>
            <w:bottom w:w="0" w:type="dxa"/>
            <w:right w:w="108" w:type="dxa"/>
          </w:tblCellMar>
        </w:tblPrEx>
        <w:trPr>
          <w:trHeight w:val="308" w:hRule="atLeast"/>
        </w:trPr>
        <w:tc>
          <w:tcPr>
            <w:tcW w:w="985" w:type="dxa"/>
            <w:gridSpan w:val="3"/>
            <w:tcBorders>
              <w:top w:val="nil"/>
              <w:left w:val="single" w:color="000000" w:sz="4" w:space="0"/>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201</w:t>
            </w:r>
          </w:p>
        </w:tc>
        <w:tc>
          <w:tcPr>
            <w:tcW w:w="5053" w:type="dxa"/>
            <w:tcBorders>
              <w:top w:val="nil"/>
              <w:left w:val="nil"/>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一般公共服务支出</w:t>
            </w:r>
          </w:p>
        </w:tc>
        <w:tc>
          <w:tcPr>
            <w:tcW w:w="2486"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0.84</w:t>
            </w:r>
          </w:p>
        </w:tc>
        <w:tc>
          <w:tcPr>
            <w:tcW w:w="241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0.84</w:t>
            </w:r>
          </w:p>
        </w:tc>
        <w:tc>
          <w:tcPr>
            <w:tcW w:w="241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985" w:type="dxa"/>
            <w:gridSpan w:val="3"/>
            <w:tcBorders>
              <w:top w:val="nil"/>
              <w:left w:val="single" w:color="000000" w:sz="4" w:space="0"/>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20129</w:t>
            </w:r>
          </w:p>
        </w:tc>
        <w:tc>
          <w:tcPr>
            <w:tcW w:w="5053" w:type="dxa"/>
            <w:tcBorders>
              <w:top w:val="nil"/>
              <w:left w:val="nil"/>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群众团体事务</w:t>
            </w:r>
          </w:p>
        </w:tc>
        <w:tc>
          <w:tcPr>
            <w:tcW w:w="2486"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0.84</w:t>
            </w:r>
          </w:p>
        </w:tc>
        <w:tc>
          <w:tcPr>
            <w:tcW w:w="241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0.84</w:t>
            </w:r>
          </w:p>
        </w:tc>
        <w:tc>
          <w:tcPr>
            <w:tcW w:w="241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985" w:type="dxa"/>
            <w:gridSpan w:val="3"/>
            <w:tcBorders>
              <w:top w:val="nil"/>
              <w:left w:val="single" w:color="000000" w:sz="4" w:space="0"/>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2012906</w:t>
            </w:r>
          </w:p>
        </w:tc>
        <w:tc>
          <w:tcPr>
            <w:tcW w:w="5053" w:type="dxa"/>
            <w:tcBorders>
              <w:top w:val="nil"/>
              <w:left w:val="nil"/>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 xml:space="preserve">  工会事务</w:t>
            </w:r>
          </w:p>
        </w:tc>
        <w:tc>
          <w:tcPr>
            <w:tcW w:w="2486"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0.84</w:t>
            </w:r>
          </w:p>
        </w:tc>
        <w:tc>
          <w:tcPr>
            <w:tcW w:w="241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0.84</w:t>
            </w:r>
          </w:p>
        </w:tc>
        <w:tc>
          <w:tcPr>
            <w:tcW w:w="241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985" w:type="dxa"/>
            <w:gridSpan w:val="3"/>
            <w:tcBorders>
              <w:top w:val="nil"/>
              <w:left w:val="single" w:color="000000" w:sz="4" w:space="0"/>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205</w:t>
            </w:r>
          </w:p>
        </w:tc>
        <w:tc>
          <w:tcPr>
            <w:tcW w:w="5053" w:type="dxa"/>
            <w:tcBorders>
              <w:top w:val="nil"/>
              <w:left w:val="nil"/>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教育支出</w:t>
            </w:r>
          </w:p>
        </w:tc>
        <w:tc>
          <w:tcPr>
            <w:tcW w:w="2486"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141.30</w:t>
            </w:r>
          </w:p>
        </w:tc>
        <w:tc>
          <w:tcPr>
            <w:tcW w:w="241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138.74</w:t>
            </w:r>
          </w:p>
        </w:tc>
        <w:tc>
          <w:tcPr>
            <w:tcW w:w="241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2.56</w:t>
            </w:r>
          </w:p>
        </w:tc>
      </w:tr>
      <w:tr>
        <w:tblPrEx>
          <w:tblCellMar>
            <w:top w:w="0" w:type="dxa"/>
            <w:left w:w="108" w:type="dxa"/>
            <w:bottom w:w="0" w:type="dxa"/>
            <w:right w:w="108" w:type="dxa"/>
          </w:tblCellMar>
        </w:tblPrEx>
        <w:trPr>
          <w:trHeight w:val="308" w:hRule="atLeast"/>
        </w:trPr>
        <w:tc>
          <w:tcPr>
            <w:tcW w:w="985" w:type="dxa"/>
            <w:gridSpan w:val="3"/>
            <w:tcBorders>
              <w:top w:val="nil"/>
              <w:left w:val="single" w:color="000000" w:sz="4" w:space="0"/>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20501</w:t>
            </w:r>
          </w:p>
        </w:tc>
        <w:tc>
          <w:tcPr>
            <w:tcW w:w="5053" w:type="dxa"/>
            <w:tcBorders>
              <w:top w:val="nil"/>
              <w:left w:val="nil"/>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教育管理事务</w:t>
            </w:r>
          </w:p>
        </w:tc>
        <w:tc>
          <w:tcPr>
            <w:tcW w:w="2486"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138.74</w:t>
            </w:r>
          </w:p>
        </w:tc>
        <w:tc>
          <w:tcPr>
            <w:tcW w:w="241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138.74</w:t>
            </w:r>
          </w:p>
        </w:tc>
        <w:tc>
          <w:tcPr>
            <w:tcW w:w="241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985" w:type="dxa"/>
            <w:gridSpan w:val="3"/>
            <w:tcBorders>
              <w:top w:val="nil"/>
              <w:left w:val="single" w:color="000000" w:sz="4" w:space="0"/>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2050199</w:t>
            </w:r>
          </w:p>
        </w:tc>
        <w:tc>
          <w:tcPr>
            <w:tcW w:w="5053" w:type="dxa"/>
            <w:tcBorders>
              <w:top w:val="nil"/>
              <w:left w:val="nil"/>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 xml:space="preserve">  其他教育管理事务支出</w:t>
            </w:r>
          </w:p>
        </w:tc>
        <w:tc>
          <w:tcPr>
            <w:tcW w:w="2486"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138.74</w:t>
            </w:r>
          </w:p>
        </w:tc>
        <w:tc>
          <w:tcPr>
            <w:tcW w:w="241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138.74</w:t>
            </w:r>
          </w:p>
        </w:tc>
        <w:tc>
          <w:tcPr>
            <w:tcW w:w="241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985" w:type="dxa"/>
            <w:gridSpan w:val="3"/>
            <w:tcBorders>
              <w:top w:val="nil"/>
              <w:left w:val="single" w:color="000000" w:sz="4" w:space="0"/>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20502</w:t>
            </w:r>
          </w:p>
        </w:tc>
        <w:tc>
          <w:tcPr>
            <w:tcW w:w="5053" w:type="dxa"/>
            <w:tcBorders>
              <w:top w:val="nil"/>
              <w:left w:val="nil"/>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普通教育</w:t>
            </w:r>
          </w:p>
        </w:tc>
        <w:tc>
          <w:tcPr>
            <w:tcW w:w="2486"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2.56</w:t>
            </w:r>
          </w:p>
        </w:tc>
        <w:tc>
          <w:tcPr>
            <w:tcW w:w="241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241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2.56</w:t>
            </w:r>
          </w:p>
        </w:tc>
      </w:tr>
      <w:tr>
        <w:tblPrEx>
          <w:tblCellMar>
            <w:top w:w="0" w:type="dxa"/>
            <w:left w:w="108" w:type="dxa"/>
            <w:bottom w:w="0" w:type="dxa"/>
            <w:right w:w="108" w:type="dxa"/>
          </w:tblCellMar>
        </w:tblPrEx>
        <w:trPr>
          <w:trHeight w:val="308" w:hRule="atLeast"/>
        </w:trPr>
        <w:tc>
          <w:tcPr>
            <w:tcW w:w="985" w:type="dxa"/>
            <w:gridSpan w:val="3"/>
            <w:tcBorders>
              <w:top w:val="nil"/>
              <w:left w:val="single" w:color="000000" w:sz="4" w:space="0"/>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2050299</w:t>
            </w:r>
          </w:p>
        </w:tc>
        <w:tc>
          <w:tcPr>
            <w:tcW w:w="5053" w:type="dxa"/>
            <w:tcBorders>
              <w:top w:val="nil"/>
              <w:left w:val="nil"/>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 xml:space="preserve">  其他普通教育支出</w:t>
            </w:r>
          </w:p>
        </w:tc>
        <w:tc>
          <w:tcPr>
            <w:tcW w:w="2486"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2.56</w:t>
            </w:r>
          </w:p>
        </w:tc>
        <w:tc>
          <w:tcPr>
            <w:tcW w:w="241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241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2.56</w:t>
            </w:r>
          </w:p>
        </w:tc>
      </w:tr>
      <w:tr>
        <w:tblPrEx>
          <w:tblCellMar>
            <w:top w:w="0" w:type="dxa"/>
            <w:left w:w="108" w:type="dxa"/>
            <w:bottom w:w="0" w:type="dxa"/>
            <w:right w:w="108" w:type="dxa"/>
          </w:tblCellMar>
        </w:tblPrEx>
        <w:trPr>
          <w:trHeight w:val="308" w:hRule="atLeast"/>
        </w:trPr>
        <w:tc>
          <w:tcPr>
            <w:tcW w:w="985" w:type="dxa"/>
            <w:gridSpan w:val="3"/>
            <w:tcBorders>
              <w:top w:val="nil"/>
              <w:left w:val="single" w:color="000000" w:sz="4" w:space="0"/>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208</w:t>
            </w:r>
          </w:p>
        </w:tc>
        <w:tc>
          <w:tcPr>
            <w:tcW w:w="5053" w:type="dxa"/>
            <w:tcBorders>
              <w:top w:val="nil"/>
              <w:left w:val="nil"/>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社会保障和就业支出</w:t>
            </w:r>
          </w:p>
        </w:tc>
        <w:tc>
          <w:tcPr>
            <w:tcW w:w="2486"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37.46</w:t>
            </w:r>
          </w:p>
        </w:tc>
        <w:tc>
          <w:tcPr>
            <w:tcW w:w="241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37.46</w:t>
            </w:r>
          </w:p>
        </w:tc>
        <w:tc>
          <w:tcPr>
            <w:tcW w:w="241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985" w:type="dxa"/>
            <w:gridSpan w:val="3"/>
            <w:tcBorders>
              <w:top w:val="nil"/>
              <w:left w:val="single" w:color="000000" w:sz="4" w:space="0"/>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20805</w:t>
            </w:r>
          </w:p>
        </w:tc>
        <w:tc>
          <w:tcPr>
            <w:tcW w:w="5053" w:type="dxa"/>
            <w:tcBorders>
              <w:top w:val="nil"/>
              <w:left w:val="nil"/>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行政事业单位养老支出</w:t>
            </w:r>
          </w:p>
        </w:tc>
        <w:tc>
          <w:tcPr>
            <w:tcW w:w="2486"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37.46</w:t>
            </w:r>
          </w:p>
        </w:tc>
        <w:tc>
          <w:tcPr>
            <w:tcW w:w="241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37.46</w:t>
            </w:r>
          </w:p>
        </w:tc>
        <w:tc>
          <w:tcPr>
            <w:tcW w:w="241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985" w:type="dxa"/>
            <w:gridSpan w:val="3"/>
            <w:tcBorders>
              <w:top w:val="nil"/>
              <w:left w:val="single" w:color="000000" w:sz="4" w:space="0"/>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2080502</w:t>
            </w:r>
          </w:p>
        </w:tc>
        <w:tc>
          <w:tcPr>
            <w:tcW w:w="5053" w:type="dxa"/>
            <w:tcBorders>
              <w:top w:val="nil"/>
              <w:left w:val="nil"/>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 xml:space="preserve">  事业单位离退休</w:t>
            </w:r>
          </w:p>
        </w:tc>
        <w:tc>
          <w:tcPr>
            <w:tcW w:w="2486"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26.59</w:t>
            </w:r>
          </w:p>
        </w:tc>
        <w:tc>
          <w:tcPr>
            <w:tcW w:w="241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26.59</w:t>
            </w:r>
          </w:p>
        </w:tc>
        <w:tc>
          <w:tcPr>
            <w:tcW w:w="241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985" w:type="dxa"/>
            <w:gridSpan w:val="3"/>
            <w:tcBorders>
              <w:top w:val="nil"/>
              <w:left w:val="single" w:color="000000" w:sz="4" w:space="0"/>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2080505</w:t>
            </w:r>
          </w:p>
        </w:tc>
        <w:tc>
          <w:tcPr>
            <w:tcW w:w="5053" w:type="dxa"/>
            <w:tcBorders>
              <w:top w:val="nil"/>
              <w:left w:val="nil"/>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 xml:space="preserve">  机关事业单位基本养老保险缴费支出</w:t>
            </w:r>
          </w:p>
        </w:tc>
        <w:tc>
          <w:tcPr>
            <w:tcW w:w="2486"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10.87</w:t>
            </w:r>
          </w:p>
        </w:tc>
        <w:tc>
          <w:tcPr>
            <w:tcW w:w="241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10.87</w:t>
            </w:r>
          </w:p>
        </w:tc>
        <w:tc>
          <w:tcPr>
            <w:tcW w:w="241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985" w:type="dxa"/>
            <w:gridSpan w:val="3"/>
            <w:tcBorders>
              <w:top w:val="nil"/>
              <w:left w:val="single" w:color="000000" w:sz="4" w:space="0"/>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210</w:t>
            </w:r>
          </w:p>
        </w:tc>
        <w:tc>
          <w:tcPr>
            <w:tcW w:w="5053" w:type="dxa"/>
            <w:tcBorders>
              <w:top w:val="nil"/>
              <w:left w:val="nil"/>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卫生健康支出</w:t>
            </w:r>
          </w:p>
        </w:tc>
        <w:tc>
          <w:tcPr>
            <w:tcW w:w="2486"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5.75</w:t>
            </w:r>
          </w:p>
        </w:tc>
        <w:tc>
          <w:tcPr>
            <w:tcW w:w="241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5.75</w:t>
            </w:r>
          </w:p>
        </w:tc>
        <w:tc>
          <w:tcPr>
            <w:tcW w:w="241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985" w:type="dxa"/>
            <w:gridSpan w:val="3"/>
            <w:tcBorders>
              <w:top w:val="nil"/>
              <w:left w:val="single" w:color="000000" w:sz="4" w:space="0"/>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21011</w:t>
            </w:r>
          </w:p>
        </w:tc>
        <w:tc>
          <w:tcPr>
            <w:tcW w:w="5053" w:type="dxa"/>
            <w:tcBorders>
              <w:top w:val="nil"/>
              <w:left w:val="nil"/>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行政事业单位医疗</w:t>
            </w:r>
          </w:p>
        </w:tc>
        <w:tc>
          <w:tcPr>
            <w:tcW w:w="2486"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5.75</w:t>
            </w:r>
          </w:p>
        </w:tc>
        <w:tc>
          <w:tcPr>
            <w:tcW w:w="241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5.75</w:t>
            </w:r>
          </w:p>
        </w:tc>
        <w:tc>
          <w:tcPr>
            <w:tcW w:w="241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985" w:type="dxa"/>
            <w:gridSpan w:val="3"/>
            <w:tcBorders>
              <w:top w:val="nil"/>
              <w:left w:val="single" w:color="000000" w:sz="4" w:space="0"/>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2101101</w:t>
            </w:r>
          </w:p>
        </w:tc>
        <w:tc>
          <w:tcPr>
            <w:tcW w:w="5053" w:type="dxa"/>
            <w:tcBorders>
              <w:top w:val="nil"/>
              <w:left w:val="nil"/>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 xml:space="preserve">  行政单位医疗</w:t>
            </w:r>
          </w:p>
        </w:tc>
        <w:tc>
          <w:tcPr>
            <w:tcW w:w="2486"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0.70</w:t>
            </w:r>
          </w:p>
        </w:tc>
        <w:tc>
          <w:tcPr>
            <w:tcW w:w="241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0.70</w:t>
            </w:r>
          </w:p>
        </w:tc>
        <w:tc>
          <w:tcPr>
            <w:tcW w:w="241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985" w:type="dxa"/>
            <w:gridSpan w:val="3"/>
            <w:tcBorders>
              <w:top w:val="nil"/>
              <w:left w:val="single" w:color="000000" w:sz="4" w:space="0"/>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2101102</w:t>
            </w:r>
          </w:p>
        </w:tc>
        <w:tc>
          <w:tcPr>
            <w:tcW w:w="5053" w:type="dxa"/>
            <w:tcBorders>
              <w:top w:val="nil"/>
              <w:left w:val="nil"/>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 xml:space="preserve">  事业单位医疗</w:t>
            </w:r>
          </w:p>
        </w:tc>
        <w:tc>
          <w:tcPr>
            <w:tcW w:w="2486"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4.52</w:t>
            </w:r>
          </w:p>
        </w:tc>
        <w:tc>
          <w:tcPr>
            <w:tcW w:w="241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4.52</w:t>
            </w:r>
          </w:p>
        </w:tc>
        <w:tc>
          <w:tcPr>
            <w:tcW w:w="241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985" w:type="dxa"/>
            <w:gridSpan w:val="3"/>
            <w:tcBorders>
              <w:top w:val="nil"/>
              <w:left w:val="single" w:color="000000" w:sz="4" w:space="0"/>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2101103</w:t>
            </w:r>
          </w:p>
        </w:tc>
        <w:tc>
          <w:tcPr>
            <w:tcW w:w="5053" w:type="dxa"/>
            <w:tcBorders>
              <w:top w:val="nil"/>
              <w:left w:val="nil"/>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 xml:space="preserve">  公务员医疗补助</w:t>
            </w:r>
          </w:p>
        </w:tc>
        <w:tc>
          <w:tcPr>
            <w:tcW w:w="2486"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0.53</w:t>
            </w:r>
          </w:p>
        </w:tc>
        <w:tc>
          <w:tcPr>
            <w:tcW w:w="241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0.53</w:t>
            </w:r>
          </w:p>
        </w:tc>
        <w:tc>
          <w:tcPr>
            <w:tcW w:w="241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13344" w:type="dxa"/>
            <w:gridSpan w:val="9"/>
            <w:tcBorders>
              <w:top w:val="nil"/>
              <w:left w:val="nil"/>
              <w:bottom w:val="nil"/>
              <w:right w:val="nil"/>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注：本表反映</w:t>
            </w:r>
            <w:r>
              <w:rPr>
                <w:rFonts w:hint="eastAsia" w:cs="Arial"/>
                <w:color w:val="auto"/>
                <w:sz w:val="22"/>
                <w:highlight w:val="none"/>
                <w:lang w:eastAsia="zh-CN"/>
              </w:rPr>
              <w:t>单位</w:t>
            </w:r>
            <w:r>
              <w:rPr>
                <w:rFonts w:hint="eastAsia" w:cs="Arial"/>
                <w:color w:val="auto"/>
                <w:sz w:val="22"/>
                <w:highlight w:val="none"/>
              </w:rPr>
              <w:t>本年度一般公共预算财政拨款支出情况。本套报表金额单位转换时可能存在尾数误差。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5000" w:type="pct"/>
        <w:tblInd w:w="0" w:type="dxa"/>
        <w:tblLayout w:type="fixed"/>
        <w:tblCellMar>
          <w:top w:w="0" w:type="dxa"/>
          <w:left w:w="108" w:type="dxa"/>
          <w:bottom w:w="0" w:type="dxa"/>
          <w:right w:w="108" w:type="dxa"/>
        </w:tblCellMar>
      </w:tblPr>
      <w:tblGrid>
        <w:gridCol w:w="705"/>
        <w:gridCol w:w="111"/>
        <w:gridCol w:w="2693"/>
        <w:gridCol w:w="363"/>
        <w:gridCol w:w="632"/>
        <w:gridCol w:w="833"/>
        <w:gridCol w:w="1860"/>
        <w:gridCol w:w="323"/>
        <w:gridCol w:w="524"/>
        <w:gridCol w:w="128"/>
        <w:gridCol w:w="709"/>
        <w:gridCol w:w="3952"/>
        <w:gridCol w:w="1341"/>
      </w:tblGrid>
      <w:tr>
        <w:tblPrEx>
          <w:tblCellMar>
            <w:top w:w="0" w:type="dxa"/>
            <w:left w:w="108" w:type="dxa"/>
            <w:bottom w:w="0" w:type="dxa"/>
            <w:right w:w="108" w:type="dxa"/>
          </w:tblCellMar>
        </w:tblPrEx>
        <w:trPr>
          <w:trHeight w:val="390" w:hRule="atLeast"/>
        </w:trPr>
        <w:tc>
          <w:tcPr>
            <w:tcW w:w="5000" w:type="pct"/>
            <w:gridSpan w:val="13"/>
            <w:tcBorders>
              <w:top w:val="nil"/>
              <w:left w:val="nil"/>
              <w:bottom w:val="nil"/>
              <w:right w:val="nil"/>
            </w:tcBorders>
            <w:shd w:val="clear" w:color="000000" w:fill="FFFFFF"/>
            <w:noWrap/>
            <w:vAlign w:val="bottom"/>
          </w:tcPr>
          <w:p>
            <w:pPr>
              <w:jc w:val="center"/>
              <w:rPr>
                <w:rFonts w:ascii="宋体" w:hAnsi="宋体" w:cs="Arial"/>
                <w:color w:val="auto"/>
                <w:sz w:val="30"/>
                <w:szCs w:val="30"/>
                <w:highlight w:val="none"/>
              </w:rPr>
            </w:pPr>
            <w:r>
              <w:rPr>
                <w:rFonts w:hint="eastAsia" w:cs="Arial"/>
                <w:color w:val="auto"/>
                <w:sz w:val="30"/>
                <w:szCs w:val="30"/>
                <w:highlight w:val="none"/>
              </w:rPr>
              <w:t>一般公共预算财政拨款基本支出决算表</w:t>
            </w:r>
          </w:p>
        </w:tc>
      </w:tr>
      <w:tr>
        <w:tblPrEx>
          <w:tblCellMar>
            <w:top w:w="0" w:type="dxa"/>
            <w:left w:w="108" w:type="dxa"/>
            <w:bottom w:w="0" w:type="dxa"/>
            <w:right w:w="108" w:type="dxa"/>
          </w:tblCellMar>
        </w:tblPrEx>
        <w:trPr>
          <w:trHeight w:val="255" w:hRule="atLeast"/>
        </w:trPr>
        <w:tc>
          <w:tcPr>
            <w:tcW w:w="249" w:type="pct"/>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1117" w:type="pct"/>
            <w:gridSpan w:val="3"/>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223" w:type="pct"/>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294" w:type="pct"/>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770" w:type="pct"/>
            <w:gridSpan w:val="2"/>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230" w:type="pct"/>
            <w:gridSpan w:val="2"/>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250" w:type="pct"/>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1394" w:type="pct"/>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473" w:type="pct"/>
            <w:tcBorders>
              <w:top w:val="nil"/>
              <w:left w:val="nil"/>
              <w:bottom w:val="nil"/>
              <w:right w:val="nil"/>
            </w:tcBorders>
            <w:shd w:val="clear" w:color="000000" w:fill="FFFFFF"/>
            <w:noWrap/>
            <w:vAlign w:val="bottom"/>
          </w:tcPr>
          <w:p>
            <w:pPr>
              <w:jc w:val="right"/>
              <w:rPr>
                <w:rFonts w:ascii="宋体" w:hAnsi="宋体" w:cs="Arial"/>
                <w:color w:val="auto"/>
                <w:sz w:val="18"/>
                <w:szCs w:val="18"/>
                <w:highlight w:val="none"/>
              </w:rPr>
            </w:pPr>
            <w:r>
              <w:rPr>
                <w:rFonts w:hint="eastAsia" w:cs="Arial"/>
                <w:color w:val="auto"/>
                <w:sz w:val="18"/>
                <w:szCs w:val="18"/>
                <w:highlight w:val="none"/>
              </w:rPr>
              <w:t>公开06表</w:t>
            </w:r>
          </w:p>
        </w:tc>
      </w:tr>
      <w:tr>
        <w:tblPrEx>
          <w:tblCellMar>
            <w:top w:w="0" w:type="dxa"/>
            <w:left w:w="108" w:type="dxa"/>
            <w:bottom w:w="0" w:type="dxa"/>
            <w:right w:w="108" w:type="dxa"/>
          </w:tblCellMar>
        </w:tblPrEx>
        <w:trPr>
          <w:trHeight w:val="255" w:hRule="atLeast"/>
        </w:trPr>
        <w:tc>
          <w:tcPr>
            <w:tcW w:w="1366" w:type="pct"/>
            <w:gridSpan w:val="4"/>
            <w:tcBorders>
              <w:top w:val="nil"/>
              <w:left w:val="nil"/>
              <w:bottom w:val="nil"/>
              <w:right w:val="nil"/>
            </w:tcBorders>
            <w:shd w:val="clear" w:color="000000" w:fill="FFFFFF"/>
            <w:noWrap/>
            <w:vAlign w:val="bottom"/>
          </w:tcPr>
          <w:p>
            <w:pPr>
              <w:rPr>
                <w:rFonts w:ascii="宋体" w:hAnsi="宋体" w:cs="Arial"/>
                <w:color w:val="auto"/>
                <w:sz w:val="20"/>
                <w:szCs w:val="20"/>
                <w:highlight w:val="none"/>
              </w:rPr>
            </w:pPr>
            <w:r>
              <w:rPr>
                <w:rFonts w:hint="eastAsia" w:cs="Arial"/>
                <w:color w:val="auto"/>
                <w:sz w:val="20"/>
                <w:szCs w:val="20"/>
                <w:highlight w:val="none"/>
                <w:lang w:eastAsia="zh-CN"/>
              </w:rPr>
              <w:t>单位</w:t>
            </w:r>
            <w:r>
              <w:rPr>
                <w:rFonts w:hint="eastAsia" w:cs="Arial"/>
                <w:color w:val="auto"/>
                <w:sz w:val="20"/>
                <w:szCs w:val="20"/>
                <w:highlight w:val="none"/>
              </w:rPr>
              <w:t>：许昌市电化教育馆</w:t>
            </w:r>
          </w:p>
        </w:tc>
        <w:tc>
          <w:tcPr>
            <w:tcW w:w="223" w:type="pct"/>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294" w:type="pct"/>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770" w:type="pct"/>
            <w:gridSpan w:val="2"/>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230" w:type="pct"/>
            <w:gridSpan w:val="2"/>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250" w:type="pct"/>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1867" w:type="pct"/>
            <w:gridSpan w:val="2"/>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p>
            <w:pPr>
              <w:jc w:val="right"/>
              <w:rPr>
                <w:rFonts w:ascii="宋体" w:hAnsi="宋体" w:cs="Arial"/>
                <w:color w:val="auto"/>
                <w:sz w:val="18"/>
                <w:szCs w:val="18"/>
                <w:highlight w:val="none"/>
              </w:rPr>
            </w:pPr>
            <w:r>
              <w:rPr>
                <w:rFonts w:hint="eastAsia" w:cs="Arial"/>
                <w:color w:val="auto"/>
                <w:sz w:val="18"/>
                <w:szCs w:val="18"/>
                <w:highlight w:val="none"/>
              </w:rPr>
              <w:t>金额单位：万元</w:t>
            </w:r>
          </w:p>
        </w:tc>
      </w:tr>
      <w:tr>
        <w:tblPrEx>
          <w:tblCellMar>
            <w:top w:w="0" w:type="dxa"/>
            <w:left w:w="108" w:type="dxa"/>
            <w:bottom w:w="0" w:type="dxa"/>
            <w:right w:w="108" w:type="dxa"/>
          </w:tblCellMar>
        </w:tblPrEx>
        <w:trPr>
          <w:trHeight w:val="308" w:hRule="atLeast"/>
        </w:trPr>
        <w:tc>
          <w:tcPr>
            <w:tcW w:w="1589" w:type="pct"/>
            <w:gridSpan w:val="5"/>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人员经费</w:t>
            </w:r>
          </w:p>
        </w:tc>
        <w:tc>
          <w:tcPr>
            <w:tcW w:w="3411" w:type="pct"/>
            <w:gridSpan w:val="8"/>
            <w:tcBorders>
              <w:top w:val="single" w:color="000000" w:sz="4" w:space="0"/>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公用经费</w:t>
            </w:r>
          </w:p>
        </w:tc>
      </w:tr>
      <w:tr>
        <w:tblPrEx>
          <w:tblCellMar>
            <w:top w:w="0" w:type="dxa"/>
            <w:left w:w="108" w:type="dxa"/>
            <w:bottom w:w="0" w:type="dxa"/>
            <w:right w:w="108" w:type="dxa"/>
          </w:tblCellMar>
        </w:tblPrEx>
        <w:trPr>
          <w:trHeight w:val="312" w:hRule="atLeast"/>
        </w:trPr>
        <w:tc>
          <w:tcPr>
            <w:tcW w:w="288" w:type="pct"/>
            <w:gridSpan w:val="2"/>
            <w:vMerge w:val="restart"/>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科目编码</w:t>
            </w:r>
          </w:p>
        </w:tc>
        <w:tc>
          <w:tcPr>
            <w:tcW w:w="950" w:type="pct"/>
            <w:vMerge w:val="restart"/>
            <w:tcBorders>
              <w:top w:val="nil"/>
              <w:left w:val="nil"/>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科目名称</w:t>
            </w:r>
          </w:p>
        </w:tc>
        <w:tc>
          <w:tcPr>
            <w:tcW w:w="351" w:type="pct"/>
            <w:gridSpan w:val="2"/>
            <w:vMerge w:val="restart"/>
            <w:tcBorders>
              <w:top w:val="nil"/>
              <w:left w:val="nil"/>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决算数</w:t>
            </w:r>
          </w:p>
        </w:tc>
        <w:tc>
          <w:tcPr>
            <w:tcW w:w="294" w:type="pct"/>
            <w:vMerge w:val="restart"/>
            <w:tcBorders>
              <w:top w:val="nil"/>
              <w:left w:val="nil"/>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科目编码</w:t>
            </w:r>
          </w:p>
        </w:tc>
        <w:tc>
          <w:tcPr>
            <w:tcW w:w="656" w:type="pct"/>
            <w:vMerge w:val="restart"/>
            <w:tcBorders>
              <w:top w:val="nil"/>
              <w:left w:val="nil"/>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科目名称</w:t>
            </w:r>
          </w:p>
        </w:tc>
        <w:tc>
          <w:tcPr>
            <w:tcW w:w="299" w:type="pct"/>
            <w:gridSpan w:val="2"/>
            <w:vMerge w:val="restart"/>
            <w:tcBorders>
              <w:top w:val="nil"/>
              <w:left w:val="nil"/>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决算数</w:t>
            </w:r>
          </w:p>
        </w:tc>
        <w:tc>
          <w:tcPr>
            <w:tcW w:w="295" w:type="pct"/>
            <w:gridSpan w:val="2"/>
            <w:vMerge w:val="restart"/>
            <w:tcBorders>
              <w:top w:val="nil"/>
              <w:left w:val="nil"/>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科目编码</w:t>
            </w:r>
          </w:p>
        </w:tc>
        <w:tc>
          <w:tcPr>
            <w:tcW w:w="1394" w:type="pct"/>
            <w:vMerge w:val="restart"/>
            <w:tcBorders>
              <w:top w:val="nil"/>
              <w:left w:val="nil"/>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科目名称</w:t>
            </w:r>
          </w:p>
        </w:tc>
        <w:tc>
          <w:tcPr>
            <w:tcW w:w="473" w:type="pct"/>
            <w:vMerge w:val="restart"/>
            <w:tcBorders>
              <w:top w:val="nil"/>
              <w:left w:val="nil"/>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决算数</w:t>
            </w:r>
          </w:p>
        </w:tc>
      </w:tr>
      <w:tr>
        <w:tblPrEx>
          <w:tblCellMar>
            <w:top w:w="0" w:type="dxa"/>
            <w:left w:w="108" w:type="dxa"/>
            <w:bottom w:w="0" w:type="dxa"/>
            <w:right w:w="108" w:type="dxa"/>
          </w:tblCellMar>
        </w:tblPrEx>
        <w:trPr>
          <w:trHeight w:val="312" w:hRule="atLeast"/>
        </w:trPr>
        <w:tc>
          <w:tcPr>
            <w:tcW w:w="288" w:type="pct"/>
            <w:gridSpan w:val="2"/>
            <w:vMerge w:val="continue"/>
            <w:tcBorders>
              <w:top w:val="nil"/>
              <w:left w:val="single" w:color="000000" w:sz="4" w:space="0"/>
              <w:bottom w:val="single" w:color="000000" w:sz="4" w:space="0"/>
              <w:right w:val="single" w:color="000000" w:sz="4" w:space="0"/>
            </w:tcBorders>
            <w:noWrap w:val="0"/>
            <w:vAlign w:val="center"/>
          </w:tcPr>
          <w:p>
            <w:pPr>
              <w:rPr>
                <w:rFonts w:ascii="宋体" w:hAnsi="宋体" w:cs="Arial"/>
                <w:color w:val="auto"/>
                <w:sz w:val="22"/>
                <w:highlight w:val="none"/>
              </w:rPr>
            </w:pPr>
          </w:p>
        </w:tc>
        <w:tc>
          <w:tcPr>
            <w:tcW w:w="950" w:type="pct"/>
            <w:vMerge w:val="continue"/>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351" w:type="pct"/>
            <w:gridSpan w:val="2"/>
            <w:vMerge w:val="continue"/>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294" w:type="pct"/>
            <w:vMerge w:val="continue"/>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656" w:type="pct"/>
            <w:vMerge w:val="continue"/>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299" w:type="pct"/>
            <w:gridSpan w:val="2"/>
            <w:vMerge w:val="continue"/>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295" w:type="pct"/>
            <w:gridSpan w:val="2"/>
            <w:vMerge w:val="continue"/>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1394" w:type="pct"/>
            <w:vMerge w:val="continue"/>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473" w:type="pct"/>
            <w:vMerge w:val="continue"/>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p>
        </w:tc>
      </w:tr>
      <w:tr>
        <w:tblPrEx>
          <w:tblCellMar>
            <w:top w:w="0" w:type="dxa"/>
            <w:left w:w="108" w:type="dxa"/>
            <w:bottom w:w="0" w:type="dxa"/>
            <w:right w:w="108" w:type="dxa"/>
          </w:tblCellMar>
        </w:tblPrEx>
        <w:trPr>
          <w:trHeight w:val="308" w:hRule="atLeast"/>
        </w:trPr>
        <w:tc>
          <w:tcPr>
            <w:tcW w:w="288" w:type="pct"/>
            <w:gridSpan w:val="2"/>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301</w:t>
            </w:r>
          </w:p>
        </w:tc>
        <w:tc>
          <w:tcPr>
            <w:tcW w:w="950"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工资福利支出</w:t>
            </w:r>
          </w:p>
        </w:tc>
        <w:tc>
          <w:tcPr>
            <w:tcW w:w="351" w:type="pct"/>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144.61</w:t>
            </w:r>
          </w:p>
        </w:tc>
        <w:tc>
          <w:tcPr>
            <w:tcW w:w="294"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302</w:t>
            </w:r>
          </w:p>
        </w:tc>
        <w:tc>
          <w:tcPr>
            <w:tcW w:w="656"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商品和服务支出</w:t>
            </w:r>
          </w:p>
        </w:tc>
        <w:tc>
          <w:tcPr>
            <w:tcW w:w="299" w:type="pct"/>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11.00</w:t>
            </w:r>
          </w:p>
        </w:tc>
        <w:tc>
          <w:tcPr>
            <w:tcW w:w="295"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307</w:t>
            </w:r>
          </w:p>
        </w:tc>
        <w:tc>
          <w:tcPr>
            <w:tcW w:w="1394"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债务利息及费用支出</w:t>
            </w:r>
          </w:p>
        </w:tc>
        <w:tc>
          <w:tcPr>
            <w:tcW w:w="47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288" w:type="pct"/>
            <w:gridSpan w:val="2"/>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30101</w:t>
            </w:r>
          </w:p>
        </w:tc>
        <w:tc>
          <w:tcPr>
            <w:tcW w:w="950"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基本工资</w:t>
            </w:r>
          </w:p>
        </w:tc>
        <w:tc>
          <w:tcPr>
            <w:tcW w:w="351" w:type="pct"/>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43.26</w:t>
            </w:r>
          </w:p>
        </w:tc>
        <w:tc>
          <w:tcPr>
            <w:tcW w:w="294"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30201</w:t>
            </w:r>
          </w:p>
        </w:tc>
        <w:tc>
          <w:tcPr>
            <w:tcW w:w="656"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办公费</w:t>
            </w:r>
          </w:p>
        </w:tc>
        <w:tc>
          <w:tcPr>
            <w:tcW w:w="299" w:type="pct"/>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3.38</w:t>
            </w:r>
          </w:p>
        </w:tc>
        <w:tc>
          <w:tcPr>
            <w:tcW w:w="295"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30701</w:t>
            </w:r>
          </w:p>
        </w:tc>
        <w:tc>
          <w:tcPr>
            <w:tcW w:w="1394"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国内债务付息</w:t>
            </w:r>
          </w:p>
        </w:tc>
        <w:tc>
          <w:tcPr>
            <w:tcW w:w="47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288" w:type="pct"/>
            <w:gridSpan w:val="2"/>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30102</w:t>
            </w:r>
          </w:p>
        </w:tc>
        <w:tc>
          <w:tcPr>
            <w:tcW w:w="950"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津贴补贴</w:t>
            </w:r>
          </w:p>
        </w:tc>
        <w:tc>
          <w:tcPr>
            <w:tcW w:w="351" w:type="pct"/>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33.49</w:t>
            </w:r>
          </w:p>
        </w:tc>
        <w:tc>
          <w:tcPr>
            <w:tcW w:w="294"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30202</w:t>
            </w:r>
          </w:p>
        </w:tc>
        <w:tc>
          <w:tcPr>
            <w:tcW w:w="656"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印刷费</w:t>
            </w:r>
          </w:p>
        </w:tc>
        <w:tc>
          <w:tcPr>
            <w:tcW w:w="299" w:type="pct"/>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0.58</w:t>
            </w:r>
          </w:p>
        </w:tc>
        <w:tc>
          <w:tcPr>
            <w:tcW w:w="295"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30702</w:t>
            </w:r>
          </w:p>
        </w:tc>
        <w:tc>
          <w:tcPr>
            <w:tcW w:w="1394"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国外债务付息</w:t>
            </w:r>
          </w:p>
        </w:tc>
        <w:tc>
          <w:tcPr>
            <w:tcW w:w="47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288" w:type="pct"/>
            <w:gridSpan w:val="2"/>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30103</w:t>
            </w:r>
          </w:p>
        </w:tc>
        <w:tc>
          <w:tcPr>
            <w:tcW w:w="950"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奖金</w:t>
            </w:r>
          </w:p>
        </w:tc>
        <w:tc>
          <w:tcPr>
            <w:tcW w:w="351" w:type="pct"/>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2.35</w:t>
            </w:r>
          </w:p>
        </w:tc>
        <w:tc>
          <w:tcPr>
            <w:tcW w:w="294"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30203</w:t>
            </w:r>
          </w:p>
        </w:tc>
        <w:tc>
          <w:tcPr>
            <w:tcW w:w="656"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咨询费</w:t>
            </w:r>
          </w:p>
        </w:tc>
        <w:tc>
          <w:tcPr>
            <w:tcW w:w="299" w:type="pct"/>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295"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310</w:t>
            </w:r>
          </w:p>
        </w:tc>
        <w:tc>
          <w:tcPr>
            <w:tcW w:w="1394"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资本性支出</w:t>
            </w:r>
          </w:p>
        </w:tc>
        <w:tc>
          <w:tcPr>
            <w:tcW w:w="47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288" w:type="pct"/>
            <w:gridSpan w:val="2"/>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30106</w:t>
            </w:r>
          </w:p>
        </w:tc>
        <w:tc>
          <w:tcPr>
            <w:tcW w:w="950"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伙食补助费</w:t>
            </w:r>
          </w:p>
        </w:tc>
        <w:tc>
          <w:tcPr>
            <w:tcW w:w="351" w:type="pct"/>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294"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30204</w:t>
            </w:r>
          </w:p>
        </w:tc>
        <w:tc>
          <w:tcPr>
            <w:tcW w:w="656"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手续费</w:t>
            </w:r>
          </w:p>
        </w:tc>
        <w:tc>
          <w:tcPr>
            <w:tcW w:w="299" w:type="pct"/>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295"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31001</w:t>
            </w:r>
          </w:p>
        </w:tc>
        <w:tc>
          <w:tcPr>
            <w:tcW w:w="1394"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房屋建筑物购建</w:t>
            </w:r>
          </w:p>
        </w:tc>
        <w:tc>
          <w:tcPr>
            <w:tcW w:w="47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288" w:type="pct"/>
            <w:gridSpan w:val="2"/>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30107</w:t>
            </w:r>
          </w:p>
        </w:tc>
        <w:tc>
          <w:tcPr>
            <w:tcW w:w="950"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绩效工资</w:t>
            </w:r>
          </w:p>
        </w:tc>
        <w:tc>
          <w:tcPr>
            <w:tcW w:w="351" w:type="pct"/>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32.14</w:t>
            </w:r>
          </w:p>
        </w:tc>
        <w:tc>
          <w:tcPr>
            <w:tcW w:w="294"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30205</w:t>
            </w:r>
          </w:p>
        </w:tc>
        <w:tc>
          <w:tcPr>
            <w:tcW w:w="656"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水费</w:t>
            </w:r>
          </w:p>
        </w:tc>
        <w:tc>
          <w:tcPr>
            <w:tcW w:w="299" w:type="pct"/>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295"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31002</w:t>
            </w:r>
          </w:p>
        </w:tc>
        <w:tc>
          <w:tcPr>
            <w:tcW w:w="1394"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办公设备购置</w:t>
            </w:r>
          </w:p>
        </w:tc>
        <w:tc>
          <w:tcPr>
            <w:tcW w:w="47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288" w:type="pct"/>
            <w:gridSpan w:val="2"/>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30108</w:t>
            </w:r>
          </w:p>
        </w:tc>
        <w:tc>
          <w:tcPr>
            <w:tcW w:w="950"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机关事业单位基本养老保险缴费</w:t>
            </w:r>
          </w:p>
        </w:tc>
        <w:tc>
          <w:tcPr>
            <w:tcW w:w="351" w:type="pct"/>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13.51</w:t>
            </w:r>
          </w:p>
        </w:tc>
        <w:tc>
          <w:tcPr>
            <w:tcW w:w="294"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30206</w:t>
            </w:r>
          </w:p>
        </w:tc>
        <w:tc>
          <w:tcPr>
            <w:tcW w:w="656"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电费</w:t>
            </w:r>
          </w:p>
        </w:tc>
        <w:tc>
          <w:tcPr>
            <w:tcW w:w="299" w:type="pct"/>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295"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31003</w:t>
            </w:r>
          </w:p>
        </w:tc>
        <w:tc>
          <w:tcPr>
            <w:tcW w:w="1394"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专用设备购置</w:t>
            </w:r>
          </w:p>
        </w:tc>
        <w:tc>
          <w:tcPr>
            <w:tcW w:w="47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288" w:type="pct"/>
            <w:gridSpan w:val="2"/>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30109</w:t>
            </w:r>
          </w:p>
        </w:tc>
        <w:tc>
          <w:tcPr>
            <w:tcW w:w="950"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职业年金缴费</w:t>
            </w:r>
          </w:p>
        </w:tc>
        <w:tc>
          <w:tcPr>
            <w:tcW w:w="351" w:type="pct"/>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294"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30207</w:t>
            </w:r>
          </w:p>
        </w:tc>
        <w:tc>
          <w:tcPr>
            <w:tcW w:w="656"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邮电费</w:t>
            </w:r>
          </w:p>
        </w:tc>
        <w:tc>
          <w:tcPr>
            <w:tcW w:w="299" w:type="pct"/>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0.01</w:t>
            </w:r>
          </w:p>
        </w:tc>
        <w:tc>
          <w:tcPr>
            <w:tcW w:w="295"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31005</w:t>
            </w:r>
          </w:p>
        </w:tc>
        <w:tc>
          <w:tcPr>
            <w:tcW w:w="1394"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基础设施建设</w:t>
            </w:r>
          </w:p>
        </w:tc>
        <w:tc>
          <w:tcPr>
            <w:tcW w:w="47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288" w:type="pct"/>
            <w:gridSpan w:val="2"/>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30110</w:t>
            </w:r>
          </w:p>
        </w:tc>
        <w:tc>
          <w:tcPr>
            <w:tcW w:w="950"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职工基本医疗保险缴费</w:t>
            </w:r>
          </w:p>
        </w:tc>
        <w:tc>
          <w:tcPr>
            <w:tcW w:w="351" w:type="pct"/>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3.98</w:t>
            </w:r>
          </w:p>
        </w:tc>
        <w:tc>
          <w:tcPr>
            <w:tcW w:w="294"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30208</w:t>
            </w:r>
          </w:p>
        </w:tc>
        <w:tc>
          <w:tcPr>
            <w:tcW w:w="656"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取暖费</w:t>
            </w:r>
          </w:p>
        </w:tc>
        <w:tc>
          <w:tcPr>
            <w:tcW w:w="299" w:type="pct"/>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295"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31006</w:t>
            </w:r>
          </w:p>
        </w:tc>
        <w:tc>
          <w:tcPr>
            <w:tcW w:w="1394"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大型修缮</w:t>
            </w:r>
          </w:p>
        </w:tc>
        <w:tc>
          <w:tcPr>
            <w:tcW w:w="47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288" w:type="pct"/>
            <w:gridSpan w:val="2"/>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30111</w:t>
            </w:r>
          </w:p>
        </w:tc>
        <w:tc>
          <w:tcPr>
            <w:tcW w:w="950"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公务员医疗补助缴费</w:t>
            </w:r>
          </w:p>
        </w:tc>
        <w:tc>
          <w:tcPr>
            <w:tcW w:w="351" w:type="pct"/>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0.53</w:t>
            </w:r>
          </w:p>
        </w:tc>
        <w:tc>
          <w:tcPr>
            <w:tcW w:w="294"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30209</w:t>
            </w:r>
          </w:p>
        </w:tc>
        <w:tc>
          <w:tcPr>
            <w:tcW w:w="656"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物业管理费</w:t>
            </w:r>
          </w:p>
        </w:tc>
        <w:tc>
          <w:tcPr>
            <w:tcW w:w="299" w:type="pct"/>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295"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31007</w:t>
            </w:r>
          </w:p>
        </w:tc>
        <w:tc>
          <w:tcPr>
            <w:tcW w:w="1394"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信息网络及软件购置更新</w:t>
            </w:r>
          </w:p>
        </w:tc>
        <w:tc>
          <w:tcPr>
            <w:tcW w:w="47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288" w:type="pct"/>
            <w:gridSpan w:val="2"/>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30112</w:t>
            </w:r>
          </w:p>
        </w:tc>
        <w:tc>
          <w:tcPr>
            <w:tcW w:w="950"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其他社会保障缴费</w:t>
            </w:r>
          </w:p>
        </w:tc>
        <w:tc>
          <w:tcPr>
            <w:tcW w:w="351" w:type="pct"/>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1.01</w:t>
            </w:r>
          </w:p>
        </w:tc>
        <w:tc>
          <w:tcPr>
            <w:tcW w:w="294"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30211</w:t>
            </w:r>
          </w:p>
        </w:tc>
        <w:tc>
          <w:tcPr>
            <w:tcW w:w="656"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差旅费</w:t>
            </w:r>
          </w:p>
        </w:tc>
        <w:tc>
          <w:tcPr>
            <w:tcW w:w="299" w:type="pct"/>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2.52</w:t>
            </w:r>
          </w:p>
        </w:tc>
        <w:tc>
          <w:tcPr>
            <w:tcW w:w="295"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31008</w:t>
            </w:r>
          </w:p>
        </w:tc>
        <w:tc>
          <w:tcPr>
            <w:tcW w:w="1394"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物资储备</w:t>
            </w:r>
          </w:p>
        </w:tc>
        <w:tc>
          <w:tcPr>
            <w:tcW w:w="47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288" w:type="pct"/>
            <w:gridSpan w:val="2"/>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30113</w:t>
            </w:r>
          </w:p>
        </w:tc>
        <w:tc>
          <w:tcPr>
            <w:tcW w:w="950"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住房公积金</w:t>
            </w:r>
          </w:p>
        </w:tc>
        <w:tc>
          <w:tcPr>
            <w:tcW w:w="351" w:type="pct"/>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10.10</w:t>
            </w:r>
          </w:p>
        </w:tc>
        <w:tc>
          <w:tcPr>
            <w:tcW w:w="294"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30212</w:t>
            </w:r>
          </w:p>
        </w:tc>
        <w:tc>
          <w:tcPr>
            <w:tcW w:w="656"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因公出国（境）费用</w:t>
            </w:r>
          </w:p>
        </w:tc>
        <w:tc>
          <w:tcPr>
            <w:tcW w:w="299" w:type="pct"/>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295"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31009</w:t>
            </w:r>
          </w:p>
        </w:tc>
        <w:tc>
          <w:tcPr>
            <w:tcW w:w="1394"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土地补偿</w:t>
            </w:r>
          </w:p>
        </w:tc>
        <w:tc>
          <w:tcPr>
            <w:tcW w:w="47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288" w:type="pct"/>
            <w:gridSpan w:val="2"/>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30114</w:t>
            </w:r>
          </w:p>
        </w:tc>
        <w:tc>
          <w:tcPr>
            <w:tcW w:w="950"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医疗费</w:t>
            </w:r>
          </w:p>
        </w:tc>
        <w:tc>
          <w:tcPr>
            <w:tcW w:w="351" w:type="pct"/>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294"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30213</w:t>
            </w:r>
          </w:p>
        </w:tc>
        <w:tc>
          <w:tcPr>
            <w:tcW w:w="656"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维修（护）费</w:t>
            </w:r>
          </w:p>
        </w:tc>
        <w:tc>
          <w:tcPr>
            <w:tcW w:w="299" w:type="pct"/>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0.81</w:t>
            </w:r>
          </w:p>
        </w:tc>
        <w:tc>
          <w:tcPr>
            <w:tcW w:w="295"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31010</w:t>
            </w:r>
          </w:p>
        </w:tc>
        <w:tc>
          <w:tcPr>
            <w:tcW w:w="1394"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安置补助</w:t>
            </w:r>
          </w:p>
        </w:tc>
        <w:tc>
          <w:tcPr>
            <w:tcW w:w="47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288" w:type="pct"/>
            <w:gridSpan w:val="2"/>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30199</w:t>
            </w:r>
          </w:p>
        </w:tc>
        <w:tc>
          <w:tcPr>
            <w:tcW w:w="950"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其他工资福利支出</w:t>
            </w:r>
          </w:p>
        </w:tc>
        <w:tc>
          <w:tcPr>
            <w:tcW w:w="351" w:type="pct"/>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4.25</w:t>
            </w:r>
          </w:p>
        </w:tc>
        <w:tc>
          <w:tcPr>
            <w:tcW w:w="294"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30214</w:t>
            </w:r>
          </w:p>
        </w:tc>
        <w:tc>
          <w:tcPr>
            <w:tcW w:w="656"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租赁费</w:t>
            </w:r>
          </w:p>
        </w:tc>
        <w:tc>
          <w:tcPr>
            <w:tcW w:w="299" w:type="pct"/>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295"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31011</w:t>
            </w:r>
          </w:p>
        </w:tc>
        <w:tc>
          <w:tcPr>
            <w:tcW w:w="1394"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地上附着物和青苗补偿</w:t>
            </w:r>
          </w:p>
        </w:tc>
        <w:tc>
          <w:tcPr>
            <w:tcW w:w="47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288" w:type="pct"/>
            <w:gridSpan w:val="2"/>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303</w:t>
            </w:r>
          </w:p>
        </w:tc>
        <w:tc>
          <w:tcPr>
            <w:tcW w:w="950"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对个人和家庭的补助</w:t>
            </w:r>
          </w:p>
        </w:tc>
        <w:tc>
          <w:tcPr>
            <w:tcW w:w="351" w:type="pct"/>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27.17</w:t>
            </w:r>
          </w:p>
        </w:tc>
        <w:tc>
          <w:tcPr>
            <w:tcW w:w="294"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30215</w:t>
            </w:r>
          </w:p>
        </w:tc>
        <w:tc>
          <w:tcPr>
            <w:tcW w:w="656"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会议费</w:t>
            </w:r>
          </w:p>
        </w:tc>
        <w:tc>
          <w:tcPr>
            <w:tcW w:w="299" w:type="pct"/>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295"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31012</w:t>
            </w:r>
          </w:p>
        </w:tc>
        <w:tc>
          <w:tcPr>
            <w:tcW w:w="1394"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拆迁补偿</w:t>
            </w:r>
          </w:p>
        </w:tc>
        <w:tc>
          <w:tcPr>
            <w:tcW w:w="47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288" w:type="pct"/>
            <w:gridSpan w:val="2"/>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30301</w:t>
            </w:r>
          </w:p>
        </w:tc>
        <w:tc>
          <w:tcPr>
            <w:tcW w:w="950"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离休费</w:t>
            </w:r>
          </w:p>
        </w:tc>
        <w:tc>
          <w:tcPr>
            <w:tcW w:w="351" w:type="pct"/>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294"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30216</w:t>
            </w:r>
          </w:p>
        </w:tc>
        <w:tc>
          <w:tcPr>
            <w:tcW w:w="656"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培训费</w:t>
            </w:r>
          </w:p>
        </w:tc>
        <w:tc>
          <w:tcPr>
            <w:tcW w:w="299" w:type="pct"/>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0.55</w:t>
            </w:r>
          </w:p>
        </w:tc>
        <w:tc>
          <w:tcPr>
            <w:tcW w:w="295"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31013</w:t>
            </w:r>
          </w:p>
        </w:tc>
        <w:tc>
          <w:tcPr>
            <w:tcW w:w="1394"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公务用车购置</w:t>
            </w:r>
          </w:p>
        </w:tc>
        <w:tc>
          <w:tcPr>
            <w:tcW w:w="47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288" w:type="pct"/>
            <w:gridSpan w:val="2"/>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30302</w:t>
            </w:r>
          </w:p>
        </w:tc>
        <w:tc>
          <w:tcPr>
            <w:tcW w:w="950"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退休费</w:t>
            </w:r>
          </w:p>
        </w:tc>
        <w:tc>
          <w:tcPr>
            <w:tcW w:w="351" w:type="pct"/>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27.17</w:t>
            </w:r>
          </w:p>
        </w:tc>
        <w:tc>
          <w:tcPr>
            <w:tcW w:w="294"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30217</w:t>
            </w:r>
          </w:p>
        </w:tc>
        <w:tc>
          <w:tcPr>
            <w:tcW w:w="656"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公务接待费</w:t>
            </w:r>
          </w:p>
        </w:tc>
        <w:tc>
          <w:tcPr>
            <w:tcW w:w="299" w:type="pct"/>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295"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31019</w:t>
            </w:r>
          </w:p>
        </w:tc>
        <w:tc>
          <w:tcPr>
            <w:tcW w:w="1394"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其他交通工具购置</w:t>
            </w:r>
          </w:p>
        </w:tc>
        <w:tc>
          <w:tcPr>
            <w:tcW w:w="47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288" w:type="pct"/>
            <w:gridSpan w:val="2"/>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30303</w:t>
            </w:r>
          </w:p>
        </w:tc>
        <w:tc>
          <w:tcPr>
            <w:tcW w:w="950"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退职（役）费</w:t>
            </w:r>
          </w:p>
        </w:tc>
        <w:tc>
          <w:tcPr>
            <w:tcW w:w="351" w:type="pct"/>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294"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30218</w:t>
            </w:r>
          </w:p>
        </w:tc>
        <w:tc>
          <w:tcPr>
            <w:tcW w:w="656"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专用材料费</w:t>
            </w:r>
          </w:p>
        </w:tc>
        <w:tc>
          <w:tcPr>
            <w:tcW w:w="299" w:type="pct"/>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295"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31021</w:t>
            </w:r>
          </w:p>
        </w:tc>
        <w:tc>
          <w:tcPr>
            <w:tcW w:w="1394"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文物和陈列品购置</w:t>
            </w:r>
          </w:p>
        </w:tc>
        <w:tc>
          <w:tcPr>
            <w:tcW w:w="47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288" w:type="pct"/>
            <w:gridSpan w:val="2"/>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30304</w:t>
            </w:r>
          </w:p>
        </w:tc>
        <w:tc>
          <w:tcPr>
            <w:tcW w:w="950"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抚恤金</w:t>
            </w:r>
          </w:p>
        </w:tc>
        <w:tc>
          <w:tcPr>
            <w:tcW w:w="351" w:type="pct"/>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294"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30224</w:t>
            </w:r>
          </w:p>
        </w:tc>
        <w:tc>
          <w:tcPr>
            <w:tcW w:w="656"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被装购置费</w:t>
            </w:r>
          </w:p>
        </w:tc>
        <w:tc>
          <w:tcPr>
            <w:tcW w:w="299" w:type="pct"/>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295"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31022</w:t>
            </w:r>
          </w:p>
        </w:tc>
        <w:tc>
          <w:tcPr>
            <w:tcW w:w="1394"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无形资产购置</w:t>
            </w:r>
          </w:p>
        </w:tc>
        <w:tc>
          <w:tcPr>
            <w:tcW w:w="47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288" w:type="pct"/>
            <w:gridSpan w:val="2"/>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30305</w:t>
            </w:r>
          </w:p>
        </w:tc>
        <w:tc>
          <w:tcPr>
            <w:tcW w:w="950"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生活补助</w:t>
            </w:r>
          </w:p>
        </w:tc>
        <w:tc>
          <w:tcPr>
            <w:tcW w:w="351" w:type="pct"/>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294"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30225</w:t>
            </w:r>
          </w:p>
        </w:tc>
        <w:tc>
          <w:tcPr>
            <w:tcW w:w="656"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专用燃料费</w:t>
            </w:r>
          </w:p>
        </w:tc>
        <w:tc>
          <w:tcPr>
            <w:tcW w:w="299" w:type="pct"/>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295"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31099</w:t>
            </w:r>
          </w:p>
        </w:tc>
        <w:tc>
          <w:tcPr>
            <w:tcW w:w="1394"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其他资本性支出</w:t>
            </w:r>
          </w:p>
        </w:tc>
        <w:tc>
          <w:tcPr>
            <w:tcW w:w="47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288" w:type="pct"/>
            <w:gridSpan w:val="2"/>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30306</w:t>
            </w:r>
          </w:p>
        </w:tc>
        <w:tc>
          <w:tcPr>
            <w:tcW w:w="950"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救济费</w:t>
            </w:r>
          </w:p>
        </w:tc>
        <w:tc>
          <w:tcPr>
            <w:tcW w:w="351" w:type="pct"/>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294"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30226</w:t>
            </w:r>
          </w:p>
        </w:tc>
        <w:tc>
          <w:tcPr>
            <w:tcW w:w="656"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劳务费</w:t>
            </w:r>
          </w:p>
        </w:tc>
        <w:tc>
          <w:tcPr>
            <w:tcW w:w="299" w:type="pct"/>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0.16</w:t>
            </w:r>
          </w:p>
        </w:tc>
        <w:tc>
          <w:tcPr>
            <w:tcW w:w="295"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399</w:t>
            </w:r>
          </w:p>
        </w:tc>
        <w:tc>
          <w:tcPr>
            <w:tcW w:w="1394"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其他支出</w:t>
            </w:r>
          </w:p>
        </w:tc>
        <w:tc>
          <w:tcPr>
            <w:tcW w:w="47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288" w:type="pct"/>
            <w:gridSpan w:val="2"/>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30307</w:t>
            </w:r>
          </w:p>
        </w:tc>
        <w:tc>
          <w:tcPr>
            <w:tcW w:w="950"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医疗费补助</w:t>
            </w:r>
          </w:p>
        </w:tc>
        <w:tc>
          <w:tcPr>
            <w:tcW w:w="351" w:type="pct"/>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294"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30227</w:t>
            </w:r>
          </w:p>
        </w:tc>
        <w:tc>
          <w:tcPr>
            <w:tcW w:w="656"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委托业务费</w:t>
            </w:r>
          </w:p>
        </w:tc>
        <w:tc>
          <w:tcPr>
            <w:tcW w:w="299" w:type="pct"/>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295"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39906</w:t>
            </w:r>
          </w:p>
        </w:tc>
        <w:tc>
          <w:tcPr>
            <w:tcW w:w="1394"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赠与</w:t>
            </w:r>
          </w:p>
        </w:tc>
        <w:tc>
          <w:tcPr>
            <w:tcW w:w="47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288" w:type="pct"/>
            <w:gridSpan w:val="2"/>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30308</w:t>
            </w:r>
          </w:p>
        </w:tc>
        <w:tc>
          <w:tcPr>
            <w:tcW w:w="950"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助学金</w:t>
            </w:r>
          </w:p>
        </w:tc>
        <w:tc>
          <w:tcPr>
            <w:tcW w:w="351" w:type="pct"/>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294"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30228</w:t>
            </w:r>
          </w:p>
        </w:tc>
        <w:tc>
          <w:tcPr>
            <w:tcW w:w="656"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工会经费</w:t>
            </w:r>
          </w:p>
        </w:tc>
        <w:tc>
          <w:tcPr>
            <w:tcW w:w="299" w:type="pct"/>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0.84</w:t>
            </w:r>
          </w:p>
        </w:tc>
        <w:tc>
          <w:tcPr>
            <w:tcW w:w="295"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39907</w:t>
            </w:r>
          </w:p>
        </w:tc>
        <w:tc>
          <w:tcPr>
            <w:tcW w:w="1394"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国家赔偿费用支出</w:t>
            </w:r>
          </w:p>
        </w:tc>
        <w:tc>
          <w:tcPr>
            <w:tcW w:w="47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288" w:type="pct"/>
            <w:gridSpan w:val="2"/>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30309</w:t>
            </w:r>
          </w:p>
        </w:tc>
        <w:tc>
          <w:tcPr>
            <w:tcW w:w="950"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奖励金</w:t>
            </w:r>
          </w:p>
        </w:tc>
        <w:tc>
          <w:tcPr>
            <w:tcW w:w="351" w:type="pct"/>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294"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30229</w:t>
            </w:r>
          </w:p>
        </w:tc>
        <w:tc>
          <w:tcPr>
            <w:tcW w:w="656"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福利费</w:t>
            </w:r>
          </w:p>
        </w:tc>
        <w:tc>
          <w:tcPr>
            <w:tcW w:w="299" w:type="pct"/>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1.94</w:t>
            </w:r>
          </w:p>
        </w:tc>
        <w:tc>
          <w:tcPr>
            <w:tcW w:w="295"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39908</w:t>
            </w:r>
          </w:p>
        </w:tc>
        <w:tc>
          <w:tcPr>
            <w:tcW w:w="1394"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对民间非营利组织和群众性自治组织补贴</w:t>
            </w:r>
          </w:p>
        </w:tc>
        <w:tc>
          <w:tcPr>
            <w:tcW w:w="47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288" w:type="pct"/>
            <w:gridSpan w:val="2"/>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30310</w:t>
            </w:r>
          </w:p>
        </w:tc>
        <w:tc>
          <w:tcPr>
            <w:tcW w:w="950"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个人农业生产补贴</w:t>
            </w:r>
          </w:p>
        </w:tc>
        <w:tc>
          <w:tcPr>
            <w:tcW w:w="351" w:type="pct"/>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294"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30231</w:t>
            </w:r>
          </w:p>
        </w:tc>
        <w:tc>
          <w:tcPr>
            <w:tcW w:w="656"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公务用车运行维护费</w:t>
            </w:r>
          </w:p>
        </w:tc>
        <w:tc>
          <w:tcPr>
            <w:tcW w:w="299" w:type="pct"/>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295"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39999</w:t>
            </w:r>
          </w:p>
        </w:tc>
        <w:tc>
          <w:tcPr>
            <w:tcW w:w="1394"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其他支出</w:t>
            </w:r>
          </w:p>
        </w:tc>
        <w:tc>
          <w:tcPr>
            <w:tcW w:w="47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288" w:type="pct"/>
            <w:gridSpan w:val="2"/>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30311</w:t>
            </w:r>
          </w:p>
        </w:tc>
        <w:tc>
          <w:tcPr>
            <w:tcW w:w="950"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代缴社会保险费</w:t>
            </w:r>
          </w:p>
        </w:tc>
        <w:tc>
          <w:tcPr>
            <w:tcW w:w="351" w:type="pct"/>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294"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30239</w:t>
            </w:r>
          </w:p>
        </w:tc>
        <w:tc>
          <w:tcPr>
            <w:tcW w:w="656"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其他交通费用</w:t>
            </w:r>
          </w:p>
        </w:tc>
        <w:tc>
          <w:tcPr>
            <w:tcW w:w="299" w:type="pct"/>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0.21</w:t>
            </w:r>
          </w:p>
        </w:tc>
        <w:tc>
          <w:tcPr>
            <w:tcW w:w="295"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1394"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47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288" w:type="pct"/>
            <w:gridSpan w:val="2"/>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30399</w:t>
            </w:r>
          </w:p>
        </w:tc>
        <w:tc>
          <w:tcPr>
            <w:tcW w:w="950"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其他对个人和家庭的补助</w:t>
            </w:r>
          </w:p>
        </w:tc>
        <w:tc>
          <w:tcPr>
            <w:tcW w:w="351" w:type="pct"/>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294"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30240</w:t>
            </w:r>
          </w:p>
        </w:tc>
        <w:tc>
          <w:tcPr>
            <w:tcW w:w="656"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税金及附加费用</w:t>
            </w:r>
          </w:p>
        </w:tc>
        <w:tc>
          <w:tcPr>
            <w:tcW w:w="299" w:type="pct"/>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295"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1394"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47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288" w:type="pct"/>
            <w:gridSpan w:val="2"/>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950"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351" w:type="pct"/>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294"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30299</w:t>
            </w:r>
          </w:p>
        </w:tc>
        <w:tc>
          <w:tcPr>
            <w:tcW w:w="656"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其他商品和服务支出</w:t>
            </w:r>
          </w:p>
        </w:tc>
        <w:tc>
          <w:tcPr>
            <w:tcW w:w="299" w:type="pct"/>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295"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1394"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47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1238" w:type="pct"/>
            <w:gridSpan w:val="3"/>
            <w:tcBorders>
              <w:top w:val="nil"/>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人员经费合计</w:t>
            </w:r>
          </w:p>
        </w:tc>
        <w:tc>
          <w:tcPr>
            <w:tcW w:w="351" w:type="pct"/>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171.78</w:t>
            </w:r>
          </w:p>
        </w:tc>
        <w:tc>
          <w:tcPr>
            <w:tcW w:w="2938" w:type="pct"/>
            <w:gridSpan w:val="7"/>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公用经费合计</w:t>
            </w:r>
          </w:p>
        </w:tc>
        <w:tc>
          <w:tcPr>
            <w:tcW w:w="47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11.00</w:t>
            </w:r>
          </w:p>
        </w:tc>
      </w:tr>
      <w:tr>
        <w:tblPrEx>
          <w:tblCellMar>
            <w:top w:w="0" w:type="dxa"/>
            <w:left w:w="108" w:type="dxa"/>
            <w:bottom w:w="0" w:type="dxa"/>
            <w:right w:w="108" w:type="dxa"/>
          </w:tblCellMar>
        </w:tblPrEx>
        <w:trPr>
          <w:trHeight w:val="308" w:hRule="atLeast"/>
        </w:trPr>
        <w:tc>
          <w:tcPr>
            <w:tcW w:w="5000" w:type="pct"/>
            <w:gridSpan w:val="13"/>
            <w:tcBorders>
              <w:top w:val="nil"/>
              <w:left w:val="nil"/>
              <w:bottom w:val="nil"/>
              <w:right w:val="nil"/>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注：本表反映</w:t>
            </w:r>
            <w:r>
              <w:rPr>
                <w:rFonts w:hint="eastAsia" w:cs="Arial"/>
                <w:color w:val="auto"/>
                <w:sz w:val="22"/>
                <w:highlight w:val="none"/>
                <w:lang w:eastAsia="zh-CN"/>
              </w:rPr>
              <w:t>单位</w:t>
            </w:r>
            <w:r>
              <w:rPr>
                <w:rFonts w:hint="eastAsia" w:cs="Arial"/>
                <w:color w:val="auto"/>
                <w:sz w:val="22"/>
                <w:highlight w:val="none"/>
              </w:rPr>
              <w:t>本年度一般公共预算财政拨款基本支出明细情况。本表金额转换为万元时，因四舍五入可能存在尾差。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r>
              <w:rPr>
                <w:rFonts w:hint="eastAsia" w:ascii="华文中宋" w:hAnsi="华文中宋" w:eastAsia="华文中宋" w:cs="华文中宋"/>
                <w:color w:val="auto"/>
                <w:kern w:val="0"/>
                <w:sz w:val="32"/>
                <w:szCs w:val="32"/>
                <w:highlight w:val="none"/>
                <w:lang w:bidi="ar"/>
              </w:rPr>
              <w:t>一般公共预算财政拨款“三公”经费支出决算表</w:t>
            </w:r>
          </w:p>
        </w:tc>
      </w:tr>
      <w:tr>
        <w:tblPrEx>
          <w:tblCellMar>
            <w:top w:w="0" w:type="dxa"/>
            <w:left w:w="0" w:type="dxa"/>
            <w:bottom w:w="0" w:type="dxa"/>
            <w:right w:w="0" w:type="dxa"/>
          </w:tblCellMar>
        </w:tblPrEx>
        <w:trPr>
          <w:trHeight w:val="222" w:hRule="atLeast"/>
        </w:trPr>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公开07表</w:t>
            </w:r>
          </w:p>
        </w:tc>
      </w:tr>
      <w:tr>
        <w:tblPrEx>
          <w:tblCellMar>
            <w:top w:w="0" w:type="dxa"/>
            <w:left w:w="0" w:type="dxa"/>
            <w:bottom w:w="0" w:type="dxa"/>
            <w:right w:w="0" w:type="dxa"/>
          </w:tblCellMar>
        </w:tblPrEx>
        <w:trPr>
          <w:trHeight w:val="300" w:hRule="atLeast"/>
        </w:trPr>
        <w:tc>
          <w:tcPr>
            <w:tcW w:w="2300" w:type="dxa"/>
            <w:gridSpan w:val="2"/>
            <w:tcBorders>
              <w:top w:val="nil"/>
              <w:left w:val="nil"/>
              <w:bottom w:val="nil"/>
              <w:right w:val="nil"/>
            </w:tcBorders>
            <w:shd w:val="clear" w:color="auto" w:fill="FFFFFF"/>
            <w:noWrap/>
            <w:tcMar>
              <w:top w:w="15" w:type="dxa"/>
              <w:left w:w="15" w:type="dxa"/>
              <w:right w:w="15" w:type="dxa"/>
            </w:tcMar>
            <w:vAlign w:val="center"/>
          </w:tcPr>
          <w:p>
            <w:pP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eastAsia="zh-CN" w:bidi="ar"/>
              </w:rPr>
              <w:t>单位</w:t>
            </w:r>
            <w:r>
              <w:rPr>
                <w:rFonts w:hint="eastAsia" w:ascii="宋体" w:hAnsi="宋体" w:cs="宋体"/>
                <w:color w:val="auto"/>
                <w:kern w:val="0"/>
                <w:sz w:val="20"/>
                <w:szCs w:val="20"/>
                <w:highlight w:val="none"/>
                <w:lang w:bidi="ar"/>
              </w:rPr>
              <w:t>：</w:t>
            </w:r>
            <w:r>
              <w:rPr>
                <w:rFonts w:hint="eastAsia" w:cs="Arial"/>
                <w:color w:val="auto"/>
                <w:sz w:val="20"/>
                <w:szCs w:val="20"/>
                <w:highlight w:val="none"/>
              </w:rPr>
              <w:t>许昌市电化教育馆</w:t>
            </w: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单位：万元</w:t>
            </w:r>
          </w:p>
        </w:tc>
      </w:tr>
      <w:tr>
        <w:tblPrEx>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预算数</w:t>
            </w:r>
          </w:p>
        </w:tc>
        <w:tc>
          <w:tcPr>
            <w:tcW w:w="6906" w:type="dxa"/>
            <w:gridSpan w:val="6"/>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决算数</w:t>
            </w:r>
          </w:p>
        </w:tc>
      </w:tr>
      <w:tr>
        <w:tblPrEx>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合计</w:t>
            </w:r>
          </w:p>
        </w:tc>
        <w:tc>
          <w:tcPr>
            <w:tcW w:w="114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公务接待费</w:t>
            </w:r>
          </w:p>
        </w:tc>
        <w:tc>
          <w:tcPr>
            <w:tcW w:w="1151"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合计</w:t>
            </w:r>
          </w:p>
        </w:tc>
        <w:tc>
          <w:tcPr>
            <w:tcW w:w="11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公务接待费</w:t>
            </w:r>
          </w:p>
        </w:tc>
      </w:tr>
      <w:tr>
        <w:tblPrEx>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1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小计</w:t>
            </w: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0"/>
                <w:szCs w:val="20"/>
                <w:highlight w:val="none"/>
                <w:lang w:eastAsia="zh-CN" w:bidi="ar"/>
              </w:rPr>
            </w:pPr>
            <w:r>
              <w:rPr>
                <w:rFonts w:hint="eastAsia" w:ascii="宋体" w:hAnsi="宋体" w:cs="宋体"/>
                <w:color w:val="auto"/>
                <w:kern w:val="0"/>
                <w:sz w:val="20"/>
                <w:szCs w:val="20"/>
                <w:highlight w:val="none"/>
                <w:lang w:bidi="ar"/>
              </w:rPr>
              <w:t>公务用车</w:t>
            </w:r>
          </w:p>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0"/>
                <w:szCs w:val="20"/>
                <w:highlight w:val="none"/>
                <w:lang w:eastAsia="zh-CN" w:bidi="ar"/>
              </w:rPr>
            </w:pPr>
            <w:r>
              <w:rPr>
                <w:rFonts w:hint="eastAsia" w:ascii="宋体" w:hAnsi="宋体" w:cs="宋体"/>
                <w:color w:val="auto"/>
                <w:kern w:val="0"/>
                <w:sz w:val="20"/>
                <w:szCs w:val="20"/>
                <w:highlight w:val="none"/>
                <w:lang w:bidi="ar"/>
              </w:rPr>
              <w:t>公务用车</w:t>
            </w:r>
          </w:p>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运行费</w:t>
            </w:r>
          </w:p>
        </w:tc>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15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1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小计</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0"/>
                <w:szCs w:val="20"/>
                <w:highlight w:val="none"/>
                <w:lang w:eastAsia="zh-CN" w:bidi="ar"/>
              </w:rPr>
            </w:pPr>
            <w:r>
              <w:rPr>
                <w:rFonts w:hint="eastAsia" w:ascii="宋体" w:hAnsi="宋体" w:cs="宋体"/>
                <w:color w:val="auto"/>
                <w:kern w:val="0"/>
                <w:sz w:val="20"/>
                <w:szCs w:val="20"/>
                <w:highlight w:val="none"/>
                <w:lang w:bidi="ar"/>
              </w:rPr>
              <w:t>公务用车</w:t>
            </w:r>
          </w:p>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0"/>
                <w:szCs w:val="20"/>
                <w:highlight w:val="none"/>
                <w:lang w:eastAsia="zh-CN" w:bidi="ar"/>
              </w:rPr>
            </w:pPr>
            <w:r>
              <w:rPr>
                <w:rFonts w:hint="eastAsia" w:ascii="宋体" w:hAnsi="宋体" w:cs="宋体"/>
                <w:color w:val="auto"/>
                <w:kern w:val="0"/>
                <w:sz w:val="20"/>
                <w:szCs w:val="20"/>
                <w:highlight w:val="none"/>
                <w:lang w:bidi="ar"/>
              </w:rPr>
              <w:t>公务用车</w:t>
            </w:r>
          </w:p>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运行费</w:t>
            </w:r>
          </w:p>
        </w:tc>
        <w:tc>
          <w:tcPr>
            <w:tcW w:w="1151" w:type="dxa"/>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11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9</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10</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11</w:t>
            </w:r>
          </w:p>
        </w:tc>
        <w:tc>
          <w:tcPr>
            <w:tcW w:w="11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12</w:t>
            </w:r>
          </w:p>
        </w:tc>
      </w:tr>
      <w:tr>
        <w:tblPrEx>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注：本表反映</w:t>
            </w:r>
            <w:r>
              <w:rPr>
                <w:rFonts w:hint="eastAsia" w:ascii="宋体" w:hAnsi="宋体" w:cs="宋体"/>
                <w:color w:val="auto"/>
                <w:kern w:val="0"/>
                <w:sz w:val="20"/>
                <w:szCs w:val="20"/>
                <w:highlight w:val="none"/>
                <w:lang w:eastAsia="zh-CN" w:bidi="ar"/>
              </w:rPr>
              <w:t>单位</w:t>
            </w:r>
            <w:r>
              <w:rPr>
                <w:rFonts w:hint="eastAsia" w:ascii="宋体" w:hAnsi="宋体" w:cs="宋体"/>
                <w:color w:val="auto"/>
                <w:kern w:val="0"/>
                <w:sz w:val="20"/>
                <w:szCs w:val="20"/>
                <w:highlight w:val="none"/>
                <w:lang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r>
        <w:rPr>
          <w:rFonts w:hint="eastAsia" w:ascii="仿宋_GB2312" w:hAnsi="仿宋_GB2312" w:eastAsia="仿宋_GB2312" w:cs="仿宋_GB2312"/>
          <w:color w:val="auto"/>
          <w:sz w:val="32"/>
          <w:szCs w:val="32"/>
          <w:highlight w:val="none"/>
        </w:rPr>
        <w:t>说明：我</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没有预算安排的三公经费，也没有预算安排的三公支出，故本表无数据</w:t>
      </w:r>
    </w:p>
    <w:tbl>
      <w:tblPr>
        <w:tblStyle w:val="5"/>
        <w:tblW w:w="14018" w:type="dxa"/>
        <w:tblInd w:w="0" w:type="dxa"/>
        <w:tblLayout w:type="fixed"/>
        <w:tblCellMar>
          <w:top w:w="0" w:type="dxa"/>
          <w:left w:w="0" w:type="dxa"/>
          <w:bottom w:w="0" w:type="dxa"/>
          <w:right w:w="0" w:type="dxa"/>
        </w:tblCellMar>
      </w:tblPr>
      <w:tblGrid>
        <w:gridCol w:w="612"/>
        <w:gridCol w:w="536"/>
        <w:gridCol w:w="1276"/>
        <w:gridCol w:w="30"/>
        <w:gridCol w:w="1896"/>
        <w:gridCol w:w="30"/>
        <w:gridCol w:w="1896"/>
        <w:gridCol w:w="30"/>
        <w:gridCol w:w="1896"/>
        <w:gridCol w:w="30"/>
        <w:gridCol w:w="1897"/>
        <w:gridCol w:w="30"/>
        <w:gridCol w:w="1896"/>
        <w:gridCol w:w="30"/>
        <w:gridCol w:w="1903"/>
        <w:gridCol w:w="30"/>
      </w:tblGrid>
      <w:tr>
        <w:tblPrEx>
          <w:tblCellMar>
            <w:top w:w="0" w:type="dxa"/>
            <w:left w:w="0" w:type="dxa"/>
            <w:bottom w:w="0" w:type="dxa"/>
            <w:right w:w="0" w:type="dxa"/>
          </w:tblCellMar>
        </w:tblPrEx>
        <w:trPr>
          <w:gridAfter w:val="1"/>
          <w:wAfter w:w="30" w:type="dxa"/>
          <w:trHeight w:val="600" w:hRule="atLeast"/>
        </w:trPr>
        <w:tc>
          <w:tcPr>
            <w:tcW w:w="13988" w:type="dxa"/>
            <w:gridSpan w:val="15"/>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r>
              <w:rPr>
                <w:rFonts w:hint="eastAsia" w:ascii="华文中宋" w:hAnsi="华文中宋" w:eastAsia="华文中宋" w:cs="华文中宋"/>
                <w:color w:val="auto"/>
                <w:kern w:val="0"/>
                <w:sz w:val="32"/>
                <w:szCs w:val="32"/>
                <w:highlight w:val="none"/>
                <w:lang w:bidi="ar"/>
              </w:rPr>
              <w:t>政府性基金预算财政拨款收入支出决算表</w:t>
            </w:r>
          </w:p>
        </w:tc>
      </w:tr>
      <w:tr>
        <w:tblPrEx>
          <w:tblCellMar>
            <w:top w:w="0" w:type="dxa"/>
            <w:left w:w="0" w:type="dxa"/>
            <w:bottom w:w="0" w:type="dxa"/>
            <w:right w:w="0" w:type="dxa"/>
          </w:tblCellMar>
        </w:tblPrEx>
        <w:trPr>
          <w:gridAfter w:val="1"/>
          <w:wAfter w:w="30" w:type="dxa"/>
          <w:trHeight w:val="222" w:hRule="atLeast"/>
        </w:trPr>
        <w:tc>
          <w:tcPr>
            <w:tcW w:w="612"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53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7"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33"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公开08表</w:t>
            </w:r>
          </w:p>
        </w:tc>
      </w:tr>
      <w:tr>
        <w:tblPrEx>
          <w:tblCellMar>
            <w:top w:w="0" w:type="dxa"/>
            <w:left w:w="0" w:type="dxa"/>
            <w:bottom w:w="0" w:type="dxa"/>
            <w:right w:w="0" w:type="dxa"/>
          </w:tblCellMar>
        </w:tblPrEx>
        <w:trPr>
          <w:trHeight w:val="300" w:hRule="atLeast"/>
        </w:trPr>
        <w:tc>
          <w:tcPr>
            <w:tcW w:w="2454" w:type="dxa"/>
            <w:gridSpan w:val="4"/>
            <w:tcBorders>
              <w:top w:val="nil"/>
              <w:left w:val="nil"/>
              <w:bottom w:val="nil"/>
              <w:right w:val="nil"/>
            </w:tcBorders>
            <w:shd w:val="clear" w:color="auto" w:fill="FFFFFF"/>
            <w:noWrap/>
            <w:tcMar>
              <w:top w:w="15" w:type="dxa"/>
              <w:left w:w="15" w:type="dxa"/>
              <w:right w:w="15" w:type="dxa"/>
            </w:tcMar>
            <w:vAlign w:val="center"/>
          </w:tcPr>
          <w:p>
            <w:pP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eastAsia="zh-CN" w:bidi="ar"/>
              </w:rPr>
              <w:t>单位</w:t>
            </w:r>
            <w:r>
              <w:rPr>
                <w:rFonts w:hint="eastAsia" w:ascii="宋体" w:hAnsi="宋体" w:cs="宋体"/>
                <w:color w:val="auto"/>
                <w:kern w:val="0"/>
                <w:sz w:val="20"/>
                <w:szCs w:val="20"/>
                <w:highlight w:val="none"/>
                <w:lang w:bidi="ar"/>
              </w:rPr>
              <w:t>：</w:t>
            </w:r>
            <w:r>
              <w:rPr>
                <w:rFonts w:hint="eastAsia" w:cs="Arial"/>
                <w:color w:val="auto"/>
                <w:sz w:val="20"/>
                <w:szCs w:val="20"/>
                <w:highlight w:val="none"/>
              </w:rPr>
              <w:t>许昌市电化教育馆</w:t>
            </w:r>
          </w:p>
        </w:tc>
        <w:tc>
          <w:tcPr>
            <w:tcW w:w="1926"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7"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33"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单位：万元</w:t>
            </w:r>
          </w:p>
        </w:tc>
      </w:tr>
      <w:tr>
        <w:tblPrEx>
          <w:tblCellMar>
            <w:top w:w="0" w:type="dxa"/>
            <w:left w:w="0" w:type="dxa"/>
            <w:bottom w:w="0" w:type="dxa"/>
            <w:right w:w="0" w:type="dxa"/>
          </w:tblCellMar>
        </w:tblPrEx>
        <w:trPr>
          <w:gridAfter w:val="1"/>
          <w:wAfter w:w="30" w:type="dxa"/>
          <w:trHeight w:val="405" w:hRule="atLeast"/>
        </w:trPr>
        <w:tc>
          <w:tcPr>
            <w:tcW w:w="2424"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项    目</w:t>
            </w:r>
          </w:p>
        </w:tc>
        <w:tc>
          <w:tcPr>
            <w:tcW w:w="1926" w:type="dxa"/>
            <w:gridSpan w:val="2"/>
            <w:vMerge w:val="restart"/>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年初结转和结余</w:t>
            </w:r>
          </w:p>
        </w:tc>
        <w:tc>
          <w:tcPr>
            <w:tcW w:w="1926" w:type="dxa"/>
            <w:gridSpan w:val="2"/>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本年收入</w:t>
            </w:r>
          </w:p>
        </w:tc>
        <w:tc>
          <w:tcPr>
            <w:tcW w:w="5779" w:type="dxa"/>
            <w:gridSpan w:val="6"/>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本年支出</w:t>
            </w:r>
          </w:p>
        </w:tc>
        <w:tc>
          <w:tcPr>
            <w:tcW w:w="1933" w:type="dxa"/>
            <w:gridSpan w:val="2"/>
            <w:vMerge w:val="restart"/>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年末结转和结余</w:t>
            </w:r>
          </w:p>
        </w:tc>
      </w:tr>
      <w:tr>
        <w:tblPrEx>
          <w:tblCellMar>
            <w:top w:w="0" w:type="dxa"/>
            <w:left w:w="0" w:type="dxa"/>
            <w:bottom w:w="0" w:type="dxa"/>
            <w:right w:w="0" w:type="dxa"/>
          </w:tblCellMar>
        </w:tblPrEx>
        <w:trPr>
          <w:gridAfter w:val="1"/>
          <w:wAfter w:w="30" w:type="dxa"/>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功能分类</w:t>
            </w:r>
          </w:p>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科目编码</w:t>
            </w:r>
          </w:p>
        </w:tc>
        <w:tc>
          <w:tcPr>
            <w:tcW w:w="12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科目名称</w:t>
            </w:r>
          </w:p>
        </w:tc>
        <w:tc>
          <w:tcPr>
            <w:tcW w:w="1926" w:type="dxa"/>
            <w:gridSpan w:val="2"/>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小计</w:t>
            </w:r>
          </w:p>
        </w:tc>
        <w:tc>
          <w:tcPr>
            <w:tcW w:w="1927"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基本支出</w:t>
            </w:r>
          </w:p>
        </w:tc>
        <w:tc>
          <w:tcPr>
            <w:tcW w:w="1926" w:type="dxa"/>
            <w:gridSpan w:val="2"/>
            <w:vMerge w:val="restart"/>
            <w:tcBorders>
              <w:top w:val="nil"/>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项目支出</w:t>
            </w: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7"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7"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2424"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栏次</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r>
      <w:tr>
        <w:tblPrEx>
          <w:tblCellMar>
            <w:top w:w="0" w:type="dxa"/>
            <w:left w:w="0" w:type="dxa"/>
            <w:bottom w:w="0" w:type="dxa"/>
            <w:right w:w="0" w:type="dxa"/>
          </w:tblCellMar>
        </w:tblPrEx>
        <w:trPr>
          <w:gridAfter w:val="1"/>
          <w:wAfter w:w="30" w:type="dxa"/>
          <w:trHeight w:val="450" w:hRule="atLeast"/>
        </w:trPr>
        <w:tc>
          <w:tcPr>
            <w:tcW w:w="2424" w:type="dxa"/>
            <w:gridSpan w:val="3"/>
            <w:tcBorders>
              <w:top w:val="nil"/>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合计</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645" w:hRule="atLeast"/>
        </w:trPr>
        <w:tc>
          <w:tcPr>
            <w:tcW w:w="13988" w:type="dxa"/>
            <w:gridSpan w:val="15"/>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注：本表反映</w:t>
            </w:r>
            <w:r>
              <w:rPr>
                <w:rFonts w:hint="eastAsia" w:ascii="宋体" w:hAnsi="宋体" w:cs="宋体"/>
                <w:color w:val="auto"/>
                <w:kern w:val="0"/>
                <w:sz w:val="20"/>
                <w:szCs w:val="20"/>
                <w:highlight w:val="none"/>
                <w:lang w:eastAsia="zh-CN" w:bidi="ar"/>
              </w:rPr>
              <w:t>单位</w:t>
            </w:r>
            <w:r>
              <w:rPr>
                <w:rFonts w:hint="eastAsia" w:ascii="宋体" w:hAnsi="宋体" w:cs="宋体"/>
                <w:color w:val="auto"/>
                <w:kern w:val="0"/>
                <w:sz w:val="20"/>
                <w:szCs w:val="20"/>
                <w:highlight w:val="none"/>
                <w:lang w:bidi="ar"/>
              </w:rPr>
              <w:t>本年度政府性基金预算财政拨款收入、支出及结转和结余情况。</w:t>
            </w:r>
          </w:p>
          <w:p>
            <w:pPr>
              <w:widowControl/>
              <w:jc w:val="left"/>
              <w:textAlignment w:val="center"/>
              <w:rPr>
                <w:rFonts w:ascii="宋体" w:hAnsi="宋体" w:cs="宋体"/>
                <w:color w:val="auto"/>
                <w:sz w:val="32"/>
                <w:szCs w:val="32"/>
                <w:highlight w:val="none"/>
              </w:rPr>
            </w:pPr>
            <w:r>
              <w:rPr>
                <w:rFonts w:hint="eastAsia" w:ascii="宋体" w:hAnsi="宋体" w:cs="宋体"/>
                <w:color w:val="auto"/>
                <w:sz w:val="32"/>
                <w:szCs w:val="32"/>
                <w:highlight w:val="none"/>
              </w:rPr>
              <w:t>说明：我</w:t>
            </w:r>
            <w:r>
              <w:rPr>
                <w:rFonts w:hint="eastAsia" w:ascii="宋体" w:hAnsi="宋体" w:cs="宋体"/>
                <w:color w:val="auto"/>
                <w:sz w:val="32"/>
                <w:szCs w:val="32"/>
                <w:highlight w:val="none"/>
                <w:lang w:eastAsia="zh-CN"/>
              </w:rPr>
              <w:t>单位</w:t>
            </w:r>
            <w:r>
              <w:rPr>
                <w:rFonts w:hint="eastAsia" w:ascii="宋体" w:hAnsi="宋体" w:cs="宋体"/>
                <w:color w:val="auto"/>
                <w:sz w:val="32"/>
                <w:szCs w:val="32"/>
                <w:highlight w:val="none"/>
              </w:rPr>
              <w:t>没有政府性基金收入，也没有使用政府性基金安排的支出，故本表无数据。</w:t>
            </w:r>
          </w:p>
          <w:p>
            <w:pPr>
              <w:widowControl/>
              <w:jc w:val="left"/>
              <w:textAlignment w:val="center"/>
              <w:rPr>
                <w:rFonts w:ascii="宋体" w:hAnsi="宋体" w:cs="宋体"/>
                <w:color w:val="auto"/>
                <w:sz w:val="20"/>
                <w:szCs w:val="20"/>
                <w:highlight w:val="none"/>
              </w:rPr>
            </w:pPr>
          </w:p>
          <w:p>
            <w:pPr>
              <w:widowControl/>
              <w:jc w:val="center"/>
              <w:textAlignment w:val="center"/>
              <w:rPr>
                <w:rFonts w:hint="eastAsia" w:ascii="宋体" w:hAnsi="宋体" w:cs="宋体"/>
                <w:color w:val="auto"/>
                <w:sz w:val="20"/>
                <w:szCs w:val="20"/>
                <w:highlight w:val="none"/>
              </w:rPr>
            </w:pPr>
          </w:p>
        </w:tc>
      </w:tr>
    </w:tbl>
    <w:p>
      <w:pPr>
        <w:widowControl/>
        <w:jc w:val="left"/>
        <w:rPr>
          <w:rFonts w:ascii="黑体" w:hAnsi="宋体" w:eastAsia="黑体" w:cs="宋体"/>
          <w:color w:val="auto"/>
          <w:kern w:val="0"/>
          <w:sz w:val="28"/>
          <w:szCs w:val="28"/>
          <w:highlight w:val="none"/>
        </w:rPr>
        <w:sectPr>
          <w:pgSz w:w="16838" w:h="11906" w:orient="landscape"/>
          <w:pgMar w:top="1803" w:right="1440" w:bottom="1803" w:left="1440" w:header="720" w:footer="720" w:gutter="0"/>
          <w:pgNumType w:fmt="numberInDash"/>
          <w:cols w:space="720" w:num="1"/>
          <w:rtlGutter w:val="0"/>
          <w:docGrid w:type="lines" w:linePitch="319" w:charSpace="0"/>
        </w:sect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第三部分 2021年度</w:t>
      </w:r>
      <w:r>
        <w:rPr>
          <w:rFonts w:hint="eastAsia" w:ascii="黑体" w:hAnsi="黑体" w:eastAsia="黑体" w:cs="黑体"/>
          <w:color w:val="auto"/>
          <w:sz w:val="48"/>
          <w:szCs w:val="48"/>
          <w:highlight w:val="none"/>
          <w:lang w:eastAsia="zh-CN"/>
        </w:rPr>
        <w:t>单位决算</w:t>
      </w:r>
      <w:r>
        <w:rPr>
          <w:rFonts w:hint="eastAsia" w:ascii="黑体" w:hAnsi="黑体" w:eastAsia="黑体" w:cs="黑体"/>
          <w:color w:val="auto"/>
          <w:sz w:val="48"/>
          <w:szCs w:val="48"/>
          <w:highlight w:val="none"/>
        </w:rPr>
        <w:t>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一、收入支出决算总体情况说明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hint="eastAsia" w:ascii="仿宋_GB2312" w:eastAsia="仿宋_GB2312" w:cs="仿宋_GB2312"/>
          <w:color w:val="auto"/>
          <w:sz w:val="32"/>
          <w:szCs w:val="32"/>
          <w:highlight w:val="none"/>
        </w:rPr>
        <w:t>2</w:t>
      </w:r>
      <w:r>
        <w:rPr>
          <w:rFonts w:ascii="仿宋_GB2312" w:eastAsia="仿宋_GB2312" w:cs="仿宋_GB2312"/>
          <w:color w:val="auto"/>
          <w:sz w:val="32"/>
          <w:szCs w:val="32"/>
          <w:highlight w:val="none"/>
        </w:rPr>
        <w:t>021</w:t>
      </w:r>
      <w:r>
        <w:rPr>
          <w:rFonts w:hint="eastAsia" w:ascii="仿宋_GB2312" w:eastAsia="仿宋_GB2312" w:cs="仿宋_GB2312"/>
          <w:color w:val="auto"/>
          <w:sz w:val="32"/>
          <w:szCs w:val="32"/>
          <w:highlight w:val="none"/>
        </w:rPr>
        <w:t>年度收、支总计均为</w:t>
      </w:r>
      <w:r>
        <w:rPr>
          <w:rFonts w:ascii="仿宋_GB2312" w:eastAsia="仿宋_GB2312" w:cs="仿宋_GB2312"/>
          <w:color w:val="auto"/>
          <w:sz w:val="32"/>
          <w:szCs w:val="32"/>
          <w:highlight w:val="none"/>
        </w:rPr>
        <w:t>185.68</w:t>
      </w:r>
      <w:r>
        <w:rPr>
          <w:rFonts w:hint="eastAsia" w:ascii="仿宋_GB2312" w:eastAsia="仿宋_GB2312" w:cs="仿宋_GB2312"/>
          <w:color w:val="auto"/>
          <w:sz w:val="32"/>
          <w:szCs w:val="32"/>
          <w:highlight w:val="none"/>
        </w:rPr>
        <w:t>万元。与上年度相比，收、支总计各增加</w:t>
      </w:r>
      <w:r>
        <w:rPr>
          <w:rFonts w:ascii="仿宋_GB2312" w:eastAsia="仿宋_GB2312" w:cs="仿宋_GB2312"/>
          <w:color w:val="auto"/>
          <w:sz w:val="32"/>
          <w:szCs w:val="32"/>
          <w:highlight w:val="none"/>
        </w:rPr>
        <w:t>12.15</w:t>
      </w:r>
      <w:r>
        <w:rPr>
          <w:rFonts w:hint="eastAsia" w:ascii="仿宋_GB2312" w:eastAsia="仿宋_GB2312" w:cs="仿宋_GB2312"/>
          <w:color w:val="auto"/>
          <w:sz w:val="32"/>
          <w:szCs w:val="32"/>
          <w:highlight w:val="none"/>
        </w:rPr>
        <w:t>万元，增长</w:t>
      </w:r>
      <w:r>
        <w:rPr>
          <w:rFonts w:ascii="仿宋_GB2312" w:eastAsia="仿宋_GB2312" w:cs="仿宋_GB2312"/>
          <w:color w:val="auto"/>
          <w:sz w:val="32"/>
          <w:szCs w:val="32"/>
          <w:highlight w:val="none"/>
        </w:rPr>
        <w:t>7</w:t>
      </w:r>
      <w:r>
        <w:rPr>
          <w:rFonts w:hint="eastAsia" w:ascii="仿宋_GB2312" w:eastAsia="仿宋_GB2312" w:cs="仿宋_GB2312"/>
          <w:color w:val="auto"/>
          <w:sz w:val="32"/>
          <w:szCs w:val="32"/>
          <w:highlight w:val="none"/>
          <w:lang w:val="en-US" w:eastAsia="zh-CN"/>
        </w:rPr>
        <w:t>.00</w:t>
      </w:r>
      <w:r>
        <w:rPr>
          <w:rFonts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rPr>
        <w:t>。主要原因是1.年度薪级工资正常增长；2.因办公区域搬迁，增加相关支出。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二、收入决算情况说明</w:t>
      </w:r>
    </w:p>
    <w:p>
      <w:pPr>
        <w:autoSpaceDE w:val="0"/>
        <w:autoSpaceDN w:val="0"/>
        <w:adjustRightInd w:val="0"/>
        <w:spacing w:line="590" w:lineRule="exact"/>
        <w:ind w:firstLine="640"/>
        <w:rPr>
          <w:rFonts w:eastAsia="仿宋_GB2312"/>
          <w:color w:val="auto"/>
          <w:kern w:val="0"/>
          <w:sz w:val="18"/>
          <w:szCs w:val="18"/>
          <w:highlight w:val="none"/>
          <w:lang w:val="zh-CN"/>
        </w:rPr>
      </w:pPr>
      <w:r>
        <w:rPr>
          <w:rFonts w:ascii="仿宋_GB2312" w:eastAsia="仿宋_GB2312" w:cs="仿宋_GB2312"/>
          <w:color w:val="auto"/>
          <w:sz w:val="32"/>
          <w:szCs w:val="32"/>
          <w:highlight w:val="none"/>
        </w:rPr>
        <w:t>2021</w:t>
      </w:r>
      <w:r>
        <w:rPr>
          <w:rFonts w:hint="eastAsia" w:ascii="仿宋_GB2312" w:eastAsia="仿宋_GB2312" w:cs="仿宋_GB2312"/>
          <w:color w:val="auto"/>
          <w:sz w:val="32"/>
          <w:szCs w:val="32"/>
          <w:highlight w:val="none"/>
        </w:rPr>
        <w:t>年度收入合计</w:t>
      </w:r>
      <w:r>
        <w:rPr>
          <w:rFonts w:ascii="仿宋_GB2312" w:eastAsia="仿宋_GB2312" w:cs="仿宋_GB2312"/>
          <w:color w:val="auto"/>
          <w:sz w:val="32"/>
          <w:szCs w:val="32"/>
          <w:highlight w:val="none"/>
        </w:rPr>
        <w:t>167.48</w:t>
      </w:r>
      <w:r>
        <w:rPr>
          <w:rFonts w:hint="eastAsia" w:ascii="仿宋_GB2312" w:eastAsia="仿宋_GB2312" w:cs="仿宋_GB2312"/>
          <w:color w:val="auto"/>
          <w:sz w:val="32"/>
          <w:szCs w:val="32"/>
          <w:highlight w:val="none"/>
        </w:rPr>
        <w:t>万元，其中：财政拨款收入</w:t>
      </w:r>
      <w:r>
        <w:rPr>
          <w:rFonts w:ascii="仿宋_GB2312" w:eastAsia="仿宋_GB2312" w:cs="仿宋_GB2312"/>
          <w:color w:val="auto"/>
          <w:sz w:val="32"/>
          <w:szCs w:val="32"/>
          <w:highlight w:val="none"/>
        </w:rPr>
        <w:t>167.48</w:t>
      </w:r>
      <w:r>
        <w:rPr>
          <w:rFonts w:hint="eastAsia" w:ascii="仿宋_GB2312" w:eastAsia="仿宋_GB2312" w:cs="仿宋_GB2312"/>
          <w:color w:val="auto"/>
          <w:sz w:val="32"/>
          <w:szCs w:val="32"/>
          <w:highlight w:val="none"/>
        </w:rPr>
        <w:t>万元，占</w:t>
      </w:r>
      <w:r>
        <w:rPr>
          <w:rFonts w:ascii="仿宋_GB2312" w:eastAsia="仿宋_GB2312" w:cs="仿宋_GB2312"/>
          <w:color w:val="auto"/>
          <w:sz w:val="32"/>
          <w:szCs w:val="32"/>
          <w:highlight w:val="none"/>
        </w:rPr>
        <w:t>100%</w:t>
      </w:r>
      <w:r>
        <w:rPr>
          <w:rFonts w:hint="eastAsia" w:ascii="仿宋_GB2312" w:eastAsia="仿宋_GB2312" w:cs="仿宋_GB2312"/>
          <w:color w:val="auto"/>
          <w:sz w:val="32"/>
          <w:szCs w:val="32"/>
          <w:highlight w:val="none"/>
        </w:rPr>
        <w:t>；上级补助收入</w:t>
      </w:r>
      <w:r>
        <w:rPr>
          <w:rFonts w:ascii="仿宋_GB2312" w:eastAsia="仿宋_GB2312" w:cs="仿宋_GB2312"/>
          <w:color w:val="auto"/>
          <w:sz w:val="32"/>
          <w:szCs w:val="32"/>
          <w:highlight w:val="none"/>
        </w:rPr>
        <w:t>0</w:t>
      </w:r>
      <w:r>
        <w:rPr>
          <w:rFonts w:hint="eastAsia" w:ascii="仿宋_GB2312" w:eastAsia="仿宋_GB2312" w:cs="仿宋_GB2312"/>
          <w:color w:val="auto"/>
          <w:sz w:val="32"/>
          <w:szCs w:val="32"/>
          <w:highlight w:val="none"/>
          <w:lang w:val="en-US" w:eastAsia="zh-CN"/>
        </w:rPr>
        <w:t>.00</w:t>
      </w:r>
      <w:r>
        <w:rPr>
          <w:rFonts w:hint="eastAsia" w:ascii="仿宋_GB2312" w:eastAsia="仿宋_GB2312" w:cs="仿宋_GB2312"/>
          <w:color w:val="auto"/>
          <w:sz w:val="32"/>
          <w:szCs w:val="32"/>
          <w:highlight w:val="none"/>
        </w:rPr>
        <w:t>万元，占</w:t>
      </w:r>
      <w:r>
        <w:rPr>
          <w:rFonts w:ascii="仿宋_GB2312" w:eastAsia="仿宋_GB2312" w:cs="仿宋_GB2312"/>
          <w:color w:val="auto"/>
          <w:sz w:val="32"/>
          <w:szCs w:val="32"/>
          <w:highlight w:val="none"/>
        </w:rPr>
        <w:t>0</w:t>
      </w:r>
      <w:r>
        <w:rPr>
          <w:rFonts w:hint="eastAsia" w:ascii="仿宋_GB2312" w:eastAsia="仿宋_GB2312" w:cs="仿宋_GB2312"/>
          <w:color w:val="auto"/>
          <w:sz w:val="32"/>
          <w:szCs w:val="32"/>
          <w:highlight w:val="none"/>
          <w:lang w:val="en-US" w:eastAsia="zh-CN"/>
        </w:rPr>
        <w:t>.00</w:t>
      </w:r>
      <w:r>
        <w:rPr>
          <w:rFonts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rPr>
        <w:t>；事业收入</w:t>
      </w:r>
      <w:r>
        <w:rPr>
          <w:rFonts w:ascii="仿宋_GB2312" w:eastAsia="仿宋_GB2312" w:cs="仿宋_GB2312"/>
          <w:color w:val="auto"/>
          <w:sz w:val="32"/>
          <w:szCs w:val="32"/>
          <w:highlight w:val="none"/>
        </w:rPr>
        <w:t>0</w:t>
      </w:r>
      <w:r>
        <w:rPr>
          <w:rFonts w:hint="eastAsia" w:ascii="仿宋_GB2312" w:eastAsia="仿宋_GB2312" w:cs="仿宋_GB2312"/>
          <w:color w:val="auto"/>
          <w:sz w:val="32"/>
          <w:szCs w:val="32"/>
          <w:highlight w:val="none"/>
          <w:lang w:val="en-US" w:eastAsia="zh-CN"/>
        </w:rPr>
        <w:t>.00</w:t>
      </w:r>
      <w:r>
        <w:rPr>
          <w:rFonts w:hint="eastAsia" w:ascii="仿宋_GB2312" w:eastAsia="仿宋_GB2312" w:cs="仿宋_GB2312"/>
          <w:color w:val="auto"/>
          <w:sz w:val="32"/>
          <w:szCs w:val="32"/>
          <w:highlight w:val="none"/>
        </w:rPr>
        <w:t>万元，占</w:t>
      </w:r>
      <w:r>
        <w:rPr>
          <w:rFonts w:ascii="仿宋_GB2312" w:eastAsia="仿宋_GB2312" w:cs="仿宋_GB2312"/>
          <w:color w:val="auto"/>
          <w:sz w:val="32"/>
          <w:szCs w:val="32"/>
          <w:highlight w:val="none"/>
        </w:rPr>
        <w:t>0</w:t>
      </w:r>
      <w:r>
        <w:rPr>
          <w:rFonts w:hint="eastAsia" w:ascii="仿宋_GB2312" w:eastAsia="仿宋_GB2312" w:cs="仿宋_GB2312"/>
          <w:color w:val="auto"/>
          <w:sz w:val="32"/>
          <w:szCs w:val="32"/>
          <w:highlight w:val="none"/>
          <w:lang w:val="en-US" w:eastAsia="zh-CN"/>
        </w:rPr>
        <w:t>.00</w:t>
      </w:r>
      <w:r>
        <w:rPr>
          <w:rFonts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rPr>
        <w:t>；经营收入</w:t>
      </w:r>
      <w:r>
        <w:rPr>
          <w:rFonts w:ascii="仿宋_GB2312" w:eastAsia="仿宋_GB2312" w:cs="仿宋_GB2312"/>
          <w:color w:val="auto"/>
          <w:sz w:val="32"/>
          <w:szCs w:val="32"/>
          <w:highlight w:val="none"/>
        </w:rPr>
        <w:t>0</w:t>
      </w:r>
      <w:r>
        <w:rPr>
          <w:rFonts w:hint="eastAsia" w:ascii="仿宋_GB2312" w:eastAsia="仿宋_GB2312" w:cs="仿宋_GB2312"/>
          <w:color w:val="auto"/>
          <w:sz w:val="32"/>
          <w:szCs w:val="32"/>
          <w:highlight w:val="none"/>
          <w:lang w:val="en-US" w:eastAsia="zh-CN"/>
        </w:rPr>
        <w:t>.00</w:t>
      </w:r>
      <w:r>
        <w:rPr>
          <w:rFonts w:hint="eastAsia" w:ascii="仿宋_GB2312" w:eastAsia="仿宋_GB2312" w:cs="仿宋_GB2312"/>
          <w:color w:val="auto"/>
          <w:sz w:val="32"/>
          <w:szCs w:val="32"/>
          <w:highlight w:val="none"/>
        </w:rPr>
        <w:t>万元，占</w:t>
      </w:r>
      <w:r>
        <w:rPr>
          <w:rFonts w:ascii="仿宋_GB2312" w:eastAsia="仿宋_GB2312" w:cs="仿宋_GB2312"/>
          <w:color w:val="auto"/>
          <w:sz w:val="32"/>
          <w:szCs w:val="32"/>
          <w:highlight w:val="none"/>
        </w:rPr>
        <w:t>0</w:t>
      </w:r>
      <w:r>
        <w:rPr>
          <w:rFonts w:hint="eastAsia" w:ascii="仿宋_GB2312" w:eastAsia="仿宋_GB2312" w:cs="仿宋_GB2312"/>
          <w:color w:val="auto"/>
          <w:sz w:val="32"/>
          <w:szCs w:val="32"/>
          <w:highlight w:val="none"/>
          <w:lang w:val="en-US" w:eastAsia="zh-CN"/>
        </w:rPr>
        <w:t>.00</w:t>
      </w:r>
      <w:r>
        <w:rPr>
          <w:rFonts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rPr>
        <w:t>；附属单位上缴收入</w:t>
      </w:r>
      <w:r>
        <w:rPr>
          <w:rFonts w:ascii="仿宋_GB2312" w:eastAsia="仿宋_GB2312" w:cs="仿宋_GB2312"/>
          <w:color w:val="auto"/>
          <w:sz w:val="32"/>
          <w:szCs w:val="32"/>
          <w:highlight w:val="none"/>
        </w:rPr>
        <w:t>0</w:t>
      </w:r>
      <w:r>
        <w:rPr>
          <w:rFonts w:hint="eastAsia" w:ascii="仿宋_GB2312" w:eastAsia="仿宋_GB2312" w:cs="仿宋_GB2312"/>
          <w:color w:val="auto"/>
          <w:sz w:val="32"/>
          <w:szCs w:val="32"/>
          <w:highlight w:val="none"/>
          <w:lang w:val="en-US" w:eastAsia="zh-CN"/>
        </w:rPr>
        <w:t>.00</w:t>
      </w:r>
      <w:r>
        <w:rPr>
          <w:rFonts w:hint="eastAsia" w:ascii="仿宋_GB2312" w:eastAsia="仿宋_GB2312" w:cs="仿宋_GB2312"/>
          <w:color w:val="auto"/>
          <w:sz w:val="32"/>
          <w:szCs w:val="32"/>
          <w:highlight w:val="none"/>
        </w:rPr>
        <w:t>万元，占</w:t>
      </w:r>
      <w:r>
        <w:rPr>
          <w:rFonts w:ascii="仿宋_GB2312" w:eastAsia="仿宋_GB2312" w:cs="仿宋_GB2312"/>
          <w:color w:val="auto"/>
          <w:sz w:val="32"/>
          <w:szCs w:val="32"/>
          <w:highlight w:val="none"/>
        </w:rPr>
        <w:t>0</w:t>
      </w:r>
      <w:r>
        <w:rPr>
          <w:rFonts w:hint="eastAsia" w:ascii="仿宋_GB2312" w:eastAsia="仿宋_GB2312" w:cs="仿宋_GB2312"/>
          <w:color w:val="auto"/>
          <w:sz w:val="32"/>
          <w:szCs w:val="32"/>
          <w:highlight w:val="none"/>
          <w:lang w:val="en-US" w:eastAsia="zh-CN"/>
        </w:rPr>
        <w:t>.00</w:t>
      </w:r>
      <w:r>
        <w:rPr>
          <w:rFonts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rPr>
        <w:t>；其他收入</w:t>
      </w:r>
      <w:r>
        <w:rPr>
          <w:rFonts w:ascii="仿宋_GB2312" w:eastAsia="仿宋_GB2312" w:cs="仿宋_GB2312"/>
          <w:color w:val="auto"/>
          <w:sz w:val="32"/>
          <w:szCs w:val="32"/>
          <w:highlight w:val="none"/>
        </w:rPr>
        <w:t>0</w:t>
      </w:r>
      <w:r>
        <w:rPr>
          <w:rFonts w:hint="eastAsia" w:ascii="仿宋_GB2312" w:eastAsia="仿宋_GB2312" w:cs="仿宋_GB2312"/>
          <w:color w:val="auto"/>
          <w:sz w:val="32"/>
          <w:szCs w:val="32"/>
          <w:highlight w:val="none"/>
          <w:lang w:val="en-US" w:eastAsia="zh-CN"/>
        </w:rPr>
        <w:t>.00</w:t>
      </w:r>
      <w:r>
        <w:rPr>
          <w:rFonts w:hint="eastAsia" w:ascii="仿宋_GB2312" w:eastAsia="仿宋_GB2312" w:cs="仿宋_GB2312"/>
          <w:color w:val="auto"/>
          <w:sz w:val="32"/>
          <w:szCs w:val="32"/>
          <w:highlight w:val="none"/>
        </w:rPr>
        <w:t>万元，占</w:t>
      </w:r>
      <w:r>
        <w:rPr>
          <w:rFonts w:ascii="仿宋_GB2312" w:eastAsia="仿宋_GB2312" w:cs="仿宋_GB2312"/>
          <w:color w:val="auto"/>
          <w:sz w:val="32"/>
          <w:szCs w:val="32"/>
          <w:highlight w:val="none"/>
        </w:rPr>
        <w:t>0</w:t>
      </w:r>
      <w:r>
        <w:rPr>
          <w:rFonts w:hint="eastAsia" w:ascii="仿宋_GB2312" w:eastAsia="仿宋_GB2312" w:cs="仿宋_GB2312"/>
          <w:color w:val="auto"/>
          <w:sz w:val="32"/>
          <w:szCs w:val="32"/>
          <w:highlight w:val="none"/>
          <w:lang w:val="en-US" w:eastAsia="zh-CN"/>
        </w:rPr>
        <w:t>.00</w:t>
      </w:r>
      <w:r>
        <w:rPr>
          <w:rFonts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eastAsia="仿宋_GB2312" w:cs="仿宋_GB2312"/>
          <w:color w:val="auto"/>
          <w:sz w:val="32"/>
          <w:szCs w:val="32"/>
          <w:highlight w:val="none"/>
        </w:rPr>
        <w:t>2021</w:t>
      </w:r>
      <w:r>
        <w:rPr>
          <w:rFonts w:hint="eastAsia" w:ascii="仿宋_GB2312" w:eastAsia="仿宋_GB2312" w:cs="仿宋_GB2312"/>
          <w:color w:val="auto"/>
          <w:sz w:val="32"/>
          <w:szCs w:val="32"/>
          <w:highlight w:val="none"/>
        </w:rPr>
        <w:t>年度支出合计</w:t>
      </w:r>
      <w:r>
        <w:rPr>
          <w:rFonts w:ascii="仿宋_GB2312" w:eastAsia="仿宋_GB2312" w:cs="仿宋_GB2312"/>
          <w:color w:val="auto"/>
          <w:sz w:val="32"/>
          <w:szCs w:val="32"/>
          <w:highlight w:val="none"/>
        </w:rPr>
        <w:t>185.34</w:t>
      </w:r>
      <w:r>
        <w:rPr>
          <w:rFonts w:hint="eastAsia" w:ascii="仿宋_GB2312" w:eastAsia="仿宋_GB2312" w:cs="仿宋_GB2312"/>
          <w:color w:val="auto"/>
          <w:sz w:val="32"/>
          <w:szCs w:val="32"/>
          <w:highlight w:val="none"/>
        </w:rPr>
        <w:t>万元，其中：基本支出</w:t>
      </w:r>
      <w:r>
        <w:rPr>
          <w:rFonts w:ascii="仿宋_GB2312" w:eastAsia="仿宋_GB2312" w:cs="仿宋_GB2312"/>
          <w:color w:val="auto"/>
          <w:sz w:val="32"/>
          <w:szCs w:val="32"/>
          <w:highlight w:val="none"/>
        </w:rPr>
        <w:t>182.78</w:t>
      </w:r>
      <w:r>
        <w:rPr>
          <w:rFonts w:hint="eastAsia" w:ascii="仿宋_GB2312" w:eastAsia="仿宋_GB2312" w:cs="仿宋_GB2312"/>
          <w:color w:val="auto"/>
          <w:sz w:val="32"/>
          <w:szCs w:val="32"/>
          <w:highlight w:val="none"/>
        </w:rPr>
        <w:t>万元，占</w:t>
      </w:r>
      <w:r>
        <w:rPr>
          <w:rFonts w:ascii="仿宋_GB2312" w:eastAsia="仿宋_GB2312" w:cs="仿宋_GB2312"/>
          <w:color w:val="auto"/>
          <w:sz w:val="32"/>
          <w:szCs w:val="32"/>
          <w:highlight w:val="none"/>
        </w:rPr>
        <w:t>98.62%</w:t>
      </w:r>
      <w:r>
        <w:rPr>
          <w:rFonts w:hint="eastAsia" w:ascii="仿宋_GB2312" w:eastAsia="仿宋_GB2312" w:cs="仿宋_GB2312"/>
          <w:color w:val="auto"/>
          <w:sz w:val="32"/>
          <w:szCs w:val="32"/>
          <w:highlight w:val="none"/>
        </w:rPr>
        <w:t>；项目支出</w:t>
      </w:r>
      <w:r>
        <w:rPr>
          <w:rFonts w:ascii="仿宋_GB2312" w:eastAsia="仿宋_GB2312" w:cs="仿宋_GB2312"/>
          <w:color w:val="auto"/>
          <w:sz w:val="32"/>
          <w:szCs w:val="32"/>
          <w:highlight w:val="none"/>
        </w:rPr>
        <w:t>2.56</w:t>
      </w:r>
      <w:r>
        <w:rPr>
          <w:rFonts w:hint="eastAsia" w:ascii="仿宋_GB2312" w:eastAsia="仿宋_GB2312" w:cs="仿宋_GB2312"/>
          <w:color w:val="auto"/>
          <w:sz w:val="32"/>
          <w:szCs w:val="32"/>
          <w:highlight w:val="none"/>
        </w:rPr>
        <w:t>万元，占</w:t>
      </w:r>
      <w:r>
        <w:rPr>
          <w:rFonts w:ascii="仿宋_GB2312" w:eastAsia="仿宋_GB2312" w:cs="仿宋_GB2312"/>
          <w:color w:val="auto"/>
          <w:sz w:val="32"/>
          <w:szCs w:val="32"/>
          <w:highlight w:val="none"/>
        </w:rPr>
        <w:t>1.38%</w:t>
      </w:r>
      <w:r>
        <w:rPr>
          <w:rFonts w:hint="eastAsia" w:ascii="仿宋_GB2312" w:eastAsia="仿宋_GB2312" w:cs="仿宋_GB2312"/>
          <w:color w:val="auto"/>
          <w:sz w:val="32"/>
          <w:szCs w:val="32"/>
          <w:highlight w:val="none"/>
        </w:rPr>
        <w:t>；上缴上级支出</w:t>
      </w:r>
      <w:r>
        <w:rPr>
          <w:rFonts w:ascii="仿宋_GB2312" w:eastAsia="仿宋_GB2312" w:cs="仿宋_GB2312"/>
          <w:color w:val="auto"/>
          <w:sz w:val="32"/>
          <w:szCs w:val="32"/>
          <w:highlight w:val="none"/>
        </w:rPr>
        <w:t>0</w:t>
      </w:r>
      <w:r>
        <w:rPr>
          <w:rFonts w:hint="eastAsia" w:ascii="仿宋_GB2312" w:eastAsia="仿宋_GB2312" w:cs="仿宋_GB2312"/>
          <w:color w:val="auto"/>
          <w:sz w:val="32"/>
          <w:szCs w:val="32"/>
          <w:highlight w:val="none"/>
          <w:lang w:val="en-US" w:eastAsia="zh-CN"/>
        </w:rPr>
        <w:t>.00</w:t>
      </w:r>
      <w:r>
        <w:rPr>
          <w:rFonts w:hint="eastAsia" w:ascii="仿宋_GB2312" w:eastAsia="仿宋_GB2312" w:cs="仿宋_GB2312"/>
          <w:color w:val="auto"/>
          <w:sz w:val="32"/>
          <w:szCs w:val="32"/>
          <w:highlight w:val="none"/>
        </w:rPr>
        <w:t>万元，占</w:t>
      </w:r>
      <w:r>
        <w:rPr>
          <w:rFonts w:ascii="仿宋_GB2312" w:eastAsia="仿宋_GB2312" w:cs="仿宋_GB2312"/>
          <w:color w:val="auto"/>
          <w:sz w:val="32"/>
          <w:szCs w:val="32"/>
          <w:highlight w:val="none"/>
        </w:rPr>
        <w:t>0</w:t>
      </w:r>
      <w:r>
        <w:rPr>
          <w:rFonts w:hint="eastAsia" w:ascii="仿宋_GB2312" w:eastAsia="仿宋_GB2312" w:cs="仿宋_GB2312"/>
          <w:color w:val="auto"/>
          <w:sz w:val="32"/>
          <w:szCs w:val="32"/>
          <w:highlight w:val="none"/>
          <w:lang w:val="en-US" w:eastAsia="zh-CN"/>
        </w:rPr>
        <w:t>.00</w:t>
      </w:r>
      <w:r>
        <w:rPr>
          <w:rFonts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rPr>
        <w:t>；经营支出</w:t>
      </w:r>
      <w:r>
        <w:rPr>
          <w:rFonts w:ascii="仿宋_GB2312" w:eastAsia="仿宋_GB2312" w:cs="仿宋_GB2312"/>
          <w:color w:val="auto"/>
          <w:sz w:val="32"/>
          <w:szCs w:val="32"/>
          <w:highlight w:val="none"/>
        </w:rPr>
        <w:t>0</w:t>
      </w:r>
      <w:r>
        <w:rPr>
          <w:rFonts w:hint="eastAsia" w:ascii="仿宋_GB2312" w:eastAsia="仿宋_GB2312" w:cs="仿宋_GB2312"/>
          <w:color w:val="auto"/>
          <w:sz w:val="32"/>
          <w:szCs w:val="32"/>
          <w:highlight w:val="none"/>
          <w:lang w:val="en-US" w:eastAsia="zh-CN"/>
        </w:rPr>
        <w:t>.00</w:t>
      </w:r>
      <w:r>
        <w:rPr>
          <w:rFonts w:hint="eastAsia" w:ascii="仿宋_GB2312" w:eastAsia="仿宋_GB2312" w:cs="仿宋_GB2312"/>
          <w:color w:val="auto"/>
          <w:sz w:val="32"/>
          <w:szCs w:val="32"/>
          <w:highlight w:val="none"/>
        </w:rPr>
        <w:t>万元，占</w:t>
      </w:r>
      <w:r>
        <w:rPr>
          <w:rFonts w:ascii="仿宋_GB2312" w:eastAsia="仿宋_GB2312" w:cs="仿宋_GB2312"/>
          <w:color w:val="auto"/>
          <w:sz w:val="32"/>
          <w:szCs w:val="32"/>
          <w:highlight w:val="none"/>
        </w:rPr>
        <w:t>0</w:t>
      </w:r>
      <w:r>
        <w:rPr>
          <w:rFonts w:hint="eastAsia" w:ascii="仿宋_GB2312" w:eastAsia="仿宋_GB2312" w:cs="仿宋_GB2312"/>
          <w:color w:val="auto"/>
          <w:sz w:val="32"/>
          <w:szCs w:val="32"/>
          <w:highlight w:val="none"/>
          <w:lang w:val="en-US" w:eastAsia="zh-CN"/>
        </w:rPr>
        <w:t>.00</w:t>
      </w:r>
      <w:r>
        <w:rPr>
          <w:rFonts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rPr>
        <w:t>；对附属单位补助支出</w:t>
      </w:r>
      <w:r>
        <w:rPr>
          <w:rFonts w:ascii="仿宋_GB2312" w:eastAsia="仿宋_GB2312" w:cs="仿宋_GB2312"/>
          <w:color w:val="auto"/>
          <w:sz w:val="32"/>
          <w:szCs w:val="32"/>
          <w:highlight w:val="none"/>
        </w:rPr>
        <w:t>0</w:t>
      </w:r>
      <w:r>
        <w:rPr>
          <w:rFonts w:hint="eastAsia" w:ascii="仿宋_GB2312" w:eastAsia="仿宋_GB2312" w:cs="仿宋_GB2312"/>
          <w:color w:val="auto"/>
          <w:sz w:val="32"/>
          <w:szCs w:val="32"/>
          <w:highlight w:val="none"/>
          <w:lang w:val="en-US" w:eastAsia="zh-CN"/>
        </w:rPr>
        <w:t>.00</w:t>
      </w:r>
      <w:r>
        <w:rPr>
          <w:rFonts w:hint="eastAsia" w:ascii="仿宋_GB2312" w:eastAsia="仿宋_GB2312" w:cs="仿宋_GB2312"/>
          <w:color w:val="auto"/>
          <w:sz w:val="32"/>
          <w:szCs w:val="32"/>
          <w:highlight w:val="none"/>
        </w:rPr>
        <w:t>万元，占</w:t>
      </w:r>
      <w:r>
        <w:rPr>
          <w:rFonts w:ascii="仿宋_GB2312" w:eastAsia="仿宋_GB2312" w:cs="仿宋_GB2312"/>
          <w:color w:val="auto"/>
          <w:sz w:val="32"/>
          <w:szCs w:val="32"/>
          <w:highlight w:val="none"/>
        </w:rPr>
        <w:t>0</w:t>
      </w:r>
      <w:r>
        <w:rPr>
          <w:rFonts w:hint="eastAsia" w:ascii="仿宋_GB2312" w:eastAsia="仿宋_GB2312" w:cs="仿宋_GB2312"/>
          <w:color w:val="auto"/>
          <w:sz w:val="32"/>
          <w:szCs w:val="32"/>
          <w:highlight w:val="none"/>
          <w:lang w:val="en-US" w:eastAsia="zh-CN"/>
        </w:rPr>
        <w:t>.00</w:t>
      </w:r>
      <w:r>
        <w:rPr>
          <w:rFonts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四、财政拨款收入支出决算总体情况说明</w:t>
      </w:r>
    </w:p>
    <w:p>
      <w:pPr>
        <w:widowControl/>
        <w:spacing w:line="590" w:lineRule="exact"/>
        <w:ind w:firstLine="640" w:firstLineChars="200"/>
        <w:outlineLvl w:val="1"/>
        <w:rPr>
          <w:rFonts w:hint="eastAsia" w:ascii="仿宋_GB2312" w:eastAsia="仿宋_GB2312" w:cs="仿宋_GB2312"/>
          <w:color w:val="auto"/>
          <w:sz w:val="32"/>
          <w:szCs w:val="32"/>
          <w:highlight w:val="none"/>
        </w:rPr>
      </w:pPr>
      <w:r>
        <w:rPr>
          <w:rFonts w:ascii="仿宋_GB2312" w:eastAsia="仿宋_GB2312" w:cs="仿宋_GB2312"/>
          <w:color w:val="auto"/>
          <w:sz w:val="32"/>
          <w:szCs w:val="32"/>
          <w:highlight w:val="none"/>
        </w:rPr>
        <w:t>2021</w:t>
      </w:r>
      <w:r>
        <w:rPr>
          <w:rFonts w:hint="eastAsia" w:ascii="仿宋_GB2312" w:eastAsia="仿宋_GB2312" w:cs="仿宋_GB2312"/>
          <w:color w:val="auto"/>
          <w:sz w:val="32"/>
          <w:szCs w:val="32"/>
          <w:highlight w:val="none"/>
        </w:rPr>
        <w:t>年度财政拨款收、支总计均为</w:t>
      </w:r>
      <w:r>
        <w:rPr>
          <w:rFonts w:ascii="仿宋_GB2312" w:eastAsia="仿宋_GB2312" w:cs="仿宋_GB2312"/>
          <w:color w:val="auto"/>
          <w:sz w:val="32"/>
          <w:szCs w:val="32"/>
          <w:highlight w:val="none"/>
        </w:rPr>
        <w:t>185.34</w:t>
      </w:r>
      <w:r>
        <w:rPr>
          <w:rFonts w:hint="eastAsia" w:ascii="仿宋_GB2312" w:eastAsia="仿宋_GB2312" w:cs="仿宋_GB2312"/>
          <w:color w:val="auto"/>
          <w:sz w:val="32"/>
          <w:szCs w:val="32"/>
          <w:highlight w:val="none"/>
        </w:rPr>
        <w:t>万元。与上年度相比，财政拨款收、支总计各增加</w:t>
      </w:r>
      <w:r>
        <w:rPr>
          <w:rFonts w:ascii="仿宋_GB2312" w:eastAsia="仿宋_GB2312" w:cs="仿宋_GB2312"/>
          <w:color w:val="auto"/>
          <w:sz w:val="32"/>
          <w:szCs w:val="32"/>
          <w:highlight w:val="none"/>
        </w:rPr>
        <w:t>12.15</w:t>
      </w:r>
      <w:r>
        <w:rPr>
          <w:rFonts w:hint="eastAsia" w:ascii="仿宋_GB2312" w:eastAsia="仿宋_GB2312" w:cs="仿宋_GB2312"/>
          <w:color w:val="auto"/>
          <w:sz w:val="32"/>
          <w:szCs w:val="32"/>
          <w:highlight w:val="none"/>
        </w:rPr>
        <w:t>万元，增长</w:t>
      </w:r>
      <w:r>
        <w:rPr>
          <w:rFonts w:ascii="仿宋_GB2312" w:eastAsia="仿宋_GB2312" w:cs="仿宋_GB2312"/>
          <w:color w:val="auto"/>
          <w:sz w:val="32"/>
          <w:szCs w:val="32"/>
          <w:highlight w:val="none"/>
        </w:rPr>
        <w:t>7.02%</w:t>
      </w:r>
      <w:r>
        <w:rPr>
          <w:rFonts w:hint="eastAsia" w:ascii="仿宋_GB2312" w:eastAsia="仿宋_GB2312" w:cs="仿宋_GB2312"/>
          <w:color w:val="auto"/>
          <w:sz w:val="32"/>
          <w:szCs w:val="32"/>
          <w:highlight w:val="none"/>
        </w:rPr>
        <w:t>。主要原因是1.年度薪级工资正常增长；2.因办公区域搬迁，增加相关支出。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（一）总体情况。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eastAsia="仿宋_GB2312" w:cs="仿宋_GB2312"/>
          <w:color w:val="auto"/>
          <w:sz w:val="32"/>
          <w:szCs w:val="32"/>
          <w:highlight w:val="none"/>
        </w:rPr>
        <w:t>2021</w:t>
      </w:r>
      <w:r>
        <w:rPr>
          <w:rFonts w:hint="eastAsia" w:ascii="仿宋_GB2312" w:eastAsia="仿宋_GB2312" w:cs="仿宋_GB2312"/>
          <w:color w:val="auto"/>
          <w:sz w:val="32"/>
          <w:szCs w:val="32"/>
          <w:highlight w:val="none"/>
        </w:rPr>
        <w:t>年度一般公共预算财政拨款支出</w:t>
      </w:r>
      <w:r>
        <w:rPr>
          <w:rFonts w:ascii="仿宋_GB2312" w:eastAsia="仿宋_GB2312" w:cs="仿宋_GB2312"/>
          <w:color w:val="auto"/>
          <w:sz w:val="32"/>
          <w:szCs w:val="32"/>
          <w:highlight w:val="none"/>
        </w:rPr>
        <w:t>185.34</w:t>
      </w:r>
      <w:r>
        <w:rPr>
          <w:rFonts w:hint="eastAsia" w:ascii="仿宋_GB2312" w:eastAsia="仿宋_GB2312" w:cs="仿宋_GB2312"/>
          <w:color w:val="auto"/>
          <w:sz w:val="32"/>
          <w:szCs w:val="32"/>
          <w:highlight w:val="none"/>
        </w:rPr>
        <w:t>万元，占支出合计的</w:t>
      </w:r>
      <w:r>
        <w:rPr>
          <w:rFonts w:ascii="仿宋_GB2312" w:eastAsia="仿宋_GB2312" w:cs="仿宋_GB2312"/>
          <w:color w:val="auto"/>
          <w:sz w:val="32"/>
          <w:szCs w:val="32"/>
          <w:highlight w:val="none"/>
        </w:rPr>
        <w:t>100</w:t>
      </w:r>
      <w:r>
        <w:rPr>
          <w:rFonts w:hint="eastAsia" w:ascii="仿宋_GB2312" w:eastAsia="仿宋_GB2312" w:cs="仿宋_GB2312"/>
          <w:color w:val="auto"/>
          <w:sz w:val="32"/>
          <w:szCs w:val="32"/>
          <w:highlight w:val="none"/>
          <w:lang w:val="en-US" w:eastAsia="zh-CN"/>
        </w:rPr>
        <w:t>.00</w:t>
      </w:r>
      <w:r>
        <w:rPr>
          <w:rFonts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rPr>
        <w:t>。与上年度相比，一般公共预算财政拨款支出增加</w:t>
      </w:r>
      <w:r>
        <w:rPr>
          <w:rFonts w:ascii="仿宋_GB2312" w:eastAsia="仿宋_GB2312" w:cs="仿宋_GB2312"/>
          <w:color w:val="auto"/>
          <w:sz w:val="32"/>
          <w:szCs w:val="32"/>
          <w:highlight w:val="none"/>
        </w:rPr>
        <w:t>32.51</w:t>
      </w:r>
      <w:r>
        <w:rPr>
          <w:rFonts w:hint="eastAsia" w:ascii="仿宋_GB2312" w:eastAsia="仿宋_GB2312" w:cs="仿宋_GB2312"/>
          <w:color w:val="auto"/>
          <w:sz w:val="32"/>
          <w:szCs w:val="32"/>
          <w:highlight w:val="none"/>
        </w:rPr>
        <w:t>万元，增长</w:t>
      </w:r>
      <w:r>
        <w:rPr>
          <w:rFonts w:ascii="仿宋_GB2312" w:eastAsia="仿宋_GB2312" w:cs="仿宋_GB2312"/>
          <w:color w:val="auto"/>
          <w:sz w:val="32"/>
          <w:szCs w:val="32"/>
          <w:highlight w:val="none"/>
        </w:rPr>
        <w:t>21.27%</w:t>
      </w:r>
      <w:r>
        <w:rPr>
          <w:rFonts w:hint="eastAsia" w:asci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主要原因是</w:t>
      </w:r>
      <w:r>
        <w:rPr>
          <w:rFonts w:hint="eastAsia" w:ascii="仿宋_GB2312" w:eastAsia="仿宋_GB2312" w:cs="仿宋_GB2312"/>
          <w:color w:val="auto"/>
          <w:sz w:val="32"/>
          <w:szCs w:val="32"/>
          <w:highlight w:val="none"/>
        </w:rPr>
        <w:t>1.年度薪级工资正常增长；2.因办公区域搬迁，增加相关支出；3.补缴上年度欠缴社保费</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（二）结构情况。</w:t>
      </w:r>
    </w:p>
    <w:p>
      <w:pPr>
        <w:widowControl/>
        <w:spacing w:line="590" w:lineRule="exact"/>
        <w:ind w:firstLine="640" w:firstLineChars="200"/>
        <w:rPr>
          <w:rFonts w:hint="eastAsia" w:ascii="仿宋" w:hAnsi="仿宋" w:eastAsia="仿宋" w:cs="宋体"/>
          <w:color w:val="auto"/>
          <w:kern w:val="0"/>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ascii="仿宋_GB2312" w:eastAsia="仿宋_GB2312" w:cs="仿宋_GB2312"/>
          <w:color w:val="auto"/>
          <w:sz w:val="32"/>
          <w:szCs w:val="32"/>
          <w:highlight w:val="none"/>
        </w:rPr>
        <w:t>185.34</w:t>
      </w:r>
      <w:r>
        <w:rPr>
          <w:rFonts w:hint="eastAsia" w:ascii="仿宋_GB2312" w:hAnsi="仿宋_GB2312" w:eastAsia="仿宋_GB2312" w:cs="仿宋_GB2312"/>
          <w:color w:val="auto"/>
          <w:sz w:val="32"/>
          <w:szCs w:val="32"/>
          <w:highlight w:val="none"/>
        </w:rPr>
        <w:t>万元，主要用于以下方面：</w:t>
      </w:r>
      <w:r>
        <w:rPr>
          <w:rFonts w:hint="eastAsia" w:ascii="仿宋" w:hAnsi="仿宋" w:eastAsia="仿宋" w:cs="宋体"/>
          <w:color w:val="auto"/>
          <w:kern w:val="0"/>
          <w:sz w:val="32"/>
          <w:szCs w:val="32"/>
          <w:highlight w:val="none"/>
        </w:rPr>
        <w:t>一般公共服务（类）支出0.84万元，占0.45%；教育（类）支出141.3万元，占76.24%；社会保障和就业（类）支出37.46万元，占20.21%；卫生健康（类）支出5.75万元，占3.10%。</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（三）具体情况。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年度一般公共预算财政拨款支出年初预算为169.90万元，支出决算为185.34万元，完成年初预算的109.09%。其中：</w:t>
      </w:r>
    </w:p>
    <w:p>
      <w:pPr>
        <w:widowControl/>
        <w:spacing w:line="590" w:lineRule="exact"/>
        <w:ind w:firstLine="643" w:firstLineChars="200"/>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1.一般公务服务（类）群众团体事务（款）工会事物（项）。</w:t>
      </w:r>
      <w:r>
        <w:rPr>
          <w:rFonts w:hint="eastAsia" w:ascii="仿宋_GB2312" w:hAnsi="仿宋_GB2312" w:eastAsia="仿宋_GB2312" w:cs="仿宋_GB2312"/>
          <w:color w:val="auto"/>
          <w:sz w:val="32"/>
          <w:szCs w:val="32"/>
          <w:highlight w:val="none"/>
        </w:rPr>
        <w:t>年初预算为0.84万元，支出决算为0.84万元，完成年初预算的100.00%。</w:t>
      </w:r>
      <w:r>
        <w:rPr>
          <w:rFonts w:hint="eastAsia" w:ascii="仿宋" w:hAnsi="仿宋" w:eastAsia="仿宋" w:cs="宋体"/>
          <w:color w:val="auto"/>
          <w:kern w:val="0"/>
          <w:sz w:val="32"/>
          <w:szCs w:val="32"/>
          <w:highlight w:val="none"/>
        </w:rPr>
        <w:t>决算数与年初预算数不存在差异。</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2．教育（类）教育管理事务（款）其他教育管理事务（项）。</w:t>
      </w:r>
      <w:r>
        <w:rPr>
          <w:rFonts w:hint="eastAsia" w:ascii="仿宋_GB2312" w:hAnsi="仿宋_GB2312" w:eastAsia="仿宋_GB2312" w:cs="仿宋_GB2312"/>
          <w:color w:val="auto"/>
          <w:sz w:val="32"/>
          <w:szCs w:val="32"/>
          <w:highlight w:val="none"/>
        </w:rPr>
        <w:t>年初预算为130.31万元，支出决算为138.74万元，完成年初预算的106.47%。决算数与年初预算数存在差异的主要原因是1.使用上年度结转财政资金支付上年度欠缴社保费；2.本年度职工薪级工资正常增长。以上经费均未纳入年初预算。</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3．教育（类）普通教育（款）其他普通教育支出（项）。</w:t>
      </w:r>
      <w:r>
        <w:rPr>
          <w:rFonts w:hint="eastAsia" w:ascii="仿宋_GB2312" w:hAnsi="仿宋_GB2312" w:eastAsia="仿宋_GB2312" w:cs="仿宋_GB2312"/>
          <w:color w:val="auto"/>
          <w:sz w:val="32"/>
          <w:szCs w:val="32"/>
          <w:highlight w:val="none"/>
        </w:rPr>
        <w:t>年初预算为0</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万元，支出决算为2.56万元。决算数与年初预算数存在差异的主要原因是使用上年度结转项目经费开展培训活动，并产生支出，该项经费年初未纳入预算。</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4．社会保障和就业（类）行政事业单位离退休（款）事业单位离退休（项）。</w:t>
      </w:r>
      <w:r>
        <w:rPr>
          <w:rFonts w:hint="eastAsia" w:ascii="仿宋_GB2312" w:hAnsi="仿宋_GB2312" w:eastAsia="仿宋_GB2312" w:cs="仿宋_GB2312"/>
          <w:color w:val="auto"/>
          <w:sz w:val="32"/>
          <w:szCs w:val="32"/>
          <w:highlight w:val="none"/>
        </w:rPr>
        <w:t>年初预算为23.88万元，支出决算为26.59万元，完成年初预算的111.35%。决算数与年初预算数存在差异的主要原因是使用上年度结余经费支付2021年四季度未发退休补贴。</w:t>
      </w:r>
    </w:p>
    <w:p>
      <w:pPr>
        <w:widowControl/>
        <w:spacing w:line="590" w:lineRule="exact"/>
        <w:ind w:firstLine="643" w:firstLineChars="200"/>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5.社会保障和就业（类）行政事业单位离退休（款）机关事业单位基本养老保险缴费支出（项）。</w:t>
      </w:r>
      <w:r>
        <w:rPr>
          <w:rFonts w:hint="eastAsia" w:ascii="仿宋_GB2312" w:hAnsi="仿宋_GB2312" w:eastAsia="仿宋_GB2312" w:cs="仿宋_GB2312"/>
          <w:color w:val="auto"/>
          <w:sz w:val="32"/>
          <w:szCs w:val="32"/>
          <w:highlight w:val="none"/>
        </w:rPr>
        <w:t>年初预算为9.78万元，支出决算为10.87万元，完成年初预算的111.15%。决算数与年初预算数存在差异的主要原因是使用上年度结余资金支付上年度欠缴12月份社保费。</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6．卫生健康（类）行政事业单位医疗（款）行政单位医疗（项）。</w:t>
      </w:r>
      <w:r>
        <w:rPr>
          <w:rFonts w:hint="eastAsia" w:ascii="仿宋_GB2312" w:hAnsi="仿宋_GB2312" w:eastAsia="仿宋_GB2312" w:cs="仿宋_GB2312"/>
          <w:color w:val="auto"/>
          <w:sz w:val="32"/>
          <w:szCs w:val="32"/>
          <w:highlight w:val="none"/>
        </w:rPr>
        <w:t>年初预算为0.50万元，支出决算为0.70万元，完成年初预算的140%。决算数与年初预算数存在差异的主要原因是我单位医疗保险费统一使用，使用上年度结余资金支付上年度欠缴12月份社保费。</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7．卫生健康（类）行政事业单位医疗（款）事业单位医疗（项）。</w:t>
      </w:r>
      <w:r>
        <w:rPr>
          <w:rFonts w:hint="eastAsia" w:ascii="仿宋_GB2312" w:hAnsi="仿宋_GB2312" w:eastAsia="仿宋_GB2312" w:cs="仿宋_GB2312"/>
          <w:color w:val="auto"/>
          <w:sz w:val="32"/>
          <w:szCs w:val="32"/>
          <w:highlight w:val="none"/>
        </w:rPr>
        <w:t>年初预算为4.11万元，支出决算为4.52万元，完成年初预算的109.98%。决算数与年初预算数存在差异的主要原因是我单位医疗保险费统一使用，使用上年度结余资金支付上年度欠缴12月份社保费。</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8．卫生健康（类）行政事业单位医疗（款）公务员医疗补助（项）。</w:t>
      </w:r>
      <w:r>
        <w:rPr>
          <w:rFonts w:hint="eastAsia" w:ascii="仿宋_GB2312" w:hAnsi="仿宋_GB2312" w:eastAsia="仿宋_GB2312" w:cs="仿宋_GB2312"/>
          <w:color w:val="auto"/>
          <w:sz w:val="32"/>
          <w:szCs w:val="32"/>
          <w:highlight w:val="none"/>
        </w:rPr>
        <w:t>年初预算为0.48万元，支出决算为0.53万元，完成年初预算的110.42%。决算数与年初预算数存在差异的主要原因是我单位医疗保险费统一使用，使用上年度结余资金支付上年度欠缴12月份社保费。</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年度一般公共预算财政拨款基本支出182.78万元。其中：人员经费171.78万元，主要包括：基本工资、津贴补贴、</w:t>
      </w:r>
      <w:r>
        <w:rPr>
          <w:rFonts w:hint="eastAsia" w:ascii="仿宋_GB2312" w:hAnsi="仿宋_GB2312" w:eastAsia="仿宋_GB2312" w:cs="仿宋_GB2312"/>
          <w:color w:val="auto"/>
          <w:sz w:val="32"/>
          <w:szCs w:val="32"/>
          <w:highlight w:val="none"/>
          <w:lang w:eastAsia="zh-CN"/>
        </w:rPr>
        <w:t>奖金、</w:t>
      </w:r>
      <w:r>
        <w:rPr>
          <w:rFonts w:hint="eastAsia" w:ascii="仿宋_GB2312" w:hAnsi="仿宋_GB2312" w:eastAsia="仿宋_GB2312" w:cs="仿宋_GB2312"/>
          <w:color w:val="auto"/>
          <w:sz w:val="32"/>
          <w:szCs w:val="32"/>
          <w:highlight w:val="none"/>
        </w:rPr>
        <w:t>绩效工资、机关事业单位基本养老保险缴费、</w:t>
      </w:r>
      <w:r>
        <w:rPr>
          <w:rFonts w:hint="eastAsia" w:ascii="仿宋_GB2312" w:hAnsi="仿宋_GB2312" w:eastAsia="仿宋_GB2312" w:cs="仿宋_GB2312"/>
          <w:color w:val="auto"/>
          <w:sz w:val="32"/>
          <w:szCs w:val="32"/>
          <w:highlight w:val="none"/>
          <w:lang w:eastAsia="zh-CN"/>
        </w:rPr>
        <w:t>职工基本医疗保险费、</w:t>
      </w:r>
      <w:r>
        <w:rPr>
          <w:rFonts w:hint="eastAsia" w:ascii="仿宋_GB2312" w:hAnsi="仿宋_GB2312" w:eastAsia="仿宋_GB2312" w:cs="仿宋_GB2312"/>
          <w:color w:val="auto"/>
          <w:sz w:val="32"/>
          <w:szCs w:val="32"/>
          <w:highlight w:val="none"/>
        </w:rPr>
        <w:t>其他社会保障缴费、其他工资福利支出、退休费、住房公积金；公用经费11</w:t>
      </w:r>
      <w:r>
        <w:rPr>
          <w:rFonts w:hint="default" w:ascii="仿宋_GB2312" w:hAnsi="仿宋_GB2312" w:eastAsia="仿宋_GB2312" w:cs="仿宋_GB2312"/>
          <w:color w:val="auto"/>
          <w:sz w:val="32"/>
          <w:szCs w:val="32"/>
          <w:highlight w:val="none"/>
          <w:lang w:val="en-US"/>
        </w:rPr>
        <w:t>.00</w:t>
      </w:r>
      <w:r>
        <w:rPr>
          <w:rFonts w:hint="eastAsia" w:ascii="仿宋_GB2312" w:hAnsi="仿宋_GB2312" w:eastAsia="仿宋_GB2312" w:cs="仿宋_GB2312"/>
          <w:color w:val="auto"/>
          <w:sz w:val="32"/>
          <w:szCs w:val="32"/>
          <w:highlight w:val="none"/>
        </w:rPr>
        <w:t>万元，主要包括：办公费、印刷费、邮电费、差旅费、维修（护）费、培训费、劳务费、工会经费、福利费、其他交通费用。</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（一）“三公”经费财政拨款支出决算总体情况说明。</w:t>
      </w:r>
    </w:p>
    <w:p>
      <w:pPr>
        <w:ind w:firstLine="640" w:firstLineChars="200"/>
        <w:rPr>
          <w:rFonts w:hint="eastAsia" w:ascii="仿宋" w:hAnsi="仿宋" w:eastAsia="仿宋" w:cs="宋体"/>
          <w:color w:val="auto"/>
          <w:kern w:val="0"/>
          <w:sz w:val="32"/>
          <w:szCs w:val="32"/>
          <w:highlight w:val="none"/>
        </w:rPr>
      </w:pPr>
      <w:r>
        <w:rPr>
          <w:rFonts w:ascii="仿宋" w:hAnsi="仿宋" w:eastAsia="仿宋" w:cs="宋体"/>
          <w:color w:val="auto"/>
          <w:kern w:val="0"/>
          <w:sz w:val="32"/>
          <w:szCs w:val="32"/>
          <w:highlight w:val="none"/>
        </w:rPr>
        <w:t>2021</w:t>
      </w:r>
      <w:r>
        <w:rPr>
          <w:rFonts w:hint="eastAsia" w:ascii="仿宋" w:hAnsi="仿宋" w:eastAsia="仿宋" w:cs="宋体"/>
          <w:color w:val="auto"/>
          <w:kern w:val="0"/>
          <w:sz w:val="32"/>
          <w:szCs w:val="32"/>
          <w:highlight w:val="none"/>
        </w:rPr>
        <w:t>年度“三公”经费财政拨款支出预算为0</w:t>
      </w:r>
      <w:r>
        <w:rPr>
          <w:rFonts w:hint="eastAsia" w:ascii="仿宋" w:hAnsi="仿宋" w:eastAsia="仿宋" w:cs="宋体"/>
          <w:color w:val="auto"/>
          <w:kern w:val="0"/>
          <w:sz w:val="32"/>
          <w:szCs w:val="32"/>
          <w:highlight w:val="none"/>
          <w:lang w:val="en-US" w:eastAsia="zh-CN"/>
        </w:rPr>
        <w:t>.00</w:t>
      </w:r>
      <w:r>
        <w:rPr>
          <w:rFonts w:hint="eastAsia" w:ascii="仿宋" w:hAnsi="仿宋" w:eastAsia="仿宋" w:cs="宋体"/>
          <w:color w:val="auto"/>
          <w:kern w:val="0"/>
          <w:sz w:val="32"/>
          <w:szCs w:val="32"/>
          <w:highlight w:val="none"/>
        </w:rPr>
        <w:t>万元，支出决算为0</w:t>
      </w:r>
      <w:r>
        <w:rPr>
          <w:rFonts w:hint="eastAsia" w:ascii="仿宋" w:hAnsi="仿宋" w:eastAsia="仿宋" w:cs="宋体"/>
          <w:color w:val="auto"/>
          <w:kern w:val="0"/>
          <w:sz w:val="32"/>
          <w:szCs w:val="32"/>
          <w:highlight w:val="none"/>
          <w:lang w:val="en-US" w:eastAsia="zh-CN"/>
        </w:rPr>
        <w:t>.00</w:t>
      </w:r>
      <w:r>
        <w:rPr>
          <w:rFonts w:hint="eastAsia" w:ascii="仿宋" w:hAnsi="仿宋" w:eastAsia="仿宋" w:cs="宋体"/>
          <w:color w:val="auto"/>
          <w:kern w:val="0"/>
          <w:sz w:val="32"/>
          <w:szCs w:val="32"/>
          <w:highlight w:val="none"/>
        </w:rPr>
        <w:t>万元。</w:t>
      </w:r>
      <w:r>
        <w:rPr>
          <w:rFonts w:ascii="仿宋" w:hAnsi="仿宋" w:eastAsia="仿宋" w:cs="宋体"/>
          <w:color w:val="auto"/>
          <w:kern w:val="0"/>
          <w:sz w:val="32"/>
          <w:szCs w:val="32"/>
          <w:highlight w:val="none"/>
        </w:rPr>
        <w:t>2021</w:t>
      </w:r>
      <w:r>
        <w:rPr>
          <w:rFonts w:hint="eastAsia" w:ascii="仿宋" w:hAnsi="仿宋" w:eastAsia="仿宋" w:cs="宋体"/>
          <w:color w:val="auto"/>
          <w:kern w:val="0"/>
          <w:sz w:val="32"/>
          <w:szCs w:val="32"/>
          <w:highlight w:val="none"/>
        </w:rPr>
        <w:t>年度“三公”经费支出决算数与预算数不存在差异。</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（二）“三公”经费财政拨款支出决算具体情况说明。</w:t>
      </w:r>
    </w:p>
    <w:p>
      <w:pPr>
        <w:ind w:firstLine="640" w:firstLineChars="200"/>
        <w:rPr>
          <w:rFonts w:hint="eastAsia" w:ascii="仿宋" w:hAnsi="仿宋" w:eastAsia="仿宋" w:cs="宋体"/>
          <w:color w:val="auto"/>
          <w:kern w:val="0"/>
          <w:sz w:val="32"/>
          <w:szCs w:val="32"/>
          <w:highlight w:val="none"/>
        </w:rPr>
      </w:pPr>
      <w:r>
        <w:rPr>
          <w:rFonts w:ascii="仿宋" w:hAnsi="仿宋" w:eastAsia="仿宋" w:cs="宋体"/>
          <w:color w:val="auto"/>
          <w:kern w:val="0"/>
          <w:sz w:val="32"/>
          <w:szCs w:val="32"/>
          <w:highlight w:val="none"/>
        </w:rPr>
        <w:t>2021</w:t>
      </w:r>
      <w:r>
        <w:rPr>
          <w:rFonts w:hint="eastAsia" w:ascii="仿宋" w:hAnsi="仿宋" w:eastAsia="仿宋" w:cs="宋体"/>
          <w:color w:val="auto"/>
          <w:kern w:val="0"/>
          <w:sz w:val="32"/>
          <w:szCs w:val="32"/>
          <w:highlight w:val="none"/>
        </w:rPr>
        <w:t>年度“三公”经费财政拨款支出决算中，因公出国（境）费支出决算0</w:t>
      </w:r>
      <w:r>
        <w:rPr>
          <w:rFonts w:hint="eastAsia" w:ascii="仿宋" w:hAnsi="仿宋" w:eastAsia="仿宋" w:cs="宋体"/>
          <w:color w:val="auto"/>
          <w:kern w:val="0"/>
          <w:sz w:val="32"/>
          <w:szCs w:val="32"/>
          <w:highlight w:val="none"/>
          <w:lang w:val="en-US" w:eastAsia="zh-CN"/>
        </w:rPr>
        <w:t>.00</w:t>
      </w:r>
      <w:r>
        <w:rPr>
          <w:rFonts w:hint="eastAsia" w:ascii="仿宋" w:hAnsi="仿宋" w:eastAsia="仿宋" w:cs="宋体"/>
          <w:color w:val="auto"/>
          <w:kern w:val="0"/>
          <w:sz w:val="32"/>
          <w:szCs w:val="32"/>
          <w:highlight w:val="none"/>
        </w:rPr>
        <w:t>万元；公务用车购置及运行费支出决算0</w:t>
      </w:r>
      <w:r>
        <w:rPr>
          <w:rFonts w:hint="eastAsia" w:ascii="仿宋" w:hAnsi="仿宋" w:eastAsia="仿宋" w:cs="宋体"/>
          <w:color w:val="auto"/>
          <w:kern w:val="0"/>
          <w:sz w:val="32"/>
          <w:szCs w:val="32"/>
          <w:highlight w:val="none"/>
          <w:lang w:val="en-US" w:eastAsia="zh-CN"/>
        </w:rPr>
        <w:t>.00</w:t>
      </w:r>
      <w:r>
        <w:rPr>
          <w:rFonts w:hint="eastAsia" w:ascii="仿宋" w:hAnsi="仿宋" w:eastAsia="仿宋" w:cs="宋体"/>
          <w:color w:val="auto"/>
          <w:kern w:val="0"/>
          <w:sz w:val="32"/>
          <w:szCs w:val="32"/>
          <w:highlight w:val="none"/>
        </w:rPr>
        <w:t>万元；公务接待费支出决算0</w:t>
      </w:r>
      <w:r>
        <w:rPr>
          <w:rFonts w:hint="eastAsia" w:ascii="仿宋" w:hAnsi="仿宋" w:eastAsia="仿宋" w:cs="宋体"/>
          <w:color w:val="auto"/>
          <w:kern w:val="0"/>
          <w:sz w:val="32"/>
          <w:szCs w:val="32"/>
          <w:highlight w:val="none"/>
          <w:lang w:val="en-US" w:eastAsia="zh-CN"/>
        </w:rPr>
        <w:t>.00</w:t>
      </w:r>
      <w:r>
        <w:rPr>
          <w:rFonts w:hint="eastAsia" w:ascii="仿宋" w:hAnsi="仿宋" w:eastAsia="仿宋" w:cs="宋体"/>
          <w:color w:val="auto"/>
          <w:kern w:val="0"/>
          <w:sz w:val="32"/>
          <w:szCs w:val="32"/>
          <w:highlight w:val="none"/>
        </w:rPr>
        <w:t>万元。具体情况如下：</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1．因公出国（境）费</w:t>
      </w:r>
      <w:r>
        <w:rPr>
          <w:rFonts w:hint="eastAsia" w:ascii="仿宋_GB2312" w:hAnsi="仿宋_GB2312" w:eastAsia="仿宋_GB2312" w:cs="仿宋_GB2312"/>
          <w:color w:val="auto"/>
          <w:sz w:val="32"/>
          <w:szCs w:val="32"/>
          <w:highlight w:val="none"/>
        </w:rPr>
        <w:t>预算</w:t>
      </w:r>
      <w:r>
        <w:rPr>
          <w:rFonts w:hint="eastAsia" w:ascii="仿宋" w:hAnsi="仿宋" w:eastAsia="仿宋" w:cs="宋体"/>
          <w:color w:val="auto"/>
          <w:kern w:val="0"/>
          <w:sz w:val="32"/>
          <w:szCs w:val="32"/>
          <w:highlight w:val="none"/>
        </w:rPr>
        <w:t>为0.00万元，支出决算为0.00万元。决算数与预算数不存在差异。</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2．公务用车购置及运行费</w:t>
      </w:r>
      <w:r>
        <w:rPr>
          <w:rFonts w:hint="eastAsia" w:ascii="仿宋_GB2312" w:hAnsi="仿宋_GB2312" w:eastAsia="仿宋_GB2312" w:cs="仿宋_GB2312"/>
          <w:color w:val="auto"/>
          <w:sz w:val="32"/>
          <w:szCs w:val="32"/>
          <w:highlight w:val="none"/>
        </w:rPr>
        <w:t>预算</w:t>
      </w:r>
      <w:r>
        <w:rPr>
          <w:rFonts w:hint="eastAsia" w:ascii="仿宋" w:hAnsi="仿宋" w:eastAsia="仿宋" w:cs="宋体"/>
          <w:color w:val="auto"/>
          <w:kern w:val="0"/>
          <w:sz w:val="32"/>
          <w:szCs w:val="32"/>
          <w:highlight w:val="none"/>
        </w:rPr>
        <w:t>为0.00万元，支出决算为0.00万元。决算数与预算数不存在差异。其中：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公务用车购置支出</w:t>
      </w:r>
      <w:r>
        <w:rPr>
          <w:rFonts w:hint="eastAsia" w:ascii="仿宋" w:hAnsi="仿宋" w:eastAsia="仿宋" w:cs="宋体"/>
          <w:color w:val="auto"/>
          <w:kern w:val="0"/>
          <w:sz w:val="32"/>
          <w:szCs w:val="32"/>
          <w:highlight w:val="none"/>
        </w:rPr>
        <w:t>0.00</w:t>
      </w:r>
      <w:r>
        <w:rPr>
          <w:rFonts w:hint="eastAsia" w:ascii="仿宋_GB2312" w:hAnsi="仿宋_GB2312" w:eastAsia="仿宋_GB2312" w:cs="仿宋_GB2312"/>
          <w:color w:val="auto"/>
          <w:sz w:val="32"/>
          <w:szCs w:val="32"/>
          <w:highlight w:val="none"/>
        </w:rPr>
        <w:t>万元</w:t>
      </w:r>
      <w:r>
        <w:rPr>
          <w:rFonts w:hint="eastAsia" w:ascii="仿宋" w:hAnsi="仿宋" w:eastAsia="仿宋" w:cs="宋体"/>
          <w:color w:val="auto"/>
          <w:kern w:val="0"/>
          <w:sz w:val="32"/>
          <w:szCs w:val="32"/>
          <w:highlight w:val="none"/>
        </w:rPr>
        <w:t>，购置车辆0辆。</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公务用车运行支出</w:t>
      </w:r>
      <w:r>
        <w:rPr>
          <w:rFonts w:hint="eastAsia" w:ascii="仿宋" w:hAnsi="仿宋" w:eastAsia="仿宋" w:cs="宋体"/>
          <w:color w:val="auto"/>
          <w:kern w:val="0"/>
          <w:sz w:val="32"/>
          <w:szCs w:val="32"/>
          <w:highlight w:val="none"/>
        </w:rPr>
        <w:t>0.00</w:t>
      </w:r>
      <w:r>
        <w:rPr>
          <w:rFonts w:hint="eastAsia" w:ascii="仿宋_GB2312" w:hAnsi="仿宋_GB2312" w:eastAsia="仿宋_GB2312" w:cs="仿宋_GB2312"/>
          <w:color w:val="auto"/>
          <w:sz w:val="32"/>
          <w:szCs w:val="32"/>
          <w:highlight w:val="none"/>
        </w:rPr>
        <w:t>万元。</w:t>
      </w:r>
      <w:r>
        <w:rPr>
          <w:rFonts w:hint="eastAsia" w:ascii="仿宋" w:hAnsi="仿宋" w:eastAsia="仿宋" w:cs="宋体"/>
          <w:color w:val="auto"/>
          <w:kern w:val="0"/>
          <w:sz w:val="32"/>
          <w:szCs w:val="32"/>
          <w:highlight w:val="none"/>
        </w:rPr>
        <w:t>2021年期末，</w:t>
      </w:r>
      <w:r>
        <w:rPr>
          <w:rFonts w:hint="eastAsia" w:ascii="仿宋" w:hAnsi="仿宋" w:eastAsia="仿宋" w:cs="宋体"/>
          <w:color w:val="auto"/>
          <w:kern w:val="0"/>
          <w:sz w:val="32"/>
          <w:szCs w:val="32"/>
          <w:highlight w:val="none"/>
          <w:lang w:eastAsia="zh-CN"/>
        </w:rPr>
        <w:t>单位</w:t>
      </w:r>
      <w:r>
        <w:rPr>
          <w:rFonts w:hint="eastAsia" w:ascii="仿宋" w:hAnsi="仿宋" w:eastAsia="仿宋" w:cs="宋体"/>
          <w:color w:val="auto"/>
          <w:kern w:val="0"/>
          <w:sz w:val="32"/>
          <w:szCs w:val="32"/>
          <w:highlight w:val="none"/>
        </w:rPr>
        <w:t>开支财政拨款的公务用车保有量为0辆。</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3.公务接待费</w:t>
      </w:r>
      <w:r>
        <w:rPr>
          <w:rFonts w:hint="eastAsia" w:ascii="仿宋_GB2312" w:hAnsi="仿宋_GB2312" w:eastAsia="仿宋_GB2312" w:cs="仿宋_GB2312"/>
          <w:color w:val="auto"/>
          <w:sz w:val="32"/>
          <w:szCs w:val="32"/>
          <w:highlight w:val="none"/>
        </w:rPr>
        <w:t>预算为</w:t>
      </w:r>
      <w:r>
        <w:rPr>
          <w:rFonts w:hint="eastAsia" w:ascii="仿宋" w:hAnsi="仿宋" w:eastAsia="仿宋" w:cs="宋体"/>
          <w:color w:val="auto"/>
          <w:kern w:val="0"/>
          <w:sz w:val="32"/>
          <w:szCs w:val="32"/>
          <w:highlight w:val="none"/>
        </w:rPr>
        <w:t>0.00</w:t>
      </w:r>
      <w:r>
        <w:rPr>
          <w:rFonts w:hint="eastAsia" w:ascii="仿宋_GB2312" w:hAnsi="仿宋_GB2312" w:eastAsia="仿宋_GB2312" w:cs="仿宋_GB2312"/>
          <w:color w:val="auto"/>
          <w:sz w:val="32"/>
          <w:szCs w:val="32"/>
          <w:highlight w:val="none"/>
        </w:rPr>
        <w:t>万元，支出决算为</w:t>
      </w:r>
      <w:r>
        <w:rPr>
          <w:rFonts w:hint="eastAsia" w:ascii="仿宋" w:hAnsi="仿宋" w:eastAsia="仿宋" w:cs="宋体"/>
          <w:color w:val="auto"/>
          <w:kern w:val="0"/>
          <w:sz w:val="32"/>
          <w:szCs w:val="32"/>
          <w:highlight w:val="none"/>
        </w:rPr>
        <w:t>0.00</w:t>
      </w:r>
      <w:r>
        <w:rPr>
          <w:rFonts w:hint="eastAsia" w:ascii="仿宋_GB2312" w:hAnsi="仿宋_GB2312" w:eastAsia="仿宋_GB2312" w:cs="仿宋_GB2312"/>
          <w:color w:val="auto"/>
          <w:sz w:val="32"/>
          <w:szCs w:val="32"/>
          <w:highlight w:val="none"/>
        </w:rPr>
        <w:t>万元。</w:t>
      </w:r>
      <w:r>
        <w:rPr>
          <w:rFonts w:hint="eastAsia" w:ascii="仿宋" w:hAnsi="仿宋" w:eastAsia="仿宋" w:cs="宋体"/>
          <w:color w:val="auto"/>
          <w:kern w:val="0"/>
          <w:sz w:val="32"/>
          <w:szCs w:val="32"/>
          <w:highlight w:val="none"/>
        </w:rPr>
        <w:t>决算数与预算数不存在差异。其中：</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外宾接待支出</w:t>
      </w:r>
      <w:r>
        <w:rPr>
          <w:rFonts w:hint="eastAsia" w:ascii="仿宋" w:hAnsi="仿宋" w:eastAsia="仿宋" w:cs="宋体"/>
          <w:color w:val="auto"/>
          <w:kern w:val="0"/>
          <w:sz w:val="32"/>
          <w:szCs w:val="32"/>
          <w:highlight w:val="none"/>
        </w:rPr>
        <w:t>0.00</w:t>
      </w:r>
      <w:r>
        <w:rPr>
          <w:rFonts w:hint="eastAsia" w:ascii="仿宋_GB2312" w:hAnsi="仿宋_GB2312" w:eastAsia="仿宋_GB2312" w:cs="仿宋_GB2312"/>
          <w:color w:val="auto"/>
          <w:sz w:val="32"/>
          <w:szCs w:val="32"/>
          <w:highlight w:val="none"/>
        </w:rPr>
        <w:t>万元。</w:t>
      </w:r>
      <w:r>
        <w:rPr>
          <w:rFonts w:hint="eastAsia" w:ascii="仿宋" w:hAnsi="仿宋" w:eastAsia="仿宋" w:cs="宋体"/>
          <w:color w:val="auto"/>
          <w:kern w:val="0"/>
          <w:sz w:val="32"/>
          <w:szCs w:val="32"/>
          <w:highlight w:val="none"/>
        </w:rPr>
        <w:t>2021年共接待国（境）外来访团组0个、来访外宾0人次（不包括陪同人员）。</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其他国内公务接待支出</w:t>
      </w:r>
      <w:r>
        <w:rPr>
          <w:rFonts w:hint="eastAsia" w:ascii="仿宋" w:hAnsi="仿宋" w:eastAsia="仿宋" w:cs="宋体"/>
          <w:color w:val="auto"/>
          <w:kern w:val="0"/>
          <w:sz w:val="32"/>
          <w:szCs w:val="32"/>
          <w:highlight w:val="none"/>
        </w:rPr>
        <w:t>0.00</w:t>
      </w:r>
      <w:r>
        <w:rPr>
          <w:rFonts w:hint="eastAsia" w:ascii="仿宋_GB2312" w:hAnsi="仿宋_GB2312" w:eastAsia="仿宋_GB2312" w:cs="仿宋_GB2312"/>
          <w:color w:val="auto"/>
          <w:sz w:val="32"/>
          <w:szCs w:val="32"/>
          <w:highlight w:val="none"/>
        </w:rPr>
        <w:t>万元。</w:t>
      </w:r>
      <w:r>
        <w:rPr>
          <w:rFonts w:hint="eastAsia" w:ascii="仿宋" w:hAnsi="仿宋" w:eastAsia="仿宋" w:cs="宋体"/>
          <w:color w:val="auto"/>
          <w:kern w:val="0"/>
          <w:sz w:val="32"/>
          <w:szCs w:val="32"/>
          <w:highlight w:val="none"/>
        </w:rPr>
        <w:t>2021年共接待国内来访团组0个、来宾0人次（不包括陪同人员）。</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八、政府性基金预算财政拨款支出决算情况说明</w:t>
      </w:r>
    </w:p>
    <w:p>
      <w:pPr>
        <w:ind w:firstLine="640" w:firstLineChars="200"/>
        <w:rPr>
          <w:rFonts w:hint="eastAsia"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rPr>
        <w:t>202</w:t>
      </w:r>
      <w:r>
        <w:rPr>
          <w:rFonts w:hint="eastAsia" w:ascii="仿宋" w:hAnsi="仿宋" w:eastAsia="仿宋" w:cs="宋体"/>
          <w:color w:val="auto"/>
          <w:kern w:val="0"/>
          <w:sz w:val="32"/>
          <w:szCs w:val="32"/>
          <w:highlight w:val="none"/>
          <w:lang w:val="en-US" w:eastAsia="zh-CN"/>
        </w:rPr>
        <w:t>1</w:t>
      </w:r>
      <w:r>
        <w:rPr>
          <w:rFonts w:hint="eastAsia" w:ascii="仿宋" w:hAnsi="仿宋" w:eastAsia="仿宋" w:cs="宋体"/>
          <w:color w:val="auto"/>
          <w:kern w:val="0"/>
          <w:sz w:val="32"/>
          <w:szCs w:val="32"/>
          <w:highlight w:val="none"/>
        </w:rPr>
        <w:t>年度政府性基金预算财政拨款支出年初预算为0.00万元，支出决算为0.00万元。</w:t>
      </w:r>
    </w:p>
    <w:p>
      <w:pPr>
        <w:ind w:firstLine="640" w:firstLineChars="200"/>
        <w:rPr>
          <w:rFonts w:hint="eastAsia"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rPr>
        <w:t>我单位202</w:t>
      </w:r>
      <w:r>
        <w:rPr>
          <w:rFonts w:hint="eastAsia" w:ascii="仿宋" w:hAnsi="仿宋" w:eastAsia="仿宋" w:cs="宋体"/>
          <w:color w:val="auto"/>
          <w:kern w:val="0"/>
          <w:sz w:val="32"/>
          <w:szCs w:val="32"/>
          <w:highlight w:val="none"/>
          <w:lang w:val="en-US" w:eastAsia="zh-CN"/>
        </w:rPr>
        <w:t>1</w:t>
      </w:r>
      <w:r>
        <w:rPr>
          <w:rFonts w:hint="eastAsia" w:ascii="仿宋" w:hAnsi="仿宋" w:eastAsia="仿宋" w:cs="宋体"/>
          <w:color w:val="auto"/>
          <w:kern w:val="0"/>
          <w:sz w:val="32"/>
          <w:szCs w:val="32"/>
          <w:highlight w:val="none"/>
        </w:rPr>
        <w:t>年度没有政府性基金收入，也没有使用政府性基金安排的支出。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九、机关运行经费支出情况说明</w:t>
      </w:r>
    </w:p>
    <w:p>
      <w:pPr>
        <w:ind w:firstLine="640" w:firstLineChars="200"/>
        <w:rPr>
          <w:rFonts w:hint="eastAsia"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rPr>
        <w:t>我单位不是行政机关，也不是参照公务员管理事业单位，没有机关运行经费支出。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十、政府采购支出情况说明</w:t>
      </w:r>
    </w:p>
    <w:p>
      <w:pPr>
        <w:ind w:firstLine="640" w:firstLineChars="200"/>
        <w:rPr>
          <w:rFonts w:hint="eastAsia" w:ascii="仿宋" w:hAnsi="仿宋" w:eastAsia="仿宋" w:cs="宋体"/>
          <w:color w:val="auto"/>
          <w:kern w:val="0"/>
          <w:sz w:val="32"/>
          <w:szCs w:val="32"/>
          <w:highlight w:val="none"/>
        </w:rPr>
      </w:pPr>
      <w:r>
        <w:rPr>
          <w:rFonts w:ascii="仿宋" w:hAnsi="仿宋" w:eastAsia="仿宋" w:cs="宋体"/>
          <w:color w:val="auto"/>
          <w:kern w:val="0"/>
          <w:sz w:val="32"/>
          <w:szCs w:val="32"/>
          <w:highlight w:val="none"/>
        </w:rPr>
        <w:t>2021</w:t>
      </w:r>
      <w:r>
        <w:rPr>
          <w:rFonts w:hint="eastAsia" w:ascii="仿宋" w:hAnsi="仿宋" w:eastAsia="仿宋" w:cs="宋体"/>
          <w:color w:val="auto"/>
          <w:kern w:val="0"/>
          <w:sz w:val="32"/>
          <w:szCs w:val="32"/>
          <w:highlight w:val="none"/>
        </w:rPr>
        <w:t>年度政府采购支出总额0.00万元，其中：政府采购货物支出0.00万元、政府采购工程支出0.00万元、政府采购服务支出0.00万元。授予中小企业合同金额0.00万元，其中：授予小微企业合同金额0.00万元。</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十一、国有资产占用情况说明</w:t>
      </w:r>
    </w:p>
    <w:p>
      <w:pPr>
        <w:ind w:firstLine="640" w:firstLineChars="200"/>
        <w:rPr>
          <w:rFonts w:hint="eastAsia" w:ascii="仿宋" w:hAnsi="仿宋" w:eastAsia="仿宋" w:cs="宋体"/>
          <w:color w:val="auto"/>
          <w:kern w:val="0"/>
          <w:sz w:val="32"/>
          <w:szCs w:val="32"/>
          <w:highlight w:val="none"/>
        </w:rPr>
      </w:pPr>
      <w:r>
        <w:rPr>
          <w:rFonts w:ascii="仿宋" w:hAnsi="仿宋" w:eastAsia="仿宋" w:cs="宋体"/>
          <w:color w:val="auto"/>
          <w:kern w:val="0"/>
          <w:sz w:val="32"/>
          <w:szCs w:val="32"/>
          <w:highlight w:val="none"/>
        </w:rPr>
        <w:t>2021</w:t>
      </w:r>
      <w:r>
        <w:rPr>
          <w:rFonts w:hint="eastAsia" w:ascii="仿宋" w:hAnsi="仿宋" w:eastAsia="仿宋" w:cs="宋体"/>
          <w:color w:val="auto"/>
          <w:kern w:val="0"/>
          <w:sz w:val="32"/>
          <w:szCs w:val="32"/>
          <w:highlight w:val="none"/>
        </w:rPr>
        <w:t>年期末，我单位共有车辆0辆，其中：省级领导干部用车0辆、主要领导干部用车0辆、机要通信用车0辆、应急保障车0辆、执法执勤用车0辆、特种专业技术用车0辆、离退休干部用车0辆、其他用车0辆；单位价值50万元以上通用设备0台（套），单位价值100万元以上专用设备0台（套）。</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十二、预算绩效情况说明</w:t>
      </w:r>
    </w:p>
    <w:p>
      <w:pPr>
        <w:widowControl/>
        <w:spacing w:line="360" w:lineRule="auto"/>
        <w:ind w:firstLine="964" w:firstLineChars="3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（一）绩效管理工作开展情况。</w:t>
      </w:r>
    </w:p>
    <w:p>
      <w:pPr>
        <w:widowControl/>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我单位按照《中共许昌市委 许昌市人民政府关于全面实施预算绩效管理的实施意见》（许发〔2021〕13号）文件要求，对本单位整体支出和项目支出开展全过程预算绩效管理。2020年我单位纳入预算绩效管理的支出总额为185.34万元，其中：基本支出182.78万元；支出项目1个，支出金额2.56万元。开展项目绩效自评项目1个，自评金额</w:t>
      </w:r>
      <w:r>
        <w:rPr>
          <w:rFonts w:hint="eastAsia" w:ascii="仿宋_GB2312" w:hAnsi="仿宋_GB2312" w:eastAsia="仿宋_GB2312" w:cs="仿宋_GB2312"/>
          <w:color w:val="auto"/>
          <w:sz w:val="32"/>
          <w:szCs w:val="32"/>
          <w:highlight w:val="none"/>
          <w:lang w:val="en-US" w:eastAsia="zh-CN"/>
        </w:rPr>
        <w:t>0</w:t>
      </w:r>
      <w:r>
        <w:rPr>
          <w:rFonts w:hint="default"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万元；纳入重点绩效评价</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个，评价金额</w:t>
      </w:r>
      <w:r>
        <w:rPr>
          <w:rFonts w:hint="eastAsia" w:ascii="仿宋_GB2312" w:hAnsi="仿宋_GB2312" w:eastAsia="仿宋_GB2312" w:cs="仿宋_GB2312"/>
          <w:color w:val="auto"/>
          <w:sz w:val="32"/>
          <w:szCs w:val="32"/>
          <w:highlight w:val="none"/>
          <w:lang w:val="en-US" w:eastAsia="zh-CN"/>
        </w:rPr>
        <w:t>0</w:t>
      </w:r>
      <w:r>
        <w:rPr>
          <w:rFonts w:hint="default"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万元。</w:t>
      </w:r>
    </w:p>
    <w:p>
      <w:pPr>
        <w:widowControl/>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我单位2021年度积极配合主管单位开展的绩效管理工作，根据上级单位要求严格管理本单位绩效申报工作，并于年末开展自评工作，全年共参与上级单位开展的绩效培训3次。</w:t>
      </w:r>
    </w:p>
    <w:p>
      <w:pPr>
        <w:widowControl/>
        <w:spacing w:line="360" w:lineRule="auto"/>
        <w:ind w:firstLine="964" w:firstLineChars="3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w:t>
      </w:r>
      <w:r>
        <w:rPr>
          <w:rFonts w:hint="eastAsia" w:ascii="楷体_GB2312" w:hAnsi="楷体_GB2312" w:eastAsia="楷体_GB2312" w:cs="楷体_GB2312"/>
          <w:b/>
          <w:bCs/>
          <w:color w:val="auto"/>
          <w:sz w:val="32"/>
          <w:szCs w:val="32"/>
          <w:highlight w:val="none"/>
          <w:lang w:eastAsia="zh-CN"/>
        </w:rPr>
        <w:t>单位</w:t>
      </w:r>
      <w:r>
        <w:rPr>
          <w:rFonts w:hint="eastAsia" w:ascii="楷体_GB2312" w:hAnsi="楷体_GB2312" w:eastAsia="楷体_GB2312" w:cs="楷体_GB2312"/>
          <w:b/>
          <w:bCs/>
          <w:color w:val="auto"/>
          <w:sz w:val="32"/>
          <w:szCs w:val="32"/>
          <w:highlight w:val="none"/>
        </w:rPr>
        <w:t>整体和项目绩效自评结果。</w:t>
      </w:r>
    </w:p>
    <w:p>
      <w:pPr>
        <w:widowControl/>
        <w:spacing w:line="360" w:lineRule="auto"/>
        <w:ind w:firstLine="960" w:firstLineChars="3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按照《许昌市财政局关于开展2021年度市级预算绩效自评工作的通知》（许财效〔202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〕1号）等文件精神，我单位对本单位整体绩效目标和项目支出绩效目标进行了自评。一是单位整体绩效自评情况</w:t>
      </w:r>
      <w:r>
        <w:rPr>
          <w:rFonts w:hint="eastAsia" w:ascii="仿宋_GB2312" w:hAnsi="仿宋_GB2312" w:eastAsia="仿宋_GB2312" w:cs="仿宋_GB2312"/>
          <w:color w:val="auto"/>
          <w:sz w:val="32"/>
          <w:szCs w:val="32"/>
          <w:highlight w:val="none"/>
          <w:lang w:eastAsia="zh-CN"/>
        </w:rPr>
        <w:t>：</w:t>
      </w:r>
      <w:r>
        <w:rPr>
          <w:rFonts w:hint="eastAsia" w:ascii="仿宋" w:hAnsi="仿宋" w:eastAsia="仿宋" w:cs="宋体"/>
          <w:color w:val="auto"/>
          <w:kern w:val="0"/>
          <w:sz w:val="32"/>
          <w:szCs w:val="32"/>
          <w:highlight w:val="none"/>
        </w:rPr>
        <w:t>我单位整体绩效目标自评结果良好，最终得分得分86.96分。我单位严格按照预算批复开展活动，除</w:t>
      </w:r>
      <w:r>
        <w:rPr>
          <w:rFonts w:hint="eastAsia" w:ascii="仿宋" w:hAnsi="仿宋" w:eastAsia="仿宋" w:cs="宋体"/>
          <w:color w:val="auto"/>
          <w:kern w:val="0"/>
          <w:sz w:val="32"/>
          <w:szCs w:val="32"/>
          <w:highlight w:val="none"/>
          <w:lang w:eastAsia="zh-CN"/>
        </w:rPr>
        <w:t>“单位运转经费”项目</w:t>
      </w:r>
      <w:r>
        <w:rPr>
          <w:rFonts w:hint="eastAsia" w:ascii="仿宋" w:hAnsi="仿宋" w:eastAsia="仿宋" w:cs="宋体"/>
          <w:color w:val="auto"/>
          <w:kern w:val="0"/>
          <w:sz w:val="32"/>
          <w:szCs w:val="32"/>
          <w:highlight w:val="none"/>
        </w:rPr>
        <w:t>因疫情反复，</w:t>
      </w:r>
      <w:r>
        <w:rPr>
          <w:rFonts w:hint="eastAsia" w:ascii="仿宋" w:hAnsi="仿宋" w:eastAsia="仿宋" w:cs="宋体"/>
          <w:color w:val="auto"/>
          <w:kern w:val="0"/>
          <w:sz w:val="32"/>
          <w:szCs w:val="32"/>
          <w:highlight w:val="none"/>
          <w:lang w:eastAsia="zh-CN"/>
        </w:rPr>
        <w:t>最终没有开展</w:t>
      </w:r>
      <w:r>
        <w:rPr>
          <w:rFonts w:hint="eastAsia" w:ascii="仿宋" w:hAnsi="仿宋" w:eastAsia="仿宋" w:cs="宋体"/>
          <w:color w:val="auto"/>
          <w:kern w:val="0"/>
          <w:sz w:val="32"/>
          <w:szCs w:val="32"/>
          <w:highlight w:val="none"/>
        </w:rPr>
        <w:t>外，剩余预期工作目标均圆满完成。</w:t>
      </w:r>
      <w:r>
        <w:rPr>
          <w:rFonts w:hint="eastAsia" w:ascii="仿宋_GB2312" w:hAnsi="仿宋_GB2312" w:eastAsia="仿宋_GB2312" w:cs="仿宋_GB2312"/>
          <w:color w:val="auto"/>
          <w:sz w:val="32"/>
          <w:szCs w:val="32"/>
          <w:highlight w:val="none"/>
        </w:rPr>
        <w:t>二是项目绩效自评情况。我单位共有</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个项目批复了绩效目标</w:t>
      </w:r>
      <w:r>
        <w:rPr>
          <w:rFonts w:hint="eastAsia" w:ascii="仿宋_GB2312" w:hAnsi="仿宋_GB2312" w:eastAsia="仿宋_GB2312" w:cs="仿宋_GB2312"/>
          <w:color w:val="auto"/>
          <w:sz w:val="32"/>
          <w:szCs w:val="32"/>
          <w:highlight w:val="none"/>
          <w:lang w:eastAsia="zh-CN"/>
        </w:rPr>
        <w:t>，项目金额</w:t>
      </w:r>
      <w:r>
        <w:rPr>
          <w:rFonts w:hint="eastAsia" w:ascii="仿宋_GB2312" w:hAnsi="仿宋_GB2312" w:eastAsia="仿宋_GB2312" w:cs="仿宋_GB2312"/>
          <w:color w:val="auto"/>
          <w:sz w:val="32"/>
          <w:szCs w:val="32"/>
          <w:highlight w:val="none"/>
          <w:lang w:val="en-US" w:eastAsia="zh-CN"/>
        </w:rPr>
        <w:t>0.60万元</w:t>
      </w:r>
      <w:r>
        <w:rPr>
          <w:rFonts w:hint="eastAsia" w:ascii="仿宋_GB2312" w:hAnsi="仿宋_GB2312" w:eastAsia="仿宋_GB2312" w:cs="仿宋_GB2312"/>
          <w:color w:val="auto"/>
          <w:sz w:val="32"/>
          <w:szCs w:val="32"/>
          <w:highlight w:val="none"/>
        </w:rPr>
        <w:t>。</w:t>
      </w:r>
    </w:p>
    <w:p>
      <w:pPr>
        <w:widowControl/>
        <w:spacing w:line="360" w:lineRule="auto"/>
        <w:ind w:firstLine="960" w:firstLineChars="3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基于项目预期目标的实现程度，对2021年度项目支出绩效进行自评，绩效自评平均得分为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分。其中：</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个项目评价等级为“优”、</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个项目评价等级为“良”、</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个项目评价等级为“中”、</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个项目评价等级为“差”。</w:t>
      </w:r>
    </w:p>
    <w:p>
      <w:pPr>
        <w:widowControl/>
        <w:spacing w:line="360" w:lineRule="auto"/>
        <w:ind w:firstLine="964" w:firstLineChars="3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（三）重点绩效评价结果。</w:t>
      </w:r>
    </w:p>
    <w:p>
      <w:pPr>
        <w:widowControl/>
        <w:jc w:val="left"/>
        <w:rPr>
          <w:rFonts w:hint="eastAsia"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lang w:val="en-US" w:eastAsia="zh-CN"/>
        </w:rPr>
        <w:t xml:space="preserve">    </w:t>
      </w:r>
      <w:r>
        <w:rPr>
          <w:rFonts w:hint="eastAsia" w:ascii="仿宋" w:hAnsi="仿宋" w:eastAsia="仿宋" w:cs="宋体"/>
          <w:color w:val="auto"/>
          <w:kern w:val="0"/>
          <w:sz w:val="32"/>
          <w:szCs w:val="32"/>
          <w:highlight w:val="none"/>
        </w:rPr>
        <w:t>2021年度我单位没有开展重点绩效评价的项目。</w:t>
      </w:r>
    </w:p>
    <w:p>
      <w:pPr>
        <w:widowControl/>
        <w:jc w:val="left"/>
        <w:rPr>
          <w:rFonts w:hint="eastAsia" w:ascii="仿宋" w:hAnsi="仿宋" w:eastAsia="仿宋" w:cs="宋体"/>
          <w:color w:val="auto"/>
          <w:kern w:val="0"/>
          <w:sz w:val="32"/>
          <w:szCs w:val="32"/>
          <w:highlight w:val="none"/>
        </w:rPr>
      </w:pPr>
    </w:p>
    <w:p>
      <w:pPr>
        <w:widowControl/>
        <w:jc w:val="left"/>
        <w:rPr>
          <w:rFonts w:hint="eastAsia" w:ascii="仿宋" w:hAnsi="仿宋" w:eastAsia="仿宋" w:cs="宋体"/>
          <w:color w:val="auto"/>
          <w:kern w:val="0"/>
          <w:sz w:val="32"/>
          <w:szCs w:val="32"/>
          <w:highlight w:val="none"/>
        </w:rPr>
      </w:pPr>
    </w:p>
    <w:p>
      <w:pPr>
        <w:widowControl/>
        <w:jc w:val="left"/>
        <w:rPr>
          <w:rFonts w:hint="eastAsia" w:ascii="仿宋" w:hAnsi="仿宋" w:eastAsia="仿宋" w:cs="宋体"/>
          <w:color w:val="auto"/>
          <w:kern w:val="0"/>
          <w:sz w:val="32"/>
          <w:szCs w:val="32"/>
          <w:highlight w:val="none"/>
        </w:rPr>
      </w:pPr>
    </w:p>
    <w:p>
      <w:pPr>
        <w:widowControl/>
        <w:jc w:val="left"/>
        <w:rPr>
          <w:rFonts w:hint="eastAsia" w:ascii="仿宋" w:hAnsi="仿宋" w:eastAsia="仿宋" w:cs="宋体"/>
          <w:color w:val="auto"/>
          <w:kern w:val="0"/>
          <w:sz w:val="32"/>
          <w:szCs w:val="32"/>
          <w:highlight w:val="none"/>
        </w:rPr>
      </w:pPr>
    </w:p>
    <w:p>
      <w:pPr>
        <w:widowControl/>
        <w:jc w:val="left"/>
        <w:rPr>
          <w:rFonts w:hint="eastAsia" w:ascii="仿宋" w:hAnsi="仿宋" w:eastAsia="仿宋" w:cs="宋体"/>
          <w:color w:val="auto"/>
          <w:kern w:val="0"/>
          <w:sz w:val="32"/>
          <w:szCs w:val="32"/>
          <w:highlight w:val="none"/>
        </w:rPr>
      </w:pPr>
    </w:p>
    <w:p>
      <w:pPr>
        <w:widowControl/>
        <w:jc w:val="left"/>
        <w:rPr>
          <w:rFonts w:hint="eastAsia" w:ascii="仿宋" w:hAnsi="仿宋" w:eastAsia="仿宋" w:cs="宋体"/>
          <w:color w:val="auto"/>
          <w:kern w:val="0"/>
          <w:sz w:val="32"/>
          <w:szCs w:val="32"/>
          <w:highlight w:val="none"/>
        </w:rPr>
      </w:pPr>
    </w:p>
    <w:p>
      <w:pPr>
        <w:widowControl/>
        <w:jc w:val="left"/>
        <w:rPr>
          <w:rFonts w:hint="eastAsia" w:ascii="仿宋" w:hAnsi="仿宋" w:eastAsia="仿宋" w:cs="宋体"/>
          <w:color w:val="auto"/>
          <w:kern w:val="0"/>
          <w:sz w:val="32"/>
          <w:szCs w:val="32"/>
          <w:highlight w:val="none"/>
        </w:rPr>
      </w:pPr>
    </w:p>
    <w:p>
      <w:pPr>
        <w:widowControl/>
        <w:jc w:val="left"/>
        <w:rPr>
          <w:rFonts w:hint="eastAsia" w:ascii="仿宋" w:hAnsi="仿宋" w:eastAsia="仿宋" w:cs="宋体"/>
          <w:color w:val="auto"/>
          <w:kern w:val="0"/>
          <w:sz w:val="32"/>
          <w:szCs w:val="32"/>
          <w:highlight w:val="none"/>
        </w:rPr>
      </w:pPr>
    </w:p>
    <w:p>
      <w:pPr>
        <w:widowControl/>
        <w:jc w:val="left"/>
        <w:rPr>
          <w:rFonts w:hint="eastAsia" w:ascii="仿宋" w:hAnsi="仿宋" w:eastAsia="仿宋" w:cs="宋体"/>
          <w:color w:val="auto"/>
          <w:kern w:val="0"/>
          <w:sz w:val="32"/>
          <w:szCs w:val="32"/>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第四部分  名词解释</w:t>
      </w:r>
    </w:p>
    <w:p>
      <w:pPr>
        <w:jc w:val="center"/>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一、财政拨款收入：单位从同级政府财政</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取得的财政预算资金。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三、上级补助收入：事业单位从主管</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和上级单位取得的非财政补助收入。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十六、年末结余：本年度或以前年度预算安排，已执行完毕或因客观条件发生变化无法按原预算安排实施，不需要再使用或无法按原预算安排继续使用的资金。</w:t>
      </w:r>
    </w:p>
    <w:bookmarkEnd w:id="0"/>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- 31 -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- 31 -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- 30 -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- 30 -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9"/>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zMmNhMmI2OGM1NmNkZjBmOGIxOWRhMjk5NzcyYmUifQ=="/>
  </w:docVars>
  <w:rsids>
    <w:rsidRoot w:val="000270E8"/>
    <w:rsid w:val="000270E8"/>
    <w:rsid w:val="000335B5"/>
    <w:rsid w:val="00057AFD"/>
    <w:rsid w:val="00076410"/>
    <w:rsid w:val="00081835"/>
    <w:rsid w:val="000904B3"/>
    <w:rsid w:val="000C073B"/>
    <w:rsid w:val="000C1142"/>
    <w:rsid w:val="001003F8"/>
    <w:rsid w:val="00101693"/>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C558D"/>
    <w:rsid w:val="002E6A86"/>
    <w:rsid w:val="00304D04"/>
    <w:rsid w:val="00305B88"/>
    <w:rsid w:val="00315FEB"/>
    <w:rsid w:val="0041489C"/>
    <w:rsid w:val="0042585F"/>
    <w:rsid w:val="00433E3D"/>
    <w:rsid w:val="00445CAC"/>
    <w:rsid w:val="00472E19"/>
    <w:rsid w:val="00487869"/>
    <w:rsid w:val="004D5275"/>
    <w:rsid w:val="004F63DB"/>
    <w:rsid w:val="00505190"/>
    <w:rsid w:val="00507364"/>
    <w:rsid w:val="005119F3"/>
    <w:rsid w:val="00522185"/>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766AC"/>
    <w:rsid w:val="00BE5A85"/>
    <w:rsid w:val="00BF4E6A"/>
    <w:rsid w:val="00BF5718"/>
    <w:rsid w:val="00C0119A"/>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DC6F05"/>
    <w:rsid w:val="02A3489A"/>
    <w:rsid w:val="02CA138D"/>
    <w:rsid w:val="033646FC"/>
    <w:rsid w:val="03C75F80"/>
    <w:rsid w:val="0478364D"/>
    <w:rsid w:val="053D4C0D"/>
    <w:rsid w:val="0557532E"/>
    <w:rsid w:val="0799329C"/>
    <w:rsid w:val="07ED6F14"/>
    <w:rsid w:val="08397436"/>
    <w:rsid w:val="086F16A7"/>
    <w:rsid w:val="0A0F7225"/>
    <w:rsid w:val="0A2B7D82"/>
    <w:rsid w:val="0ADC40E9"/>
    <w:rsid w:val="0AE607F4"/>
    <w:rsid w:val="0B386127"/>
    <w:rsid w:val="0B451598"/>
    <w:rsid w:val="0BEC73F4"/>
    <w:rsid w:val="0C392698"/>
    <w:rsid w:val="10BD36F6"/>
    <w:rsid w:val="11BF0649"/>
    <w:rsid w:val="123E3E08"/>
    <w:rsid w:val="133212F4"/>
    <w:rsid w:val="13D22E22"/>
    <w:rsid w:val="161C2DFF"/>
    <w:rsid w:val="16373578"/>
    <w:rsid w:val="16D3336B"/>
    <w:rsid w:val="17200028"/>
    <w:rsid w:val="17806C36"/>
    <w:rsid w:val="17A74F62"/>
    <w:rsid w:val="18A47774"/>
    <w:rsid w:val="1A8D28EB"/>
    <w:rsid w:val="1A9F2D78"/>
    <w:rsid w:val="1AA7633B"/>
    <w:rsid w:val="1B2E6FD8"/>
    <w:rsid w:val="1B877D21"/>
    <w:rsid w:val="1C4319A9"/>
    <w:rsid w:val="1E443B4B"/>
    <w:rsid w:val="1E994F4A"/>
    <w:rsid w:val="1EAF0224"/>
    <w:rsid w:val="1F2230A4"/>
    <w:rsid w:val="20210932"/>
    <w:rsid w:val="202448E0"/>
    <w:rsid w:val="20F614FE"/>
    <w:rsid w:val="21302EEA"/>
    <w:rsid w:val="22376FB5"/>
    <w:rsid w:val="23E152D7"/>
    <w:rsid w:val="23EE2489"/>
    <w:rsid w:val="24FF16B5"/>
    <w:rsid w:val="255D43C8"/>
    <w:rsid w:val="26714EF8"/>
    <w:rsid w:val="26876BDD"/>
    <w:rsid w:val="2714632A"/>
    <w:rsid w:val="27541E73"/>
    <w:rsid w:val="27B0539E"/>
    <w:rsid w:val="29365CF8"/>
    <w:rsid w:val="299469B3"/>
    <w:rsid w:val="2A805789"/>
    <w:rsid w:val="2ADC0D75"/>
    <w:rsid w:val="2B4A0E52"/>
    <w:rsid w:val="2C975890"/>
    <w:rsid w:val="2DEF21BB"/>
    <w:rsid w:val="2E4A2F05"/>
    <w:rsid w:val="2ECC1061"/>
    <w:rsid w:val="2FA476AD"/>
    <w:rsid w:val="303F7540"/>
    <w:rsid w:val="31DD00BF"/>
    <w:rsid w:val="3293174C"/>
    <w:rsid w:val="32BB38D4"/>
    <w:rsid w:val="32C9376D"/>
    <w:rsid w:val="33780472"/>
    <w:rsid w:val="33AF0905"/>
    <w:rsid w:val="355932F4"/>
    <w:rsid w:val="35611882"/>
    <w:rsid w:val="36746FC3"/>
    <w:rsid w:val="368763AE"/>
    <w:rsid w:val="395D59E7"/>
    <w:rsid w:val="39A93932"/>
    <w:rsid w:val="3A915562"/>
    <w:rsid w:val="3B8D4765"/>
    <w:rsid w:val="3C000DBA"/>
    <w:rsid w:val="3DC045D3"/>
    <w:rsid w:val="3E504FFB"/>
    <w:rsid w:val="3E615CD0"/>
    <w:rsid w:val="3E9C47F6"/>
    <w:rsid w:val="3F8B0112"/>
    <w:rsid w:val="3F9D38CE"/>
    <w:rsid w:val="3FAB3095"/>
    <w:rsid w:val="3FE45947"/>
    <w:rsid w:val="3FFB1EE7"/>
    <w:rsid w:val="41242965"/>
    <w:rsid w:val="435671EA"/>
    <w:rsid w:val="440809E9"/>
    <w:rsid w:val="442407A6"/>
    <w:rsid w:val="44805EA1"/>
    <w:rsid w:val="45710696"/>
    <w:rsid w:val="46142B1B"/>
    <w:rsid w:val="47E60DD0"/>
    <w:rsid w:val="48735039"/>
    <w:rsid w:val="492C684B"/>
    <w:rsid w:val="49500594"/>
    <w:rsid w:val="49E7604E"/>
    <w:rsid w:val="4BF67CDD"/>
    <w:rsid w:val="4D173441"/>
    <w:rsid w:val="4D603DD6"/>
    <w:rsid w:val="4E363FEE"/>
    <w:rsid w:val="4EBF010F"/>
    <w:rsid w:val="4F471EB0"/>
    <w:rsid w:val="4FFD1282"/>
    <w:rsid w:val="51331326"/>
    <w:rsid w:val="51740A7F"/>
    <w:rsid w:val="51A5541E"/>
    <w:rsid w:val="51C96242"/>
    <w:rsid w:val="53906AE1"/>
    <w:rsid w:val="54F46F60"/>
    <w:rsid w:val="5529F86E"/>
    <w:rsid w:val="55A37BEA"/>
    <w:rsid w:val="56362CD2"/>
    <w:rsid w:val="574D5B03"/>
    <w:rsid w:val="5784687B"/>
    <w:rsid w:val="57846959"/>
    <w:rsid w:val="578E6A87"/>
    <w:rsid w:val="5AC2203A"/>
    <w:rsid w:val="5CBB3334"/>
    <w:rsid w:val="5D115FAF"/>
    <w:rsid w:val="62811722"/>
    <w:rsid w:val="62E75A72"/>
    <w:rsid w:val="64571880"/>
    <w:rsid w:val="649125B6"/>
    <w:rsid w:val="652F4C1A"/>
    <w:rsid w:val="666D37F1"/>
    <w:rsid w:val="67087D8F"/>
    <w:rsid w:val="671F687E"/>
    <w:rsid w:val="67F415F8"/>
    <w:rsid w:val="682640D1"/>
    <w:rsid w:val="684B73E5"/>
    <w:rsid w:val="6A047A2A"/>
    <w:rsid w:val="6D376B65"/>
    <w:rsid w:val="6EFB7548"/>
    <w:rsid w:val="6F3831C3"/>
    <w:rsid w:val="6F8B71C1"/>
    <w:rsid w:val="6FF349B2"/>
    <w:rsid w:val="70753482"/>
    <w:rsid w:val="707B522A"/>
    <w:rsid w:val="73194D05"/>
    <w:rsid w:val="73A83B0E"/>
    <w:rsid w:val="744D3EF9"/>
    <w:rsid w:val="74794411"/>
    <w:rsid w:val="75867C40"/>
    <w:rsid w:val="75B10B26"/>
    <w:rsid w:val="76432199"/>
    <w:rsid w:val="76F44829"/>
    <w:rsid w:val="77652438"/>
    <w:rsid w:val="77A267C0"/>
    <w:rsid w:val="78882278"/>
    <w:rsid w:val="78B118A6"/>
    <w:rsid w:val="79135044"/>
    <w:rsid w:val="7A7D0F99"/>
    <w:rsid w:val="7BEFFC6E"/>
    <w:rsid w:val="7E4A0E7C"/>
    <w:rsid w:val="7EFD449D"/>
    <w:rsid w:val="7FFF01C7"/>
    <w:rsid w:val="B3339066"/>
    <w:rsid w:val="B35D86A9"/>
    <w:rsid w:val="B9FF06F8"/>
    <w:rsid w:val="E6FFEC21"/>
    <w:rsid w:val="F7BDDC89"/>
    <w:rsid w:val="FFFE53E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qFormat/>
    <w:uiPriority w:val="99"/>
    <w:rPr>
      <w:kern w:val="2"/>
      <w:sz w:val="18"/>
      <w:szCs w:val="18"/>
    </w:rPr>
  </w:style>
  <w:style w:type="character" w:customStyle="1" w:styleId="11">
    <w:name w:val="页脚 Char"/>
    <w:link w:val="3"/>
    <w:qFormat/>
    <w:uiPriority w:val="99"/>
    <w:rPr>
      <w:kern w:val="2"/>
      <w:sz w:val="18"/>
      <w:szCs w:val="18"/>
    </w:rPr>
  </w:style>
  <w:style w:type="character" w:customStyle="1" w:styleId="12">
    <w:name w:val="页眉 Char"/>
    <w:link w:val="4"/>
    <w:qFormat/>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 User</Company>
  <Pages>31</Pages>
  <Words>8139</Words>
  <Characters>9814</Characters>
  <Lines>89</Lines>
  <Paragraphs>25</Paragraphs>
  <TotalTime>5</TotalTime>
  <ScaleCrop>false</ScaleCrop>
  <LinksUpToDate>false</LinksUpToDate>
  <CharactersWithSpaces>10605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2007-11-30T19:41:00Z</dcterms:created>
  <dc:creator>管理者</dc:creator>
  <cp:lastModifiedBy>悟の</cp:lastModifiedBy>
  <cp:lastPrinted>2018-07-26T02:50:00Z</cp:lastPrinted>
  <dcterms:modified xsi:type="dcterms:W3CDTF">2023-09-17T11:21:50Z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1F0A26D0C0424CE7BEDDC27ED7F3C191_13</vt:lpwstr>
  </property>
</Properties>
</file>