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许昌市民政局</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本级</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许昌市民政局</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许昌市民政局</w:t>
      </w:r>
      <w:r>
        <w:rPr>
          <w:rFonts w:hint="eastAsia" w:ascii="黑体" w:hAnsi="黑体" w:eastAsia="黑体" w:cs="黑体"/>
          <w:sz w:val="48"/>
          <w:szCs w:val="48"/>
          <w:highlight w:val="none"/>
        </w:rPr>
        <w:t>（</w:t>
      </w:r>
      <w:r>
        <w:rPr>
          <w:rFonts w:hint="eastAsia" w:ascii="黑体" w:hAnsi="黑体" w:eastAsia="黑体" w:cs="黑体"/>
          <w:sz w:val="48"/>
          <w:szCs w:val="48"/>
          <w:highlight w:val="none"/>
          <w:lang w:eastAsia="zh-CN"/>
        </w:rPr>
        <w:t>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根据中共许昌市委、许昌市人民政府《关于印发〈许昌市人民政府职能转变和机构改革实施意见〉的通知》(许发〔2014〕26号),许昌市民政局主要职责是：担负社会救助、社会福利、社区建设、民间组织管理、双拥优抚安置和专项社会事务管理等社会管理和公共服务职能</w:t>
      </w:r>
      <w:r>
        <w:rPr>
          <w:rFonts w:hint="eastAsia" w:ascii="仿宋_GB2312" w:hAnsi="仿宋_GB2312" w:eastAsia="仿宋_GB2312" w:cs="仿宋_GB2312"/>
          <w:color w:val="000000"/>
          <w:kern w:val="0"/>
          <w:sz w:val="32"/>
          <w:szCs w:val="32"/>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outlineLvl w:val="1"/>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许昌市民政局（本级）内设机构12个，包括：办公室、规划财务科、社会组织管理和慈善事业促进科、</w:t>
      </w:r>
      <w:r>
        <w:rPr>
          <w:rFonts w:hint="eastAsia" w:ascii="仿宋_GB2312" w:hAnsi="仿宋_GB2312" w:eastAsia="仿宋_GB2312" w:cs="仿宋_GB2312"/>
          <w:color w:val="000000"/>
          <w:sz w:val="32"/>
          <w:szCs w:val="32"/>
          <w:lang w:eastAsia="zh-CN"/>
        </w:rPr>
        <w:t>社会救助科、基层政权</w:t>
      </w:r>
      <w:r>
        <w:rPr>
          <w:rFonts w:hint="default" w:ascii="仿宋_GB2312" w:hAnsi="仿宋_GB2312" w:eastAsia="仿宋_GB2312" w:cs="仿宋_GB2312"/>
          <w:color w:val="000000"/>
          <w:sz w:val="32"/>
          <w:szCs w:val="32"/>
          <w:lang w:eastAsia="zh-CN"/>
        </w:rPr>
        <w:t>建设和</w:t>
      </w:r>
      <w:r>
        <w:rPr>
          <w:rFonts w:hint="eastAsia" w:ascii="仿宋_GB2312" w:hAnsi="仿宋_GB2312" w:eastAsia="仿宋_GB2312" w:cs="仿宋_GB2312"/>
          <w:color w:val="000000"/>
          <w:sz w:val="32"/>
          <w:szCs w:val="32"/>
          <w:lang w:eastAsia="zh-CN"/>
        </w:rPr>
        <w:t>社区</w:t>
      </w:r>
      <w:r>
        <w:rPr>
          <w:rFonts w:hint="default" w:ascii="仿宋_GB2312" w:hAnsi="仿宋_GB2312" w:eastAsia="仿宋_GB2312" w:cs="仿宋_GB2312"/>
          <w:color w:val="000000"/>
          <w:sz w:val="32"/>
          <w:szCs w:val="32"/>
          <w:lang w:eastAsia="zh-CN"/>
        </w:rPr>
        <w:t>治理</w:t>
      </w:r>
      <w:r>
        <w:rPr>
          <w:rFonts w:hint="eastAsia" w:ascii="仿宋_GB2312" w:hAnsi="仿宋_GB2312" w:eastAsia="仿宋_GB2312" w:cs="仿宋_GB2312"/>
          <w:color w:val="000000"/>
          <w:sz w:val="32"/>
          <w:szCs w:val="32"/>
          <w:lang w:eastAsia="zh-CN"/>
        </w:rPr>
        <w:t>科、区划地名科、社会事务科、</w:t>
      </w:r>
      <w:r>
        <w:rPr>
          <w:rFonts w:hint="eastAsia" w:ascii="仿宋_GB2312" w:hAnsi="仿宋_GB2312" w:eastAsia="仿宋_GB2312" w:cs="仿宋_GB2312"/>
          <w:color w:val="000000"/>
          <w:sz w:val="32"/>
          <w:szCs w:val="32"/>
          <w:lang w:val="en-US" w:eastAsia="zh-CN"/>
        </w:rPr>
        <w:t>养老服务科、</w:t>
      </w:r>
      <w:r>
        <w:rPr>
          <w:rFonts w:hint="eastAsia" w:ascii="仿宋_GB2312" w:hAnsi="仿宋_GB2312" w:eastAsia="仿宋_GB2312" w:cs="仿宋_GB2312"/>
          <w:color w:val="000000"/>
          <w:sz w:val="32"/>
          <w:szCs w:val="32"/>
          <w:lang w:eastAsia="zh-CN"/>
        </w:rPr>
        <w:t>儿童福利科、人事科、机关党委、离退休干部工作科。</w:t>
      </w:r>
    </w:p>
    <w:p>
      <w:pPr>
        <w:widowControl/>
        <w:ind w:firstLine="640" w:firstLineChars="200"/>
        <w:jc w:val="left"/>
        <w:outlineLvl w:val="1"/>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从决算单位构成看，许昌市民政局（本级）决算包括：本级决算（1个）。</w:t>
      </w:r>
    </w:p>
    <w:p>
      <w:pPr>
        <w:widowControl/>
        <w:ind w:firstLine="640" w:firstLineChars="200"/>
        <w:jc w:val="left"/>
        <w:outlineLvl w:val="1"/>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纳入本单位2021年度单位决算编制范围的单位共1个，具体是：</w:t>
      </w:r>
    </w:p>
    <w:p>
      <w:pPr>
        <w:widowControl/>
        <w:ind w:firstLine="640" w:firstLineChars="200"/>
        <w:jc w:val="left"/>
        <w:outlineLvl w:val="1"/>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许昌市民政局（本级）</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tabs>
          <w:tab w:val="center" w:pos="4153"/>
        </w:tabs>
        <w:jc w:val="left"/>
        <w:rPr>
          <w:rFonts w:hint="eastAsia" w:ascii="黑体" w:hAnsi="宋体" w:eastAsia="黑体" w:cs="宋体"/>
          <w:kern w:val="0"/>
          <w:sz w:val="28"/>
          <w:szCs w:val="28"/>
          <w:highlight w:val="none"/>
          <w:lang w:eastAsia="zh-CN"/>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黑体" w:hAnsi="宋体" w:eastAsia="黑体" w:cs="宋体"/>
          <w:kern w:val="0"/>
          <w:sz w:val="28"/>
          <w:szCs w:val="28"/>
          <w:highlight w:val="none"/>
          <w:lang w:eastAsia="zh-CN"/>
        </w:rPr>
        <w:tab/>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6"/>
        <w:tblW w:w="14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329"/>
        <w:gridCol w:w="441"/>
        <w:gridCol w:w="4083"/>
        <w:gridCol w:w="1"/>
        <w:gridCol w:w="4436"/>
        <w:gridCol w:w="2"/>
        <w:gridCol w:w="440"/>
        <w:gridCol w:w="1465"/>
        <w:gridCol w:w="2"/>
        <w:gridCol w:w="2"/>
        <w:gridCol w:w="2"/>
        <w:gridCol w:w="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90" w:hRule="atLeast"/>
        </w:trPr>
        <w:tc>
          <w:tcPr>
            <w:tcW w:w="14203"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szCs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3"/>
          <w:wAfter w:w="317" w:type="dxa"/>
          <w:trHeight w:val="285" w:hRule="atLeast"/>
        </w:trPr>
        <w:tc>
          <w:tcPr>
            <w:tcW w:w="3329" w:type="dxa"/>
            <w:vAlign w:val="bottom"/>
          </w:tcPr>
          <w:p>
            <w:pPr>
              <w:autoSpaceDN w:val="0"/>
              <w:jc w:val="left"/>
              <w:textAlignment w:val="bottom"/>
              <w:rPr>
                <w:rFonts w:hint="default" w:ascii="Arial" w:hAnsi="宋体"/>
                <w:b w:val="0"/>
                <w:i w:val="0"/>
                <w:color w:val="000000"/>
                <w:sz w:val="20"/>
                <w:u w:val="none"/>
              </w:rPr>
            </w:pPr>
          </w:p>
        </w:tc>
        <w:tc>
          <w:tcPr>
            <w:tcW w:w="441" w:type="dxa"/>
            <w:vAlign w:val="bottom"/>
          </w:tcPr>
          <w:p>
            <w:pPr>
              <w:autoSpaceDN w:val="0"/>
              <w:jc w:val="left"/>
              <w:textAlignment w:val="bottom"/>
              <w:rPr>
                <w:rFonts w:hint="default" w:ascii="Arial" w:hAnsi="宋体"/>
                <w:b w:val="0"/>
                <w:i w:val="0"/>
                <w:color w:val="000000"/>
                <w:sz w:val="20"/>
                <w:u w:val="none"/>
              </w:rPr>
            </w:pPr>
          </w:p>
        </w:tc>
        <w:tc>
          <w:tcPr>
            <w:tcW w:w="4083" w:type="dxa"/>
            <w:vAlign w:val="bottom"/>
          </w:tcPr>
          <w:p>
            <w:pPr>
              <w:autoSpaceDN w:val="0"/>
              <w:jc w:val="left"/>
              <w:textAlignment w:val="bottom"/>
              <w:rPr>
                <w:rFonts w:hint="default" w:ascii="Arial" w:hAnsi="宋体"/>
                <w:b w:val="0"/>
                <w:i w:val="0"/>
                <w:color w:val="000000"/>
                <w:sz w:val="20"/>
                <w:u w:val="none"/>
              </w:rPr>
            </w:pPr>
          </w:p>
        </w:tc>
        <w:tc>
          <w:tcPr>
            <w:tcW w:w="6346" w:type="dxa"/>
            <w:gridSpan w:val="6"/>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285" w:hRule="atLeast"/>
        </w:trPr>
        <w:tc>
          <w:tcPr>
            <w:tcW w:w="12292" w:type="dxa"/>
            <w:gridSpan w:val="6"/>
            <w:vAlign w:val="bottom"/>
          </w:tcPr>
          <w:p>
            <w:pPr>
              <w:autoSpaceDN w:val="0"/>
              <w:jc w:val="left"/>
              <w:textAlignment w:val="bottom"/>
              <w:rPr>
                <w:rFonts w:hint="default" w:ascii="Arial" w:hAnsi="宋体"/>
                <w:b w:val="0"/>
                <w:i w:val="0"/>
                <w:color w:val="000000"/>
                <w:sz w:val="20"/>
                <w:u w:val="none"/>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：许昌市民政局（本级）</w:t>
            </w:r>
          </w:p>
        </w:tc>
        <w:tc>
          <w:tcPr>
            <w:tcW w:w="1909"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c>
          <w:tcPr>
            <w:tcW w:w="2" w:type="dxa"/>
            <w:vAlign w:val="bottom"/>
          </w:tcPr>
          <w:p>
            <w:pPr>
              <w:autoSpaceDN w:val="0"/>
              <w:jc w:val="right"/>
              <w:textAlignment w:val="bottom"/>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7854"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收入</w:t>
            </w:r>
          </w:p>
        </w:tc>
        <w:tc>
          <w:tcPr>
            <w:tcW w:w="6347"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支出</w:t>
            </w:r>
          </w:p>
        </w:tc>
        <w:tc>
          <w:tcPr>
            <w:tcW w:w="2" w:type="dxa"/>
            <w:tcBorders>
              <w:top w:val="single" w:color="000000" w:sz="4" w:space="0"/>
              <w:bottom w:val="single" w:color="000000" w:sz="4" w:space="0"/>
              <w:right w:val="single" w:color="000000" w:sz="4" w:space="0"/>
            </w:tcBorders>
            <w:vAlign w:val="center"/>
          </w:tcPr>
          <w:p>
            <w:pPr>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408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443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1465" w:type="dxa"/>
            <w:tcBorders>
              <w:bottom w:val="single" w:color="000000" w:sz="4" w:space="0"/>
              <w:right w:val="single" w:color="000000" w:sz="4" w:space="0"/>
            </w:tcBorders>
            <w:vAlign w:val="center"/>
          </w:tcPr>
          <w:p>
            <w:pPr>
              <w:autoSpaceDN w:val="0"/>
              <w:jc w:val="center"/>
              <w:textAlignment w:val="center"/>
            </w:pPr>
            <w:r>
              <w:rPr>
                <w:rFonts w:hint="default" w:ascii="宋体" w:hAnsi="宋体" w:eastAsia="宋体"/>
                <w:b w:val="0"/>
                <w:i w:val="0"/>
                <w:color w:val="000000"/>
                <w:sz w:val="22"/>
                <w:u w:val="none"/>
                <w:lang w:eastAsia="zh-CN"/>
              </w:rPr>
              <w:t>金额</w:t>
            </w:r>
          </w:p>
        </w:tc>
        <w:tc>
          <w:tcPr>
            <w:tcW w:w="6" w:type="dxa"/>
            <w:gridSpan w:val="3"/>
            <w:tcBorders>
              <w:bottom w:val="single" w:color="000000" w:sz="4" w:space="0"/>
              <w:right w:val="single" w:color="000000" w:sz="4" w:space="0"/>
            </w:tcBorders>
            <w:vAlign w:val="center"/>
          </w:tcPr>
          <w:p>
            <w:pPr>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408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443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465" w:type="dxa"/>
            <w:tcBorders>
              <w:bottom w:val="single" w:color="000000" w:sz="4" w:space="0"/>
              <w:right w:val="single" w:color="000000" w:sz="4" w:space="0"/>
            </w:tcBorders>
            <w:vAlign w:val="center"/>
          </w:tcPr>
          <w:p>
            <w:pPr>
              <w:autoSpaceDN w:val="0"/>
              <w:jc w:val="center"/>
              <w:textAlignment w:val="center"/>
            </w:pPr>
            <w:r>
              <w:rPr>
                <w:rFonts w:hint="default" w:ascii="宋体" w:hAnsi="宋体" w:eastAsia="宋体"/>
                <w:b w:val="0"/>
                <w:i w:val="0"/>
                <w:color w:val="000000"/>
                <w:sz w:val="22"/>
                <w:u w:val="none"/>
                <w:lang w:eastAsia="zh-CN"/>
              </w:rPr>
              <w:t>2</w:t>
            </w:r>
          </w:p>
        </w:tc>
        <w:tc>
          <w:tcPr>
            <w:tcW w:w="6" w:type="dxa"/>
            <w:gridSpan w:val="3"/>
            <w:tcBorders>
              <w:bottom w:val="single" w:color="000000" w:sz="4" w:space="0"/>
              <w:right w:val="single" w:color="000000" w:sz="4" w:space="0"/>
            </w:tcBorders>
            <w:vAlign w:val="center"/>
          </w:tcPr>
          <w:p>
            <w:pPr>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一、一般公共预算财政拨款收入</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val="en-US" w:eastAsia="zh-CN"/>
              </w:rPr>
            </w:pPr>
            <w:r>
              <w:rPr>
                <w:rFonts w:hint="eastAsia" w:ascii="宋体" w:hAnsi="宋体"/>
                <w:b w:val="0"/>
                <w:i w:val="0"/>
                <w:color w:val="000000"/>
                <w:sz w:val="22"/>
                <w:u w:val="none"/>
                <w:lang w:val="en-US" w:eastAsia="zh-CN"/>
              </w:rPr>
              <w:t>1022.91</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default" w:ascii="宋体" w:hAnsi="宋体" w:eastAsia="宋体"/>
                <w:b w:val="0"/>
                <w:i w:val="0"/>
                <w:color w:val="000000"/>
                <w:sz w:val="22"/>
                <w:u w:val="none"/>
                <w:lang w:eastAsia="zh-CN"/>
              </w:rPr>
              <w:t>32</w:t>
            </w:r>
          </w:p>
        </w:tc>
        <w:tc>
          <w:tcPr>
            <w:tcW w:w="1465" w:type="dxa"/>
            <w:tcBorders>
              <w:bottom w:val="single" w:color="000000" w:sz="4" w:space="0"/>
              <w:right w:val="single" w:color="000000" w:sz="4" w:space="0"/>
            </w:tcBorders>
            <w:vAlign w:val="center"/>
          </w:tcPr>
          <w:p>
            <w:pPr>
              <w:autoSpaceDN w:val="0"/>
              <w:jc w:val="right"/>
              <w:textAlignment w:val="center"/>
            </w:pPr>
            <w:r>
              <w:rPr>
                <w:rFonts w:hint="eastAsia" w:ascii="宋体" w:hAnsi="宋体"/>
                <w:b w:val="0"/>
                <w:i w:val="0"/>
                <w:color w:val="000000"/>
                <w:sz w:val="22"/>
                <w:u w:val="none"/>
                <w:lang w:val="en-US" w:eastAsia="zh-CN"/>
              </w:rPr>
              <w:t>3.18</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二、政府性基金预算财政拨款收入</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val="en-US" w:eastAsia="zh-CN"/>
              </w:rPr>
            </w:pPr>
            <w:r>
              <w:rPr>
                <w:rFonts w:hint="eastAsia" w:ascii="宋体" w:hAnsi="宋体"/>
                <w:b w:val="0"/>
                <w:i w:val="0"/>
                <w:color w:val="000000"/>
                <w:sz w:val="22"/>
                <w:u w:val="none"/>
                <w:lang w:val="en-US" w:eastAsia="zh-CN"/>
              </w:rPr>
              <w:t>63.96</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三、国有资本经营预算财政拨款收入</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四、上级补助收入</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五、事业收入</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六、经营收入</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七、附属单位上缴收入</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八、其他收入</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default" w:ascii="宋体" w:hAnsi="宋体" w:eastAsia="宋体"/>
                <w:b w:val="0"/>
                <w:i w:val="0"/>
                <w:color w:val="000000"/>
                <w:sz w:val="22"/>
                <w:u w:val="none"/>
                <w:lang w:eastAsia="zh-CN"/>
              </w:rPr>
              <w:t>39</w:t>
            </w:r>
          </w:p>
        </w:tc>
        <w:tc>
          <w:tcPr>
            <w:tcW w:w="1465" w:type="dxa"/>
            <w:tcBorders>
              <w:bottom w:val="single" w:color="000000" w:sz="4" w:space="0"/>
              <w:right w:val="single" w:color="000000" w:sz="4" w:space="0"/>
            </w:tcBorders>
            <w:vAlign w:val="center"/>
          </w:tcPr>
          <w:p>
            <w:pPr>
              <w:autoSpaceDN w:val="0"/>
              <w:jc w:val="right"/>
              <w:textAlignment w:val="center"/>
            </w:pPr>
            <w:r>
              <w:rPr>
                <w:rFonts w:hint="eastAsia" w:ascii="宋体" w:hAnsi="宋体"/>
                <w:b w:val="0"/>
                <w:i w:val="0"/>
                <w:color w:val="000000"/>
                <w:sz w:val="22"/>
                <w:u w:val="none"/>
                <w:lang w:val="en-US" w:eastAsia="zh-CN"/>
              </w:rPr>
              <w:t>1259.45</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default" w:ascii="宋体" w:hAnsi="宋体" w:eastAsia="宋体"/>
                <w:b w:val="0"/>
                <w:i w:val="0"/>
                <w:color w:val="000000"/>
                <w:sz w:val="22"/>
                <w:u w:val="none"/>
                <w:lang w:eastAsia="zh-CN"/>
              </w:rPr>
              <w:t>40</w:t>
            </w:r>
          </w:p>
        </w:tc>
        <w:tc>
          <w:tcPr>
            <w:tcW w:w="1465" w:type="dxa"/>
            <w:tcBorders>
              <w:bottom w:val="single" w:color="000000" w:sz="4" w:space="0"/>
              <w:right w:val="single" w:color="000000" w:sz="4" w:space="0"/>
            </w:tcBorders>
            <w:vAlign w:val="center"/>
          </w:tcPr>
          <w:p>
            <w:pPr>
              <w:autoSpaceDN w:val="0"/>
              <w:jc w:val="right"/>
              <w:textAlignment w:val="center"/>
            </w:pPr>
            <w:r>
              <w:rPr>
                <w:rFonts w:hint="eastAsia" w:ascii="宋体" w:hAnsi="宋体"/>
                <w:b w:val="0"/>
                <w:i w:val="0"/>
                <w:color w:val="000000"/>
                <w:sz w:val="22"/>
                <w:u w:val="none"/>
                <w:lang w:val="en-US" w:eastAsia="zh-CN"/>
              </w:rPr>
              <w:t>41.17</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313" w:type="dxa"/>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6" w:type="dxa"/>
            <w:gridSpan w:val="3"/>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default" w:ascii="宋体" w:hAnsi="宋体" w:eastAsia="宋体"/>
                <w:b w:val="0"/>
                <w:i w:val="0"/>
                <w:color w:val="000000"/>
                <w:sz w:val="22"/>
                <w:u w:val="none"/>
                <w:lang w:eastAsia="zh-CN"/>
              </w:rPr>
              <w:t>54</w:t>
            </w:r>
          </w:p>
        </w:tc>
        <w:tc>
          <w:tcPr>
            <w:tcW w:w="1465" w:type="dxa"/>
            <w:tcBorders>
              <w:bottom w:val="single" w:color="000000" w:sz="4" w:space="0"/>
              <w:right w:val="single" w:color="000000" w:sz="4" w:space="0"/>
            </w:tcBorders>
            <w:vAlign w:val="center"/>
          </w:tcPr>
          <w:p>
            <w:pPr>
              <w:autoSpaceDN w:val="0"/>
              <w:jc w:val="right"/>
              <w:textAlignment w:val="center"/>
            </w:pPr>
            <w:r>
              <w:rPr>
                <w:rFonts w:hint="eastAsia" w:ascii="宋体" w:hAnsi="宋体"/>
                <w:b w:val="0"/>
                <w:i w:val="0"/>
                <w:color w:val="000000"/>
                <w:sz w:val="22"/>
                <w:u w:val="none"/>
                <w:lang w:val="en-US" w:eastAsia="zh-CN"/>
              </w:rPr>
              <w:t>63.96</w:t>
            </w:r>
          </w:p>
        </w:tc>
        <w:tc>
          <w:tcPr>
            <w:tcW w:w="319" w:type="dxa"/>
            <w:gridSpan w:val="4"/>
            <w:tcBorders>
              <w:bottom w:val="single" w:color="000000" w:sz="4" w:space="0"/>
              <w:right w:val="single" w:color="000000" w:sz="4" w:space="0"/>
            </w:tcBorders>
            <w:vAlign w:val="center"/>
          </w:tcPr>
          <w:p>
            <w:pPr>
              <w:autoSpaceDN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val="en-US" w:eastAsia="zh-CN"/>
              </w:rPr>
            </w:pPr>
            <w:r>
              <w:rPr>
                <w:rFonts w:hint="eastAsia" w:ascii="宋体" w:hAnsi="宋体"/>
                <w:b w:val="0"/>
                <w:i w:val="0"/>
                <w:color w:val="000000"/>
                <w:sz w:val="22"/>
                <w:u w:val="none"/>
                <w:lang w:val="en-US" w:eastAsia="zh-CN"/>
              </w:rPr>
              <w:t>1086.87</w:t>
            </w:r>
          </w:p>
        </w:tc>
        <w:tc>
          <w:tcPr>
            <w:tcW w:w="443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default" w:ascii="宋体" w:hAnsi="宋体" w:eastAsia="宋体"/>
                <w:b w:val="0"/>
                <w:i w:val="0"/>
                <w:color w:val="000000"/>
                <w:sz w:val="22"/>
                <w:u w:val="none"/>
                <w:lang w:eastAsia="zh-CN"/>
              </w:rPr>
              <w:t>58</w:t>
            </w:r>
          </w:p>
        </w:tc>
        <w:tc>
          <w:tcPr>
            <w:tcW w:w="1465" w:type="dxa"/>
            <w:tcBorders>
              <w:bottom w:val="single" w:color="000000" w:sz="4" w:space="0"/>
              <w:right w:val="single" w:color="000000" w:sz="4" w:space="0"/>
            </w:tcBorders>
            <w:vAlign w:val="center"/>
          </w:tcPr>
          <w:p>
            <w:pPr>
              <w:autoSpaceDN w:val="0"/>
              <w:jc w:val="right"/>
              <w:textAlignment w:val="center"/>
            </w:pPr>
            <w:r>
              <w:rPr>
                <w:rFonts w:hint="eastAsia" w:ascii="宋体" w:hAnsi="宋体"/>
                <w:b w:val="0"/>
                <w:i w:val="0"/>
                <w:color w:val="000000"/>
                <w:sz w:val="22"/>
                <w:u w:val="none"/>
                <w:lang w:val="en-US" w:eastAsia="zh-CN"/>
              </w:rPr>
              <w:t>1367.75</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使用非财政拨款结余</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0.00</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结余分配</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1465" w:type="dxa"/>
            <w:tcBorders>
              <w:bottom w:val="single" w:color="000000" w:sz="4" w:space="0"/>
              <w:right w:val="single" w:color="000000" w:sz="4" w:space="0"/>
            </w:tcBorders>
            <w:vAlign w:val="center"/>
          </w:tcPr>
          <w:p>
            <w:pPr>
              <w:autoSpaceDN w:val="0"/>
              <w:jc w:val="right"/>
              <w:textAlignment w:val="center"/>
            </w:pPr>
            <w:r>
              <w:rPr>
                <w:rFonts w:hint="default" w:ascii="宋体" w:hAnsi="宋体" w:eastAsia="宋体"/>
                <w:b w:val="0"/>
                <w:i w:val="0"/>
                <w:color w:val="000000"/>
                <w:sz w:val="22"/>
                <w:u w:val="none"/>
                <w:lang w:eastAsia="zh-CN"/>
              </w:rPr>
              <w:t>0.00</w:t>
            </w: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val="en-US" w:eastAsia="zh-CN"/>
              </w:rPr>
            </w:pPr>
            <w:r>
              <w:rPr>
                <w:rFonts w:hint="eastAsia" w:ascii="宋体" w:hAnsi="宋体"/>
                <w:b w:val="0"/>
                <w:i w:val="0"/>
                <w:color w:val="000000"/>
                <w:sz w:val="22"/>
                <w:u w:val="none"/>
                <w:lang w:val="en-US" w:eastAsia="zh-CN"/>
              </w:rPr>
              <w:t>280.89</w:t>
            </w: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val="en-US" w:eastAsia="zh-CN"/>
              </w:rPr>
            </w:pP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default" w:ascii="宋体" w:hAnsi="宋体" w:eastAsia="宋体"/>
                <w:b w:val="0"/>
                <w:i w:val="0"/>
                <w:color w:val="000000"/>
                <w:sz w:val="22"/>
                <w:u w:val="none"/>
                <w:lang w:eastAsia="zh-CN"/>
              </w:rPr>
              <w:t>60</w:t>
            </w:r>
          </w:p>
        </w:tc>
        <w:tc>
          <w:tcPr>
            <w:tcW w:w="1465" w:type="dxa"/>
            <w:tcBorders>
              <w:bottom w:val="single" w:color="000000" w:sz="4" w:space="0"/>
              <w:right w:val="single" w:color="000000" w:sz="4" w:space="0"/>
            </w:tcBorders>
            <w:vAlign w:val="center"/>
          </w:tcPr>
          <w:p>
            <w:pPr>
              <w:autoSpaceDN w:val="0"/>
              <w:jc w:val="right"/>
              <w:textAlignment w:val="center"/>
            </w:pPr>
          </w:p>
        </w:tc>
        <w:tc>
          <w:tcPr>
            <w:tcW w:w="319" w:type="dxa"/>
            <w:gridSpan w:val="4"/>
            <w:tcBorders>
              <w:bottom w:val="single" w:color="000000" w:sz="4" w:space="0"/>
              <w:right w:val="single" w:color="000000" w:sz="4" w:space="0"/>
            </w:tcBorders>
            <w:vAlign w:val="center"/>
          </w:tcPr>
          <w:p>
            <w:pPr>
              <w:autoSpaceDN w:val="0"/>
              <w:jc w:val="righ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4437"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1465" w:type="dxa"/>
            <w:tcBorders>
              <w:bottom w:val="single" w:color="000000" w:sz="4" w:space="0"/>
              <w:right w:val="single" w:color="000000" w:sz="4" w:space="0"/>
            </w:tcBorders>
            <w:vAlign w:val="center"/>
          </w:tcPr>
          <w:p>
            <w:pPr>
              <w:autoSpaceDN w:val="0"/>
              <w:jc w:val="left"/>
              <w:textAlignment w:val="center"/>
            </w:pPr>
          </w:p>
        </w:tc>
        <w:tc>
          <w:tcPr>
            <w:tcW w:w="319" w:type="dxa"/>
            <w:gridSpan w:val="4"/>
            <w:tcBorders>
              <w:bottom w:val="single" w:color="000000" w:sz="4" w:space="0"/>
              <w:right w:val="single" w:color="000000" w:sz="4" w:space="0"/>
            </w:tcBorders>
            <w:vAlign w:val="center"/>
          </w:tcPr>
          <w:p>
            <w:pPr>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332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441"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408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val="en-US" w:eastAsia="zh-CN"/>
              </w:rPr>
            </w:pPr>
            <w:r>
              <w:rPr>
                <w:rFonts w:hint="eastAsia" w:ascii="宋体" w:hAnsi="宋体"/>
                <w:b w:val="0"/>
                <w:i w:val="0"/>
                <w:color w:val="000000"/>
                <w:sz w:val="22"/>
                <w:u w:val="none"/>
                <w:lang w:val="en-US" w:eastAsia="zh-CN"/>
              </w:rPr>
              <w:t>1367.75</w:t>
            </w:r>
          </w:p>
        </w:tc>
        <w:tc>
          <w:tcPr>
            <w:tcW w:w="443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i w:val="0"/>
                <w:color w:val="000000"/>
                <w:sz w:val="22"/>
                <w:u w:val="none"/>
                <w:lang w:eastAsia="zh-CN"/>
              </w:rPr>
              <w:t>总计</w:t>
            </w:r>
          </w:p>
        </w:tc>
        <w:tc>
          <w:tcPr>
            <w:tcW w:w="44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val="en-US" w:eastAsia="zh-CN"/>
              </w:rPr>
            </w:pPr>
            <w:r>
              <w:rPr>
                <w:rFonts w:hint="default" w:ascii="宋体" w:hAnsi="宋体" w:eastAsia="宋体"/>
                <w:b w:val="0"/>
                <w:i w:val="0"/>
                <w:color w:val="000000"/>
                <w:sz w:val="22"/>
                <w:u w:val="none"/>
                <w:lang w:eastAsia="zh-CN"/>
              </w:rPr>
              <w:t>62</w:t>
            </w:r>
          </w:p>
        </w:tc>
        <w:tc>
          <w:tcPr>
            <w:tcW w:w="1465" w:type="dxa"/>
            <w:tcBorders>
              <w:bottom w:val="single" w:color="000000" w:sz="4" w:space="0"/>
              <w:right w:val="single" w:color="000000" w:sz="4" w:space="0"/>
            </w:tcBorders>
            <w:vAlign w:val="center"/>
          </w:tcPr>
          <w:p>
            <w:pPr>
              <w:autoSpaceDN w:val="0"/>
              <w:jc w:val="right"/>
              <w:textAlignment w:val="center"/>
              <w:rPr>
                <w:lang w:val="en-US"/>
              </w:rPr>
            </w:pPr>
            <w:r>
              <w:rPr>
                <w:rFonts w:hint="eastAsia" w:ascii="宋体" w:hAnsi="宋体"/>
                <w:b w:val="0"/>
                <w:i w:val="0"/>
                <w:color w:val="000000"/>
                <w:sz w:val="22"/>
                <w:u w:val="none"/>
                <w:lang w:val="en-US" w:eastAsia="zh-CN"/>
              </w:rPr>
              <w:t>1367.75</w:t>
            </w:r>
          </w:p>
        </w:tc>
        <w:tc>
          <w:tcPr>
            <w:tcW w:w="319" w:type="dxa"/>
            <w:gridSpan w:val="4"/>
            <w:tcBorders>
              <w:bottom w:val="single" w:color="000000" w:sz="4" w:space="0"/>
              <w:right w:val="single" w:color="000000" w:sz="4" w:space="0"/>
            </w:tcBorders>
            <w:vAlign w:val="center"/>
          </w:tcPr>
          <w:p>
            <w:pPr>
              <w:autoSpaceDN w:val="0"/>
              <w:jc w:val="right"/>
              <w:textAlignment w:val="cente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203"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本年度的总收支和年末结转结余情况。本套报表金额单位转换时可能存在尾数误差。</w:t>
            </w:r>
          </w:p>
        </w:tc>
        <w:tc>
          <w:tcPr>
            <w:tcW w:w="313" w:type="dxa"/>
            <w:vAlign w:val="center"/>
          </w:tcPr>
          <w:p>
            <w:pPr>
              <w:autoSpaceDN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14203" w:type="dxa"/>
            <w:gridSpan w:val="11"/>
            <w:vAlign w:val="center"/>
          </w:tcPr>
          <w:p>
            <w:pPr>
              <w:autoSpaceDN w:val="0"/>
              <w:jc w:val="left"/>
              <w:textAlignment w:val="center"/>
              <w:rPr>
                <w:rFonts w:hint="default" w:ascii="宋体" w:hAnsi="宋体" w:eastAsia="宋体"/>
                <w:b w:val="0"/>
                <w:i w:val="0"/>
                <w:color w:val="000000"/>
                <w:sz w:val="22"/>
                <w:u w:val="none"/>
                <w:lang w:eastAsia="zh-CN"/>
              </w:rPr>
            </w:pPr>
          </w:p>
        </w:tc>
        <w:tc>
          <w:tcPr>
            <w:tcW w:w="313" w:type="dxa"/>
            <w:vAlign w:val="center"/>
          </w:tcPr>
          <w:p>
            <w:pPr>
              <w:autoSpaceDN w:val="0"/>
              <w:jc w:val="left"/>
              <w:textAlignment w:val="cente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148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740"/>
        <w:gridCol w:w="768"/>
        <w:gridCol w:w="3930"/>
        <w:gridCol w:w="1665"/>
        <w:gridCol w:w="1800"/>
        <w:gridCol w:w="1140"/>
        <w:gridCol w:w="1020"/>
        <w:gridCol w:w="975"/>
        <w:gridCol w:w="10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818" w:type="dxa"/>
            <w:gridSpan w:val="11"/>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0" w:type="dxa"/>
            <w:vAlign w:val="bottom"/>
          </w:tcPr>
          <w:p>
            <w:pPr>
              <w:rPr>
                <w:rFonts w:hint="eastAsia" w:ascii="Arial" w:hAnsi="Arial" w:cs="Arial"/>
                <w:i w:val="0"/>
                <w:color w:val="000000"/>
                <w:sz w:val="20"/>
                <w:szCs w:val="20"/>
                <w:u w:val="none"/>
              </w:rPr>
            </w:pPr>
          </w:p>
        </w:tc>
        <w:tc>
          <w:tcPr>
            <w:tcW w:w="740" w:type="dxa"/>
            <w:vAlign w:val="bottom"/>
          </w:tcPr>
          <w:p>
            <w:pPr>
              <w:rPr>
                <w:rFonts w:hint="default" w:ascii="Arial" w:hAnsi="Arial" w:cs="Arial"/>
                <w:i w:val="0"/>
                <w:color w:val="000000"/>
                <w:sz w:val="20"/>
                <w:szCs w:val="20"/>
                <w:u w:val="none"/>
              </w:rPr>
            </w:pPr>
          </w:p>
        </w:tc>
        <w:tc>
          <w:tcPr>
            <w:tcW w:w="768" w:type="dxa"/>
            <w:vAlign w:val="bottom"/>
          </w:tcPr>
          <w:p>
            <w:pPr>
              <w:rPr>
                <w:rFonts w:hint="default" w:ascii="Arial" w:hAnsi="Arial" w:cs="Arial"/>
                <w:i w:val="0"/>
                <w:color w:val="000000"/>
                <w:sz w:val="20"/>
                <w:szCs w:val="20"/>
                <w:u w:val="none"/>
              </w:rPr>
            </w:pPr>
          </w:p>
        </w:tc>
        <w:tc>
          <w:tcPr>
            <w:tcW w:w="3930" w:type="dxa"/>
            <w:vAlign w:val="bottom"/>
          </w:tcPr>
          <w:p>
            <w:pPr>
              <w:rPr>
                <w:rFonts w:hint="default" w:ascii="Arial" w:hAnsi="Arial" w:cs="Arial"/>
                <w:i w:val="0"/>
                <w:color w:val="000000"/>
                <w:sz w:val="20"/>
                <w:szCs w:val="20"/>
                <w:u w:val="none"/>
              </w:rPr>
            </w:pPr>
          </w:p>
        </w:tc>
        <w:tc>
          <w:tcPr>
            <w:tcW w:w="1665" w:type="dxa"/>
            <w:vAlign w:val="bottom"/>
          </w:tcPr>
          <w:p>
            <w:pPr>
              <w:rPr>
                <w:rFonts w:hint="default" w:ascii="Arial" w:hAnsi="Arial" w:cs="Arial"/>
                <w:i w:val="0"/>
                <w:color w:val="000000"/>
                <w:sz w:val="20"/>
                <w:szCs w:val="20"/>
                <w:u w:val="none"/>
              </w:rPr>
            </w:pPr>
          </w:p>
        </w:tc>
        <w:tc>
          <w:tcPr>
            <w:tcW w:w="1800" w:type="dxa"/>
            <w:vAlign w:val="bottom"/>
          </w:tcPr>
          <w:p>
            <w:pPr>
              <w:rPr>
                <w:rFonts w:hint="default" w:ascii="Arial" w:hAnsi="Arial" w:cs="Arial"/>
                <w:i w:val="0"/>
                <w:color w:val="000000"/>
                <w:sz w:val="20"/>
                <w:szCs w:val="20"/>
                <w:u w:val="none"/>
              </w:rPr>
            </w:pPr>
          </w:p>
        </w:tc>
        <w:tc>
          <w:tcPr>
            <w:tcW w:w="1140" w:type="dxa"/>
            <w:vAlign w:val="bottom"/>
          </w:tcPr>
          <w:p>
            <w:pPr>
              <w:rPr>
                <w:rFonts w:hint="default" w:ascii="Arial" w:hAnsi="Arial" w:cs="Arial"/>
                <w:i w:val="0"/>
                <w:color w:val="000000"/>
                <w:sz w:val="20"/>
                <w:szCs w:val="20"/>
                <w:u w:val="none"/>
              </w:rPr>
            </w:pPr>
          </w:p>
        </w:tc>
        <w:tc>
          <w:tcPr>
            <w:tcW w:w="1020" w:type="dxa"/>
            <w:vAlign w:val="bottom"/>
          </w:tcPr>
          <w:p>
            <w:pPr>
              <w:rPr>
                <w:rFonts w:hint="default" w:ascii="Arial" w:hAnsi="Arial" w:cs="Arial"/>
                <w:i w:val="0"/>
                <w:color w:val="000000"/>
                <w:sz w:val="20"/>
                <w:szCs w:val="20"/>
                <w:u w:val="none"/>
              </w:rPr>
            </w:pPr>
          </w:p>
        </w:tc>
        <w:tc>
          <w:tcPr>
            <w:tcW w:w="975" w:type="dxa"/>
            <w:vAlign w:val="bottom"/>
          </w:tcPr>
          <w:p>
            <w:pPr>
              <w:rPr>
                <w:rFonts w:hint="default" w:ascii="Arial" w:hAnsi="Arial" w:cs="Arial"/>
                <w:i w:val="0"/>
                <w:color w:val="000000"/>
                <w:sz w:val="20"/>
                <w:szCs w:val="20"/>
                <w:u w:val="none"/>
              </w:rPr>
            </w:pPr>
          </w:p>
        </w:tc>
        <w:tc>
          <w:tcPr>
            <w:tcW w:w="2040"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2778" w:type="dxa"/>
            <w:gridSpan w:val="9"/>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单位</w:t>
            </w:r>
            <w:r>
              <w:rPr>
                <w:rFonts w:hint="eastAsia" w:ascii="宋体" w:hAnsi="宋体" w:eastAsia="宋体" w:cs="宋体"/>
                <w:i w:val="0"/>
                <w:color w:val="000000"/>
                <w:kern w:val="0"/>
                <w:sz w:val="20"/>
                <w:szCs w:val="20"/>
                <w:u w:val="none"/>
                <w:lang w:val="en-US" w:eastAsia="zh-CN"/>
              </w:rPr>
              <w:t>：许昌市民政局（本级）</w:t>
            </w:r>
          </w:p>
        </w:tc>
        <w:tc>
          <w:tcPr>
            <w:tcW w:w="2040"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66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本年收入合计</w:t>
            </w:r>
          </w:p>
        </w:tc>
        <w:tc>
          <w:tcPr>
            <w:tcW w:w="1800"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财政拨款收入</w:t>
            </w:r>
          </w:p>
        </w:tc>
        <w:tc>
          <w:tcPr>
            <w:tcW w:w="1140"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上级补助收入</w:t>
            </w:r>
          </w:p>
        </w:tc>
        <w:tc>
          <w:tcPr>
            <w:tcW w:w="1020"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事业收入</w:t>
            </w:r>
          </w:p>
        </w:tc>
        <w:tc>
          <w:tcPr>
            <w:tcW w:w="97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经营收入</w:t>
            </w:r>
          </w:p>
        </w:tc>
        <w:tc>
          <w:tcPr>
            <w:tcW w:w="106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附属单位上缴收入</w:t>
            </w:r>
          </w:p>
        </w:tc>
        <w:tc>
          <w:tcPr>
            <w:tcW w:w="97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393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6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6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0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66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80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14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02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97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6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97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66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1,086.87</w:t>
            </w:r>
          </w:p>
        </w:tc>
        <w:tc>
          <w:tcPr>
            <w:tcW w:w="180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1,086.87</w:t>
            </w:r>
          </w:p>
        </w:tc>
        <w:tc>
          <w:tcPr>
            <w:tcW w:w="11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0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06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9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一般公共服务支出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20129</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群众团体事务</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2012906</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工会事务</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990.19</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990.19</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20802</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民政管理事务</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694.41</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694.41</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2080201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694.41</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694.41</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行政事业单位养老支出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209.78</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209.78</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行政单位离退休</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184.50</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184.50</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2080505</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25.28</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25.28</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抚恤</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死亡抚恤</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20820</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临时救助</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2082001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临时救助支出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卫生健康支出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29.54</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29.54</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29.54</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29.54</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行政单位医疗</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16.11</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16.11</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2101103</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公务员医疗补助</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13.42</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13.42</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22960</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彩票公益金安排的支出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2296002</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用于社会福利的彩票公益金支出</w:t>
            </w:r>
          </w:p>
        </w:tc>
        <w:tc>
          <w:tcPr>
            <w:tcW w:w="166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80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6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818" w:type="dxa"/>
            <w:gridSpan w:val="11"/>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w:t>
            </w:r>
            <w:r>
              <w:rPr>
                <w:rFonts w:hint="eastAsia" w:ascii="宋体" w:hAnsi="宋体" w:cs="宋体"/>
                <w:i w:val="0"/>
                <w:color w:val="000000"/>
                <w:kern w:val="0"/>
                <w:sz w:val="22"/>
                <w:szCs w:val="22"/>
                <w:u w:val="none"/>
                <w:lang w:val="en-US" w:eastAsia="zh-CN"/>
              </w:rPr>
              <w:t>单位</w:t>
            </w:r>
            <w:r>
              <w:rPr>
                <w:rFonts w:hint="eastAsia" w:ascii="宋体" w:hAnsi="宋体" w:eastAsia="宋体" w:cs="宋体"/>
                <w:i w:val="0"/>
                <w:color w:val="000000"/>
                <w:kern w:val="0"/>
                <w:sz w:val="22"/>
                <w:szCs w:val="22"/>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740"/>
        <w:gridCol w:w="768"/>
        <w:gridCol w:w="3929"/>
        <w:gridCol w:w="1125"/>
        <w:gridCol w:w="1275"/>
        <w:gridCol w:w="975"/>
        <w:gridCol w:w="1664"/>
        <w:gridCol w:w="1620"/>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635" w:type="dxa"/>
            <w:gridSpan w:val="10"/>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0" w:type="dxa"/>
            <w:vAlign w:val="bottom"/>
          </w:tcPr>
          <w:p>
            <w:pPr>
              <w:rPr>
                <w:rFonts w:hint="eastAsia" w:ascii="Arial" w:hAnsi="Arial" w:cs="Arial"/>
                <w:i w:val="0"/>
                <w:color w:val="000000"/>
                <w:sz w:val="20"/>
                <w:szCs w:val="20"/>
                <w:u w:val="none"/>
              </w:rPr>
            </w:pPr>
          </w:p>
        </w:tc>
        <w:tc>
          <w:tcPr>
            <w:tcW w:w="740" w:type="dxa"/>
            <w:vAlign w:val="bottom"/>
          </w:tcPr>
          <w:p>
            <w:pPr>
              <w:rPr>
                <w:rFonts w:hint="default" w:ascii="Arial" w:hAnsi="Arial" w:cs="Arial"/>
                <w:i w:val="0"/>
                <w:color w:val="000000"/>
                <w:sz w:val="20"/>
                <w:szCs w:val="20"/>
                <w:u w:val="none"/>
              </w:rPr>
            </w:pPr>
          </w:p>
        </w:tc>
        <w:tc>
          <w:tcPr>
            <w:tcW w:w="768" w:type="dxa"/>
            <w:vAlign w:val="bottom"/>
          </w:tcPr>
          <w:p>
            <w:pPr>
              <w:rPr>
                <w:rFonts w:hint="default" w:ascii="Arial" w:hAnsi="Arial" w:cs="Arial"/>
                <w:i w:val="0"/>
                <w:color w:val="000000"/>
                <w:sz w:val="20"/>
                <w:szCs w:val="20"/>
                <w:u w:val="none"/>
              </w:rPr>
            </w:pPr>
          </w:p>
        </w:tc>
        <w:tc>
          <w:tcPr>
            <w:tcW w:w="3929" w:type="dxa"/>
            <w:vAlign w:val="bottom"/>
          </w:tcPr>
          <w:p>
            <w:pPr>
              <w:rPr>
                <w:rFonts w:hint="default" w:ascii="Arial" w:hAnsi="Arial" w:cs="Arial"/>
                <w:i w:val="0"/>
                <w:color w:val="000000"/>
                <w:sz w:val="20"/>
                <w:szCs w:val="20"/>
                <w:u w:val="none"/>
              </w:rPr>
            </w:pPr>
          </w:p>
        </w:tc>
        <w:tc>
          <w:tcPr>
            <w:tcW w:w="1125" w:type="dxa"/>
            <w:vAlign w:val="bottom"/>
          </w:tcPr>
          <w:p>
            <w:pPr>
              <w:rPr>
                <w:rFonts w:hint="default" w:ascii="Arial" w:hAnsi="Arial" w:cs="Arial"/>
                <w:i w:val="0"/>
                <w:color w:val="000000"/>
                <w:sz w:val="20"/>
                <w:szCs w:val="20"/>
                <w:u w:val="none"/>
              </w:rPr>
            </w:pPr>
          </w:p>
        </w:tc>
        <w:tc>
          <w:tcPr>
            <w:tcW w:w="1275" w:type="dxa"/>
            <w:vAlign w:val="bottom"/>
          </w:tcPr>
          <w:p>
            <w:pPr>
              <w:rPr>
                <w:rFonts w:hint="default" w:ascii="Arial" w:hAnsi="Arial" w:cs="Arial"/>
                <w:i w:val="0"/>
                <w:color w:val="000000"/>
                <w:sz w:val="20"/>
                <w:szCs w:val="20"/>
                <w:u w:val="none"/>
              </w:rPr>
            </w:pPr>
          </w:p>
        </w:tc>
        <w:tc>
          <w:tcPr>
            <w:tcW w:w="975" w:type="dxa"/>
            <w:vAlign w:val="bottom"/>
          </w:tcPr>
          <w:p>
            <w:pPr>
              <w:rPr>
                <w:rFonts w:hint="default" w:ascii="Arial" w:hAnsi="Arial" w:cs="Arial"/>
                <w:i w:val="0"/>
                <w:color w:val="000000"/>
                <w:sz w:val="20"/>
                <w:szCs w:val="20"/>
                <w:u w:val="none"/>
              </w:rPr>
            </w:pPr>
          </w:p>
        </w:tc>
        <w:tc>
          <w:tcPr>
            <w:tcW w:w="1664" w:type="dxa"/>
            <w:vAlign w:val="bottom"/>
          </w:tcPr>
          <w:p>
            <w:pPr>
              <w:rPr>
                <w:rFonts w:hint="default" w:ascii="Arial" w:hAnsi="Arial" w:cs="Arial"/>
                <w:i w:val="0"/>
                <w:color w:val="000000"/>
                <w:sz w:val="20"/>
                <w:szCs w:val="20"/>
                <w:u w:val="none"/>
              </w:rPr>
            </w:pPr>
          </w:p>
        </w:tc>
        <w:tc>
          <w:tcPr>
            <w:tcW w:w="3419"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216" w:type="dxa"/>
            <w:gridSpan w:val="8"/>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单位</w:t>
            </w:r>
            <w:r>
              <w:rPr>
                <w:rFonts w:hint="eastAsia" w:ascii="宋体" w:hAnsi="宋体" w:eastAsia="宋体" w:cs="宋体"/>
                <w:i w:val="0"/>
                <w:color w:val="000000"/>
                <w:kern w:val="0"/>
                <w:sz w:val="20"/>
                <w:szCs w:val="20"/>
                <w:u w:val="none"/>
                <w:lang w:val="en-US" w:eastAsia="zh-CN"/>
              </w:rPr>
              <w:t>：许昌市民政局（本级）</w:t>
            </w:r>
          </w:p>
        </w:tc>
        <w:tc>
          <w:tcPr>
            <w:tcW w:w="3419"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12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本年支出合计</w:t>
            </w:r>
          </w:p>
        </w:tc>
        <w:tc>
          <w:tcPr>
            <w:tcW w:w="127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97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664"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上缴上级支出</w:t>
            </w:r>
          </w:p>
        </w:tc>
        <w:tc>
          <w:tcPr>
            <w:tcW w:w="1620"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经营支出</w:t>
            </w:r>
          </w:p>
        </w:tc>
        <w:tc>
          <w:tcPr>
            <w:tcW w:w="1799"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3929"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12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664"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799"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929"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664"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799"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3929"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12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9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664"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6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c>
          <w:tcPr>
            <w:tcW w:w="1799"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12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27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97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664"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62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799"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7" w:type="dxa"/>
            <w:gridSpan w:val="4"/>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1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1,367.75</w:t>
            </w:r>
          </w:p>
        </w:tc>
        <w:tc>
          <w:tcPr>
            <w:tcW w:w="127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1,085.29</w:t>
            </w:r>
          </w:p>
        </w:tc>
        <w:tc>
          <w:tcPr>
            <w:tcW w:w="97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282.46</w:t>
            </w:r>
          </w:p>
        </w:tc>
        <w:tc>
          <w:tcPr>
            <w:tcW w:w="166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6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c>
          <w:tcPr>
            <w:tcW w:w="179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一般公共服务支出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20129</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群众团体事务</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2012906</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工会事务</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1,259.45</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1,040.95</w:t>
            </w:r>
          </w:p>
        </w:tc>
        <w:tc>
          <w:tcPr>
            <w:tcW w:w="9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218.50</w:t>
            </w: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20802</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民政管理事务</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928.70</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757.45</w:t>
            </w:r>
          </w:p>
        </w:tc>
        <w:tc>
          <w:tcPr>
            <w:tcW w:w="9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171.25</w:t>
            </w: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2080201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757.45</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757.45</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2080202</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一般行政管理事务</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171.25</w:t>
            </w:r>
          </w:p>
        </w:tc>
        <w:tc>
          <w:tcPr>
            <w:tcW w:w="12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171.25</w:t>
            </w: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行政事业单位养老支出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244.74</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244.74</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行政单位离退休</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205.51</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205.51</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2080505</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39.23</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39.23</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抚恤</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2080801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死亡抚恤</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20820</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临时救助</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12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2082001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临时救助支出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12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卫生健康支出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2101101</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行政单位医疗</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18.88</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18.88</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2101103</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公务员医疗补助</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22.28</w:t>
            </w:r>
          </w:p>
        </w:tc>
        <w:tc>
          <w:tcPr>
            <w:tcW w:w="12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22.28</w:t>
            </w:r>
          </w:p>
        </w:tc>
        <w:tc>
          <w:tcPr>
            <w:tcW w:w="9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2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22960</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彩票公益金安排的支出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2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2296002</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用于社会福利的彩票公益金支出</w:t>
            </w:r>
          </w:p>
        </w:tc>
        <w:tc>
          <w:tcPr>
            <w:tcW w:w="11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27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7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66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6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9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635" w:type="dxa"/>
            <w:gridSpan w:val="10"/>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w:t>
            </w:r>
            <w:r>
              <w:rPr>
                <w:rFonts w:hint="eastAsia" w:ascii="宋体" w:hAnsi="宋体" w:cs="宋体"/>
                <w:i w:val="0"/>
                <w:color w:val="000000"/>
                <w:kern w:val="0"/>
                <w:sz w:val="22"/>
                <w:szCs w:val="22"/>
                <w:u w:val="none"/>
                <w:lang w:val="en-US" w:eastAsia="zh-CN"/>
              </w:rPr>
              <w:t>单位</w:t>
            </w:r>
            <w:r>
              <w:rPr>
                <w:rFonts w:hint="eastAsia" w:ascii="宋体" w:hAnsi="宋体" w:eastAsia="宋体" w:cs="宋体"/>
                <w:i w:val="0"/>
                <w:color w:val="000000"/>
                <w:kern w:val="0"/>
                <w:sz w:val="22"/>
                <w:szCs w:val="22"/>
                <w:u w:val="none"/>
                <w:lang w:val="en-US"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51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54"/>
        <w:gridCol w:w="477"/>
        <w:gridCol w:w="2582"/>
        <w:gridCol w:w="2730"/>
        <w:gridCol w:w="477"/>
        <w:gridCol w:w="1456"/>
        <w:gridCol w:w="1456"/>
        <w:gridCol w:w="849"/>
        <w:gridCol w:w="2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147" w:type="dxa"/>
            <w:gridSpan w:val="9"/>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454" w:type="dxa"/>
            <w:vAlign w:val="bottom"/>
          </w:tcPr>
          <w:p>
            <w:pPr>
              <w:rPr>
                <w:rFonts w:hint="eastAsia" w:ascii="Arial" w:hAnsi="Arial" w:cs="Arial"/>
                <w:i w:val="0"/>
                <w:color w:val="000000"/>
                <w:sz w:val="20"/>
                <w:szCs w:val="20"/>
                <w:u w:val="none"/>
              </w:rPr>
            </w:pPr>
          </w:p>
        </w:tc>
        <w:tc>
          <w:tcPr>
            <w:tcW w:w="477" w:type="dxa"/>
            <w:vAlign w:val="bottom"/>
          </w:tcPr>
          <w:p>
            <w:pPr>
              <w:rPr>
                <w:rFonts w:hint="default" w:ascii="Arial" w:hAnsi="Arial" w:cs="Arial"/>
                <w:i w:val="0"/>
                <w:color w:val="000000"/>
                <w:sz w:val="20"/>
                <w:szCs w:val="20"/>
                <w:u w:val="none"/>
              </w:rPr>
            </w:pPr>
          </w:p>
        </w:tc>
        <w:tc>
          <w:tcPr>
            <w:tcW w:w="2582" w:type="dxa"/>
            <w:vAlign w:val="bottom"/>
          </w:tcPr>
          <w:p>
            <w:pPr>
              <w:rPr>
                <w:rFonts w:hint="default" w:ascii="Arial" w:hAnsi="Arial" w:cs="Arial"/>
                <w:i w:val="0"/>
                <w:color w:val="000000"/>
                <w:sz w:val="20"/>
                <w:szCs w:val="20"/>
                <w:u w:val="none"/>
              </w:rPr>
            </w:pPr>
          </w:p>
        </w:tc>
        <w:tc>
          <w:tcPr>
            <w:tcW w:w="2730" w:type="dxa"/>
            <w:vAlign w:val="bottom"/>
          </w:tcPr>
          <w:p>
            <w:pPr>
              <w:rPr>
                <w:rFonts w:hint="default" w:ascii="Arial" w:hAnsi="Arial" w:cs="Arial"/>
                <w:i w:val="0"/>
                <w:color w:val="000000"/>
                <w:sz w:val="20"/>
                <w:szCs w:val="20"/>
                <w:u w:val="none"/>
              </w:rPr>
            </w:pPr>
          </w:p>
        </w:tc>
        <w:tc>
          <w:tcPr>
            <w:tcW w:w="477" w:type="dxa"/>
            <w:vAlign w:val="bottom"/>
          </w:tcPr>
          <w:p>
            <w:pPr>
              <w:rPr>
                <w:rFonts w:hint="default" w:ascii="Arial" w:hAnsi="Arial" w:cs="Arial"/>
                <w:i w:val="0"/>
                <w:color w:val="000000"/>
                <w:sz w:val="20"/>
                <w:szCs w:val="20"/>
                <w:u w:val="none"/>
              </w:rPr>
            </w:pPr>
          </w:p>
        </w:tc>
        <w:tc>
          <w:tcPr>
            <w:tcW w:w="1456" w:type="dxa"/>
            <w:vAlign w:val="bottom"/>
          </w:tcPr>
          <w:p>
            <w:pPr>
              <w:rPr>
                <w:rFonts w:hint="default" w:ascii="Arial" w:hAnsi="Arial" w:cs="Arial"/>
                <w:i w:val="0"/>
                <w:color w:val="000000"/>
                <w:sz w:val="20"/>
                <w:szCs w:val="20"/>
                <w:u w:val="none"/>
              </w:rPr>
            </w:pPr>
          </w:p>
        </w:tc>
        <w:tc>
          <w:tcPr>
            <w:tcW w:w="1456" w:type="dxa"/>
            <w:vAlign w:val="bottom"/>
          </w:tcPr>
          <w:p>
            <w:pPr>
              <w:rPr>
                <w:rFonts w:hint="default" w:ascii="Arial" w:hAnsi="Arial" w:cs="Arial"/>
                <w:i w:val="0"/>
                <w:color w:val="000000"/>
                <w:sz w:val="20"/>
                <w:szCs w:val="20"/>
                <w:u w:val="none"/>
              </w:rPr>
            </w:pPr>
          </w:p>
        </w:tc>
        <w:tc>
          <w:tcPr>
            <w:tcW w:w="3515"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632" w:type="dxa"/>
            <w:gridSpan w:val="7"/>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单位</w:t>
            </w:r>
            <w:r>
              <w:rPr>
                <w:rFonts w:hint="eastAsia" w:ascii="宋体" w:hAnsi="宋体" w:eastAsia="宋体" w:cs="宋体"/>
                <w:i w:val="0"/>
                <w:color w:val="000000"/>
                <w:kern w:val="0"/>
                <w:sz w:val="20"/>
                <w:szCs w:val="20"/>
                <w:u w:val="none"/>
                <w:lang w:val="en-US" w:eastAsia="zh-CN"/>
              </w:rPr>
              <w:t>：许昌市民政局（本级）</w:t>
            </w:r>
          </w:p>
        </w:tc>
        <w:tc>
          <w:tcPr>
            <w:tcW w:w="3515"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51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收     入</w:t>
            </w:r>
          </w:p>
        </w:tc>
        <w:tc>
          <w:tcPr>
            <w:tcW w:w="9634"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45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47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258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金额</w:t>
            </w:r>
          </w:p>
        </w:tc>
        <w:tc>
          <w:tcPr>
            <w:tcW w:w="273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477"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行次</w:t>
            </w:r>
          </w:p>
        </w:tc>
        <w:tc>
          <w:tcPr>
            <w:tcW w:w="145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45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一般公共预算财政拨款</w:t>
            </w:r>
          </w:p>
        </w:tc>
        <w:tc>
          <w:tcPr>
            <w:tcW w:w="84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政府性基金预算财政拨款</w:t>
            </w:r>
          </w:p>
        </w:tc>
        <w:tc>
          <w:tcPr>
            <w:tcW w:w="266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2454"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7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8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73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77"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45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45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4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66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477" w:type="dxa"/>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8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7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477" w:type="dxa"/>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45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849"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2666"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58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1,022.91</w:t>
            </w: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一、一般公共服务支出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33</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二、政府性基金预算财政拨款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58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二、外交支出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34</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三、国有资本经营财政拨款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三、国防支出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四、公共安全支出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五、教育支出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37</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六、科学技术支出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七、文化旅游体育与传媒支出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八、社会保障和就业支出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1,259.45</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1,259.45</w:t>
            </w: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九、卫生健康支出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十、节能环保支出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42</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十一、城乡社区支出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43</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十二、农林水支出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44</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十三、交通运输支出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45</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14</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十四、资源勘探工业信息等支出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46</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十五、商业服务业等支出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十六、金融支出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48</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十七、援助其他地区支出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49</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十八、自然资源海洋气象等支出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50</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十九、住房保障支出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二十、粮油物资储备支出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二十一、国有资本经营预算支出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53</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二十二、灾害防治及应急管理支出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54</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二十三、其他支出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55</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二十四、债务还本支出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56</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二十五、债务付息支出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57</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26</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二十六、抗疫特别国债安排的支出</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58</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本年收入合计</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w:t>
            </w:r>
          </w:p>
        </w:tc>
        <w:tc>
          <w:tcPr>
            <w:tcW w:w="258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1,086.87</w:t>
            </w:r>
          </w:p>
        </w:tc>
        <w:tc>
          <w:tcPr>
            <w:tcW w:w="27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本年支出合计</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59</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1,367.75</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1,303.79</w:t>
            </w:r>
          </w:p>
        </w:tc>
        <w:tc>
          <w:tcPr>
            <w:tcW w:w="84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年初财政拨款结转和结余</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w:t>
            </w:r>
          </w:p>
        </w:tc>
        <w:tc>
          <w:tcPr>
            <w:tcW w:w="258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280.89</w:t>
            </w:r>
          </w:p>
        </w:tc>
        <w:tc>
          <w:tcPr>
            <w:tcW w:w="27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年末财政拨款结转和结余</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60</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一般公共预算财政拨款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w:t>
            </w:r>
          </w:p>
        </w:tc>
        <w:tc>
          <w:tcPr>
            <w:tcW w:w="258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280.89</w:t>
            </w:r>
          </w:p>
        </w:tc>
        <w:tc>
          <w:tcPr>
            <w:tcW w:w="2730"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61</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政府性基金预算财政拨款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62</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国有资本经营预算财政拨款</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w:t>
            </w:r>
          </w:p>
        </w:tc>
        <w:tc>
          <w:tcPr>
            <w:tcW w:w="2582"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730"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w:t>
            </w: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5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49"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45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477" w:type="dxa"/>
            <w:tcBorders>
              <w:bottom w:val="single" w:color="000000" w:sz="12"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w:t>
            </w:r>
          </w:p>
        </w:tc>
        <w:tc>
          <w:tcPr>
            <w:tcW w:w="2582"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1,367.75</w:t>
            </w:r>
          </w:p>
        </w:tc>
        <w:tc>
          <w:tcPr>
            <w:tcW w:w="27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总计</w:t>
            </w:r>
          </w:p>
        </w:tc>
        <w:tc>
          <w:tcPr>
            <w:tcW w:w="477"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64</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1,367.75</w:t>
            </w:r>
          </w:p>
        </w:tc>
        <w:tc>
          <w:tcPr>
            <w:tcW w:w="145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1,303.79</w:t>
            </w:r>
          </w:p>
        </w:tc>
        <w:tc>
          <w:tcPr>
            <w:tcW w:w="849"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266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5147" w:type="dxa"/>
            <w:gridSpan w:val="9"/>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w:t>
            </w:r>
            <w:r>
              <w:rPr>
                <w:rFonts w:hint="eastAsia" w:ascii="宋体" w:hAnsi="宋体" w:cs="宋体"/>
                <w:i w:val="0"/>
                <w:color w:val="000000"/>
                <w:kern w:val="0"/>
                <w:sz w:val="22"/>
                <w:szCs w:val="22"/>
                <w:u w:val="none"/>
                <w:lang w:val="en-US" w:eastAsia="zh-CN"/>
              </w:rPr>
              <w:t>单位</w:t>
            </w:r>
            <w:r>
              <w:rPr>
                <w:rFonts w:hint="eastAsia" w:ascii="宋体" w:hAnsi="宋体" w:eastAsia="宋体" w:cs="宋体"/>
                <w:i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40"/>
        <w:gridCol w:w="740"/>
        <w:gridCol w:w="768"/>
        <w:gridCol w:w="3930"/>
        <w:gridCol w:w="2850"/>
        <w:gridCol w:w="276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038" w:type="dxa"/>
            <w:gridSpan w:val="7"/>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40" w:type="dxa"/>
            <w:vAlign w:val="bottom"/>
          </w:tcPr>
          <w:p>
            <w:pPr>
              <w:rPr>
                <w:rFonts w:hint="eastAsia" w:ascii="Arial" w:hAnsi="Arial" w:cs="Arial"/>
                <w:i w:val="0"/>
                <w:color w:val="000000"/>
                <w:sz w:val="20"/>
                <w:szCs w:val="20"/>
                <w:u w:val="none"/>
              </w:rPr>
            </w:pPr>
          </w:p>
        </w:tc>
        <w:tc>
          <w:tcPr>
            <w:tcW w:w="740" w:type="dxa"/>
            <w:vAlign w:val="bottom"/>
          </w:tcPr>
          <w:p>
            <w:pPr>
              <w:rPr>
                <w:rFonts w:hint="default" w:ascii="Arial" w:hAnsi="Arial" w:cs="Arial"/>
                <w:i w:val="0"/>
                <w:color w:val="000000"/>
                <w:sz w:val="20"/>
                <w:szCs w:val="20"/>
                <w:u w:val="none"/>
              </w:rPr>
            </w:pPr>
          </w:p>
        </w:tc>
        <w:tc>
          <w:tcPr>
            <w:tcW w:w="768" w:type="dxa"/>
            <w:vAlign w:val="bottom"/>
          </w:tcPr>
          <w:p>
            <w:pPr>
              <w:rPr>
                <w:rFonts w:hint="default" w:ascii="Arial" w:hAnsi="Arial" w:cs="Arial"/>
                <w:i w:val="0"/>
                <w:color w:val="000000"/>
                <w:sz w:val="20"/>
                <w:szCs w:val="20"/>
                <w:u w:val="none"/>
              </w:rPr>
            </w:pPr>
          </w:p>
        </w:tc>
        <w:tc>
          <w:tcPr>
            <w:tcW w:w="3930" w:type="dxa"/>
            <w:vAlign w:val="bottom"/>
          </w:tcPr>
          <w:p>
            <w:pPr>
              <w:rPr>
                <w:rFonts w:hint="default" w:ascii="Arial" w:hAnsi="Arial" w:cs="Arial"/>
                <w:i w:val="0"/>
                <w:color w:val="000000"/>
                <w:sz w:val="20"/>
                <w:szCs w:val="20"/>
                <w:u w:val="none"/>
              </w:rPr>
            </w:pPr>
          </w:p>
        </w:tc>
        <w:tc>
          <w:tcPr>
            <w:tcW w:w="2850" w:type="dxa"/>
            <w:vAlign w:val="bottom"/>
          </w:tcPr>
          <w:p>
            <w:pPr>
              <w:rPr>
                <w:rFonts w:hint="default" w:ascii="Arial" w:hAnsi="Arial" w:cs="Arial"/>
                <w:i w:val="0"/>
                <w:color w:val="000000"/>
                <w:sz w:val="20"/>
                <w:szCs w:val="20"/>
                <w:u w:val="none"/>
              </w:rPr>
            </w:pPr>
          </w:p>
        </w:tc>
        <w:tc>
          <w:tcPr>
            <w:tcW w:w="5010"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028" w:type="dxa"/>
            <w:gridSpan w:val="5"/>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单位</w:t>
            </w:r>
            <w:r>
              <w:rPr>
                <w:rFonts w:hint="eastAsia" w:ascii="宋体" w:hAnsi="宋体" w:eastAsia="宋体" w:cs="宋体"/>
                <w:i w:val="0"/>
                <w:color w:val="000000"/>
                <w:kern w:val="0"/>
                <w:sz w:val="20"/>
                <w:szCs w:val="20"/>
                <w:u w:val="none"/>
                <w:lang w:val="en-US" w:eastAsia="zh-CN"/>
              </w:rPr>
              <w:t>：许昌市民政局（本级）</w:t>
            </w:r>
          </w:p>
        </w:tc>
        <w:tc>
          <w:tcPr>
            <w:tcW w:w="5010"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2850"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c>
          <w:tcPr>
            <w:tcW w:w="2760"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393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285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276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225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248"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76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3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76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5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28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76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25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178" w:type="dxa"/>
            <w:gridSpan w:val="4"/>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1,303.79</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1,085.29</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218.50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一般公共服务支出</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20129</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群众团体事务</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2012906</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工会事务</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社会保障和就业支出</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1,259.45</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1,040.95</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20802</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民政管理事务</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928.70</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757.45</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2080201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行政运行</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757.45</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757.45</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2080202</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一般行政管理事务</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171.25</w:t>
            </w:r>
          </w:p>
        </w:tc>
        <w:tc>
          <w:tcPr>
            <w:tcW w:w="2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行政事业单位养老支出</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244.74</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244.74</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行政单位离退休</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205.51</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205.51</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2080505</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机关事业单位基本养老保险缴费支出</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39.23</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39.23</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抚恤</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2080801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死亡抚恤</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20820</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临时救助</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2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2082001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临时救助支出</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c>
          <w:tcPr>
            <w:tcW w:w="2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卫生健康支出</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行政事业单位医疗</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41.17</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2101101</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行政单位医疗</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18.88</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18.88</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2101103</w:t>
            </w:r>
          </w:p>
        </w:tc>
        <w:tc>
          <w:tcPr>
            <w:tcW w:w="393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公务员医疗补助</w:t>
            </w:r>
          </w:p>
        </w:tc>
        <w:tc>
          <w:tcPr>
            <w:tcW w:w="28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22.28</w:t>
            </w:r>
          </w:p>
        </w:tc>
        <w:tc>
          <w:tcPr>
            <w:tcW w:w="276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22.28</w:t>
            </w: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038" w:type="dxa"/>
            <w:gridSpan w:val="7"/>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w:t>
            </w:r>
            <w:r>
              <w:rPr>
                <w:rFonts w:hint="eastAsia" w:ascii="宋体" w:hAnsi="宋体" w:cs="宋体"/>
                <w:i w:val="0"/>
                <w:color w:val="000000"/>
                <w:kern w:val="0"/>
                <w:sz w:val="22"/>
                <w:szCs w:val="22"/>
                <w:u w:val="none"/>
                <w:lang w:val="en-US" w:eastAsia="zh-CN"/>
              </w:rPr>
              <w:t>单位</w:t>
            </w:r>
            <w:r>
              <w:rPr>
                <w:rFonts w:hint="eastAsia" w:ascii="宋体" w:hAnsi="宋体" w:eastAsia="宋体" w:cs="宋体"/>
                <w:i w:val="0"/>
                <w:color w:val="000000"/>
                <w:kern w:val="0"/>
                <w:sz w:val="22"/>
                <w:szCs w:val="22"/>
                <w:u w:val="none"/>
                <w:lang w:val="en-US"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6"/>
        <w:gridCol w:w="2815"/>
        <w:gridCol w:w="904"/>
        <w:gridCol w:w="912"/>
        <w:gridCol w:w="1643"/>
        <w:gridCol w:w="1016"/>
        <w:gridCol w:w="1041"/>
        <w:gridCol w:w="2539"/>
        <w:gridCol w:w="2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560" w:type="dxa"/>
            <w:gridSpan w:val="9"/>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96" w:type="dxa"/>
            <w:vAlign w:val="bottom"/>
          </w:tcPr>
          <w:p>
            <w:pPr>
              <w:rPr>
                <w:rFonts w:hint="eastAsia" w:ascii="Arial" w:hAnsi="Arial" w:cs="Arial"/>
                <w:i w:val="0"/>
                <w:color w:val="000000"/>
                <w:sz w:val="20"/>
                <w:szCs w:val="20"/>
                <w:u w:val="none"/>
              </w:rPr>
            </w:pPr>
          </w:p>
        </w:tc>
        <w:tc>
          <w:tcPr>
            <w:tcW w:w="2815" w:type="dxa"/>
            <w:vAlign w:val="bottom"/>
          </w:tcPr>
          <w:p>
            <w:pPr>
              <w:rPr>
                <w:rFonts w:hint="default" w:ascii="Arial" w:hAnsi="Arial" w:cs="Arial"/>
                <w:i w:val="0"/>
                <w:color w:val="000000"/>
                <w:sz w:val="20"/>
                <w:szCs w:val="20"/>
                <w:u w:val="none"/>
              </w:rPr>
            </w:pPr>
          </w:p>
        </w:tc>
        <w:tc>
          <w:tcPr>
            <w:tcW w:w="904" w:type="dxa"/>
            <w:vAlign w:val="bottom"/>
          </w:tcPr>
          <w:p>
            <w:pPr>
              <w:rPr>
                <w:rFonts w:hint="default" w:ascii="Arial" w:hAnsi="Arial" w:cs="Arial"/>
                <w:i w:val="0"/>
                <w:color w:val="000000"/>
                <w:sz w:val="20"/>
                <w:szCs w:val="20"/>
                <w:u w:val="none"/>
              </w:rPr>
            </w:pPr>
          </w:p>
        </w:tc>
        <w:tc>
          <w:tcPr>
            <w:tcW w:w="912" w:type="dxa"/>
            <w:vAlign w:val="bottom"/>
          </w:tcPr>
          <w:p>
            <w:pPr>
              <w:rPr>
                <w:rFonts w:hint="default" w:ascii="Arial" w:hAnsi="Arial" w:cs="Arial"/>
                <w:i w:val="0"/>
                <w:color w:val="000000"/>
                <w:sz w:val="20"/>
                <w:szCs w:val="20"/>
                <w:u w:val="none"/>
              </w:rPr>
            </w:pPr>
          </w:p>
        </w:tc>
        <w:tc>
          <w:tcPr>
            <w:tcW w:w="1643" w:type="dxa"/>
            <w:vAlign w:val="bottom"/>
          </w:tcPr>
          <w:p>
            <w:pPr>
              <w:rPr>
                <w:rFonts w:hint="default" w:ascii="Arial" w:hAnsi="Arial" w:cs="Arial"/>
                <w:i w:val="0"/>
                <w:color w:val="000000"/>
                <w:sz w:val="20"/>
                <w:szCs w:val="20"/>
                <w:u w:val="none"/>
              </w:rPr>
            </w:pPr>
          </w:p>
        </w:tc>
        <w:tc>
          <w:tcPr>
            <w:tcW w:w="1016" w:type="dxa"/>
            <w:vAlign w:val="bottom"/>
          </w:tcPr>
          <w:p>
            <w:pPr>
              <w:rPr>
                <w:rFonts w:hint="default" w:ascii="Arial" w:hAnsi="Arial" w:cs="Arial"/>
                <w:i w:val="0"/>
                <w:color w:val="000000"/>
                <w:sz w:val="20"/>
                <w:szCs w:val="20"/>
                <w:u w:val="none"/>
              </w:rPr>
            </w:pPr>
          </w:p>
        </w:tc>
        <w:tc>
          <w:tcPr>
            <w:tcW w:w="1041" w:type="dxa"/>
            <w:vAlign w:val="bottom"/>
          </w:tcPr>
          <w:p>
            <w:pPr>
              <w:rPr>
                <w:rFonts w:hint="default" w:ascii="Arial" w:hAnsi="Arial" w:cs="Arial"/>
                <w:i w:val="0"/>
                <w:color w:val="000000"/>
                <w:sz w:val="20"/>
                <w:szCs w:val="20"/>
                <w:u w:val="none"/>
              </w:rPr>
            </w:pPr>
          </w:p>
        </w:tc>
        <w:tc>
          <w:tcPr>
            <w:tcW w:w="5533"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027" w:type="dxa"/>
            <w:gridSpan w:val="7"/>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单位</w:t>
            </w:r>
            <w:r>
              <w:rPr>
                <w:rFonts w:hint="eastAsia" w:ascii="宋体" w:hAnsi="宋体" w:eastAsia="宋体" w:cs="宋体"/>
                <w:i w:val="0"/>
                <w:color w:val="000000"/>
                <w:kern w:val="0"/>
                <w:sz w:val="20"/>
                <w:szCs w:val="20"/>
                <w:u w:val="none"/>
                <w:lang w:val="en-US" w:eastAsia="zh-CN"/>
              </w:rPr>
              <w:t>：许昌市民政局（本级）</w:t>
            </w:r>
          </w:p>
        </w:tc>
        <w:tc>
          <w:tcPr>
            <w:tcW w:w="5533" w:type="dxa"/>
            <w:gridSpan w:val="2"/>
            <w:vAlign w:val="bottom"/>
          </w:tcPr>
          <w:p>
            <w:pPr>
              <w:widowControl/>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44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w:t>
            </w:r>
          </w:p>
        </w:tc>
        <w:tc>
          <w:tcPr>
            <w:tcW w:w="912" w:type="dxa"/>
            <w:tcBorders>
              <w:top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w:t>
            </w:r>
          </w:p>
        </w:tc>
        <w:tc>
          <w:tcPr>
            <w:tcW w:w="1643"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16"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539"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2994" w:type="dxa"/>
            <w:tcBorders>
              <w:top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281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904"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912"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1643"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016"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c>
          <w:tcPr>
            <w:tcW w:w="1041"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科目编码</w:t>
            </w:r>
          </w:p>
        </w:tc>
        <w:tc>
          <w:tcPr>
            <w:tcW w:w="2539"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2994"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1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0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12"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643"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16"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41"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39"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9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工资福利支出</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714.29</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商品和服务支出</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119.61</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债务利息及费用支出</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30101</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基本工资</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169.80</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30201</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23.01</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30701</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国内债务付息</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30102</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津贴补贴</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320.19</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30202</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印刷费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8.61</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30702</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国外债务付息</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30103</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奖金</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93.29</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30203</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咨询费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资本性支出</w:t>
            </w:r>
          </w:p>
        </w:tc>
        <w:tc>
          <w:tcPr>
            <w:tcW w:w="299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30106</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伙食补助费</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30204</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手续费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31001</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房屋建筑物购建</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30107</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绩效工资</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30205</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水费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31002</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办公设备购置</w:t>
            </w:r>
          </w:p>
        </w:tc>
        <w:tc>
          <w:tcPr>
            <w:tcW w:w="299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30108</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机关事业单位基本养老保险缴费</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36.73</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30206</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电费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31003</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专用设备购置</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30109</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职业年金缴费</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30207</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邮电费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5.20</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31005</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基础设施建设</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30110</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职工基本医疗保险缴费</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20.60</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30208</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取暖费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31006</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大型修缮</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30111</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公务员医疗补助缴费</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19.75</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30209</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物业管理费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31007</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信息网络及软件购置更新</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30112</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其他社会保障缴费</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12.30</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30211</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差旅费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8.96</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31008</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物资储备</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30113</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住房公积金</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39.86</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30212</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因公出国（境）费用</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31009</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土地补偿</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30114</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30213</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维修（护）费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2.90</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31010</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安置补助</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30199</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其他工资福利支出</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1.74</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30214</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租赁费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31011</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地上附着物和青苗补偿</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对个人和家庭的补助</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251.05</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30215</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会议费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0.90</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31012</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拆迁补偿</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30301</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离休费</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35.53</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30216</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培训费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31013</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公务用车购置</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30302</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退休费</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169.98</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30217</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公务接待费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0.69</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31019</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其他交通工具购置</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30303</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退职（役）费</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30218</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专用材料费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31021</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文物和陈列品购置</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30304</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抚恤金</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38.76</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30224</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被装购置费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31022</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无形资产购置</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30305</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生活补助</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6.53</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30225</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专用燃料费</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31099</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其他资本性支出</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30306</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救济费</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30226</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劳务费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1.24</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其他支出</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30307</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医疗费补助</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30227</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委托业务费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15.05</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39906</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赠与</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30308</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助学金</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30228</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工会经费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3.18</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39907</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国家赔偿费用支出</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30309</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奖励金</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0.26</w:t>
            </w: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30229</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福利费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5.17</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39908</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对民间非营利组织和群众性自治组织补贴</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30310</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个人农业生产补贴</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30231</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公务用车运行维护费</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2.04</w:t>
            </w:r>
          </w:p>
        </w:tc>
        <w:tc>
          <w:tcPr>
            <w:tcW w:w="1041"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39999</w:t>
            </w:r>
          </w:p>
        </w:tc>
        <w:tc>
          <w:tcPr>
            <w:tcW w:w="253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其他支出</w:t>
            </w: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30311</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代缴社会保险费</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30239</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其他交通费用</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41.73</w:t>
            </w:r>
          </w:p>
        </w:tc>
        <w:tc>
          <w:tcPr>
            <w:tcW w:w="1041"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53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30399</w:t>
            </w:r>
          </w:p>
        </w:tc>
        <w:tc>
          <w:tcPr>
            <w:tcW w:w="2815"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其他对个人和家庭的补助</w:t>
            </w: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30240</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税金及附加费用</w:t>
            </w:r>
          </w:p>
        </w:tc>
        <w:tc>
          <w:tcPr>
            <w:tcW w:w="1016"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41"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53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96"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815"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90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912"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30299</w:t>
            </w:r>
          </w:p>
        </w:tc>
        <w:tc>
          <w:tcPr>
            <w:tcW w:w="1643"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其他商品和服务支出</w:t>
            </w:r>
          </w:p>
        </w:tc>
        <w:tc>
          <w:tcPr>
            <w:tcW w:w="1016"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0.92</w:t>
            </w:r>
          </w:p>
        </w:tc>
        <w:tc>
          <w:tcPr>
            <w:tcW w:w="1041"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539"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299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511"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人员经费合计</w:t>
            </w:r>
          </w:p>
        </w:tc>
        <w:tc>
          <w:tcPr>
            <w:tcW w:w="90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965.33</w:t>
            </w:r>
          </w:p>
        </w:tc>
        <w:tc>
          <w:tcPr>
            <w:tcW w:w="7151" w:type="dxa"/>
            <w:gridSpan w:val="5"/>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公用经费合计</w:t>
            </w:r>
          </w:p>
        </w:tc>
        <w:tc>
          <w:tcPr>
            <w:tcW w:w="2994"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560" w:type="dxa"/>
            <w:gridSpan w:val="9"/>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w:t>
            </w:r>
            <w:r>
              <w:rPr>
                <w:rFonts w:hint="eastAsia" w:ascii="宋体" w:hAnsi="宋体" w:cs="宋体"/>
                <w:i w:val="0"/>
                <w:color w:val="000000"/>
                <w:kern w:val="0"/>
                <w:sz w:val="22"/>
                <w:szCs w:val="22"/>
                <w:u w:val="none"/>
                <w:lang w:val="en-US" w:eastAsia="zh-CN"/>
              </w:rPr>
              <w:t>单位</w:t>
            </w:r>
            <w:r>
              <w:rPr>
                <w:rFonts w:hint="eastAsia" w:ascii="宋体" w:hAnsi="宋体" w:eastAsia="宋体" w:cs="宋体"/>
                <w:i w:val="0"/>
                <w:color w:val="000000"/>
                <w:kern w:val="0"/>
                <w:sz w:val="22"/>
                <w:szCs w:val="22"/>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5"/>
        <w:gridCol w:w="1140"/>
        <w:gridCol w:w="885"/>
        <w:gridCol w:w="1410"/>
        <w:gridCol w:w="1230"/>
        <w:gridCol w:w="1080"/>
        <w:gridCol w:w="1410"/>
        <w:gridCol w:w="1155"/>
        <w:gridCol w:w="1095"/>
        <w:gridCol w:w="1185"/>
        <w:gridCol w:w="1215"/>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4040" w:type="dxa"/>
            <w:gridSpan w:val="12"/>
            <w:vAlign w:val="bottom"/>
          </w:tcPr>
          <w:p>
            <w:pPr>
              <w:widowControl/>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25" w:type="dxa"/>
            <w:vAlign w:val="bottom"/>
          </w:tcPr>
          <w:p>
            <w:pPr>
              <w:rPr>
                <w:rFonts w:hint="eastAsia" w:ascii="Arial" w:hAnsi="Arial" w:cs="Arial"/>
                <w:i w:val="0"/>
                <w:color w:val="000000"/>
                <w:sz w:val="20"/>
                <w:szCs w:val="20"/>
                <w:u w:val="none"/>
              </w:rPr>
            </w:pPr>
          </w:p>
        </w:tc>
        <w:tc>
          <w:tcPr>
            <w:tcW w:w="1140" w:type="dxa"/>
            <w:vAlign w:val="bottom"/>
          </w:tcPr>
          <w:p>
            <w:pPr>
              <w:rPr>
                <w:rFonts w:hint="default" w:ascii="Arial" w:hAnsi="Arial" w:cs="Arial"/>
                <w:i w:val="0"/>
                <w:color w:val="000000"/>
                <w:sz w:val="20"/>
                <w:szCs w:val="20"/>
                <w:u w:val="none"/>
              </w:rPr>
            </w:pPr>
          </w:p>
        </w:tc>
        <w:tc>
          <w:tcPr>
            <w:tcW w:w="885" w:type="dxa"/>
            <w:vAlign w:val="bottom"/>
          </w:tcPr>
          <w:p>
            <w:pPr>
              <w:rPr>
                <w:rFonts w:hint="default" w:ascii="Arial" w:hAnsi="Arial" w:cs="Arial"/>
                <w:i w:val="0"/>
                <w:color w:val="000000"/>
                <w:sz w:val="20"/>
                <w:szCs w:val="20"/>
                <w:u w:val="none"/>
              </w:rPr>
            </w:pPr>
          </w:p>
        </w:tc>
        <w:tc>
          <w:tcPr>
            <w:tcW w:w="1410" w:type="dxa"/>
            <w:vAlign w:val="bottom"/>
          </w:tcPr>
          <w:p>
            <w:pPr>
              <w:rPr>
                <w:rFonts w:hint="default" w:ascii="Arial" w:hAnsi="Arial" w:cs="Arial"/>
                <w:i w:val="0"/>
                <w:color w:val="000000"/>
                <w:sz w:val="20"/>
                <w:szCs w:val="20"/>
                <w:u w:val="none"/>
              </w:rPr>
            </w:pPr>
          </w:p>
        </w:tc>
        <w:tc>
          <w:tcPr>
            <w:tcW w:w="1230" w:type="dxa"/>
            <w:vAlign w:val="bottom"/>
          </w:tcPr>
          <w:p>
            <w:pPr>
              <w:rPr>
                <w:rFonts w:hint="default" w:ascii="Arial" w:hAnsi="Arial" w:cs="Arial"/>
                <w:i w:val="0"/>
                <w:color w:val="000000"/>
                <w:sz w:val="20"/>
                <w:szCs w:val="20"/>
                <w:u w:val="none"/>
              </w:rPr>
            </w:pPr>
          </w:p>
        </w:tc>
        <w:tc>
          <w:tcPr>
            <w:tcW w:w="1080" w:type="dxa"/>
            <w:vAlign w:val="bottom"/>
          </w:tcPr>
          <w:p>
            <w:pPr>
              <w:rPr>
                <w:rFonts w:hint="default" w:ascii="Arial" w:hAnsi="Arial" w:cs="Arial"/>
                <w:i w:val="0"/>
                <w:color w:val="000000"/>
                <w:sz w:val="20"/>
                <w:szCs w:val="20"/>
                <w:u w:val="none"/>
              </w:rPr>
            </w:pPr>
          </w:p>
        </w:tc>
        <w:tc>
          <w:tcPr>
            <w:tcW w:w="1410" w:type="dxa"/>
            <w:vAlign w:val="bottom"/>
          </w:tcPr>
          <w:p>
            <w:pPr>
              <w:rPr>
                <w:rFonts w:hint="default" w:ascii="Arial" w:hAnsi="Arial" w:cs="Arial"/>
                <w:i w:val="0"/>
                <w:color w:val="000000"/>
                <w:sz w:val="20"/>
                <w:szCs w:val="20"/>
                <w:u w:val="none"/>
              </w:rPr>
            </w:pPr>
          </w:p>
        </w:tc>
        <w:tc>
          <w:tcPr>
            <w:tcW w:w="1155" w:type="dxa"/>
            <w:vAlign w:val="bottom"/>
          </w:tcPr>
          <w:p>
            <w:pPr>
              <w:rPr>
                <w:rFonts w:hint="default" w:ascii="Arial" w:hAnsi="Arial" w:cs="Arial"/>
                <w:i w:val="0"/>
                <w:color w:val="000000"/>
                <w:sz w:val="20"/>
                <w:szCs w:val="20"/>
                <w:u w:val="none"/>
              </w:rPr>
            </w:pPr>
          </w:p>
        </w:tc>
        <w:tc>
          <w:tcPr>
            <w:tcW w:w="1095" w:type="dxa"/>
            <w:vAlign w:val="bottom"/>
          </w:tcPr>
          <w:p>
            <w:pPr>
              <w:rPr>
                <w:rFonts w:hint="default" w:ascii="Arial" w:hAnsi="Arial" w:cs="Arial"/>
                <w:i w:val="0"/>
                <w:color w:val="000000"/>
                <w:sz w:val="20"/>
                <w:szCs w:val="20"/>
                <w:u w:val="none"/>
              </w:rPr>
            </w:pPr>
          </w:p>
        </w:tc>
        <w:tc>
          <w:tcPr>
            <w:tcW w:w="1185" w:type="dxa"/>
            <w:vAlign w:val="bottom"/>
          </w:tcPr>
          <w:p>
            <w:pPr>
              <w:rPr>
                <w:rFonts w:hint="default" w:ascii="Arial" w:hAnsi="Arial" w:cs="Arial"/>
                <w:i w:val="0"/>
                <w:color w:val="000000"/>
                <w:sz w:val="20"/>
                <w:szCs w:val="20"/>
                <w:u w:val="none"/>
              </w:rPr>
            </w:pPr>
          </w:p>
        </w:tc>
        <w:tc>
          <w:tcPr>
            <w:tcW w:w="2625"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1415" w:type="dxa"/>
            <w:gridSpan w:val="10"/>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单位</w:t>
            </w:r>
            <w:r>
              <w:rPr>
                <w:rFonts w:hint="eastAsia" w:ascii="宋体" w:hAnsi="宋体" w:eastAsia="宋体" w:cs="宋体"/>
                <w:i w:val="0"/>
                <w:color w:val="000000"/>
                <w:kern w:val="0"/>
                <w:sz w:val="20"/>
                <w:szCs w:val="20"/>
                <w:u w:val="none"/>
                <w:lang w:val="en-US" w:eastAsia="zh-CN"/>
              </w:rPr>
              <w:t>：许昌市民政局（本级）</w:t>
            </w:r>
          </w:p>
        </w:tc>
        <w:tc>
          <w:tcPr>
            <w:tcW w:w="2625"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6570"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预算数</w:t>
            </w:r>
          </w:p>
        </w:tc>
        <w:tc>
          <w:tcPr>
            <w:tcW w:w="7470" w:type="dxa"/>
            <w:gridSpan w:val="6"/>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2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14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3525" w:type="dxa"/>
            <w:gridSpan w:val="3"/>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108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c>
          <w:tcPr>
            <w:tcW w:w="141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155"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因公出国（境）费</w:t>
            </w:r>
          </w:p>
        </w:tc>
        <w:tc>
          <w:tcPr>
            <w:tcW w:w="3495" w:type="dxa"/>
            <w:gridSpan w:val="3"/>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公务用车购置及运行费</w:t>
            </w:r>
          </w:p>
        </w:tc>
        <w:tc>
          <w:tcPr>
            <w:tcW w:w="141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825"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4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88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41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12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108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41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55"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09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18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公务用车购置费</w:t>
            </w:r>
          </w:p>
        </w:tc>
        <w:tc>
          <w:tcPr>
            <w:tcW w:w="121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公务用车运行费</w:t>
            </w:r>
          </w:p>
        </w:tc>
        <w:tc>
          <w:tcPr>
            <w:tcW w:w="141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2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14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88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41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23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141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115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w:t>
            </w:r>
          </w:p>
        </w:tc>
        <w:tc>
          <w:tcPr>
            <w:tcW w:w="109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9</w:t>
            </w:r>
          </w:p>
        </w:tc>
        <w:tc>
          <w:tcPr>
            <w:tcW w:w="118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1215"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11</w:t>
            </w:r>
          </w:p>
        </w:tc>
        <w:tc>
          <w:tcPr>
            <w:tcW w:w="141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825" w:type="dxa"/>
            <w:tcBorders>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6.00</w:t>
            </w:r>
          </w:p>
        </w:tc>
        <w:tc>
          <w:tcPr>
            <w:tcW w:w="114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88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4.00</w:t>
            </w:r>
          </w:p>
        </w:tc>
        <w:tc>
          <w:tcPr>
            <w:tcW w:w="141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3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4.00</w:t>
            </w:r>
          </w:p>
        </w:tc>
        <w:tc>
          <w:tcPr>
            <w:tcW w:w="108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2.00</w:t>
            </w:r>
          </w:p>
        </w:tc>
        <w:tc>
          <w:tcPr>
            <w:tcW w:w="141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2.73</w:t>
            </w:r>
          </w:p>
        </w:tc>
        <w:tc>
          <w:tcPr>
            <w:tcW w:w="115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09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2.04</w:t>
            </w:r>
          </w:p>
        </w:tc>
        <w:tc>
          <w:tcPr>
            <w:tcW w:w="1185"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1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2.04</w:t>
            </w:r>
          </w:p>
        </w:tc>
        <w:tc>
          <w:tcPr>
            <w:tcW w:w="141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4040" w:type="dxa"/>
            <w:gridSpan w:val="12"/>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w:t>
            </w:r>
            <w:r>
              <w:rPr>
                <w:rFonts w:hint="eastAsia" w:ascii="宋体" w:hAnsi="宋体" w:cs="宋体"/>
                <w:i w:val="0"/>
                <w:color w:val="000000"/>
                <w:kern w:val="0"/>
                <w:sz w:val="22"/>
                <w:szCs w:val="22"/>
                <w:u w:val="none"/>
                <w:lang w:val="en-US" w:eastAsia="zh-CN"/>
              </w:rPr>
              <w:t>单位</w:t>
            </w:r>
            <w:r>
              <w:rPr>
                <w:rFonts w:hint="eastAsia" w:ascii="宋体" w:hAnsi="宋体" w:eastAsia="宋体" w:cs="宋体"/>
                <w:i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7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97"/>
        <w:gridCol w:w="3740"/>
        <w:gridCol w:w="1178"/>
        <w:gridCol w:w="1320"/>
        <w:gridCol w:w="1288"/>
        <w:gridCol w:w="1414"/>
        <w:gridCol w:w="1398"/>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795" w:type="dxa"/>
            <w:gridSpan w:val="8"/>
            <w:vAlign w:val="bottom"/>
          </w:tcPr>
          <w:p>
            <w:pPr>
              <w:widowControl/>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637" w:type="dxa"/>
            <w:gridSpan w:val="6"/>
            <w:vMerge w:val="restart"/>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单位</w:t>
            </w:r>
            <w:r>
              <w:rPr>
                <w:rFonts w:hint="eastAsia" w:ascii="宋体" w:hAnsi="宋体" w:eastAsia="宋体" w:cs="宋体"/>
                <w:i w:val="0"/>
                <w:color w:val="000000"/>
                <w:kern w:val="0"/>
                <w:sz w:val="20"/>
                <w:szCs w:val="20"/>
                <w:u w:val="none"/>
                <w:lang w:val="en-US" w:eastAsia="zh-CN"/>
              </w:rPr>
              <w:t>：许昌市民政局（本级）</w:t>
            </w:r>
          </w:p>
        </w:tc>
        <w:tc>
          <w:tcPr>
            <w:tcW w:w="3158"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637" w:type="dxa"/>
            <w:gridSpan w:val="6"/>
            <w:vMerge w:val="continue"/>
            <w:vAlign w:val="bottom"/>
          </w:tcPr>
          <w:p>
            <w:pPr>
              <w:jc w:val="left"/>
              <w:rPr>
                <w:rFonts w:hint="eastAsia" w:ascii="宋体" w:hAnsi="宋体" w:eastAsia="宋体" w:cs="宋体"/>
                <w:i w:val="0"/>
                <w:color w:val="000000"/>
                <w:sz w:val="20"/>
                <w:szCs w:val="20"/>
                <w:u w:val="none"/>
              </w:rPr>
            </w:pPr>
          </w:p>
        </w:tc>
        <w:tc>
          <w:tcPr>
            <w:tcW w:w="3158" w:type="dxa"/>
            <w:gridSpan w:val="2"/>
            <w:vAlign w:val="bottom"/>
          </w:tcPr>
          <w:p>
            <w:pPr>
              <w:widowControl/>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4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w:t>
            </w:r>
          </w:p>
        </w:tc>
        <w:tc>
          <w:tcPr>
            <w:tcW w:w="1178"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年初结转和结余</w:t>
            </w:r>
          </w:p>
        </w:tc>
        <w:tc>
          <w:tcPr>
            <w:tcW w:w="132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本年收入</w:t>
            </w:r>
          </w:p>
        </w:tc>
        <w:tc>
          <w:tcPr>
            <w:tcW w:w="4100"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本年支出</w:t>
            </w:r>
          </w:p>
        </w:tc>
        <w:tc>
          <w:tcPr>
            <w:tcW w:w="1760"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功能分类科目编码</w:t>
            </w:r>
          </w:p>
        </w:tc>
        <w:tc>
          <w:tcPr>
            <w:tcW w:w="374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科目名称</w:t>
            </w:r>
          </w:p>
        </w:tc>
        <w:tc>
          <w:tcPr>
            <w:tcW w:w="1178"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小计</w:t>
            </w:r>
          </w:p>
        </w:tc>
        <w:tc>
          <w:tcPr>
            <w:tcW w:w="1414"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基本支出</w:t>
            </w:r>
          </w:p>
        </w:tc>
        <w:tc>
          <w:tcPr>
            <w:tcW w:w="1398"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项目支出</w:t>
            </w:r>
          </w:p>
        </w:tc>
        <w:tc>
          <w:tcPr>
            <w:tcW w:w="17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74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78"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41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9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740"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78"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2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28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414"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98" w:type="dxa"/>
            <w:vMerge w:val="continue"/>
            <w:tcBorders>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60" w:type="dxa"/>
            <w:vMerge w:val="continue"/>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43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栏次</w:t>
            </w:r>
          </w:p>
        </w:tc>
        <w:tc>
          <w:tcPr>
            <w:tcW w:w="117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32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28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414"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1398"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176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437"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178"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32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63.96</w:t>
            </w:r>
          </w:p>
        </w:tc>
        <w:tc>
          <w:tcPr>
            <w:tcW w:w="128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63.96</w:t>
            </w:r>
          </w:p>
        </w:tc>
        <w:tc>
          <w:tcPr>
            <w:tcW w:w="1414"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c>
          <w:tcPr>
            <w:tcW w:w="139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63.96</w:t>
            </w:r>
          </w:p>
        </w:tc>
        <w:tc>
          <w:tcPr>
            <w:tcW w:w="1760" w:type="dxa"/>
            <w:tcBorders>
              <w:bottom w:val="single" w:color="000000" w:sz="4" w:space="0"/>
              <w:right w:val="single" w:color="000000" w:sz="4" w:space="0"/>
            </w:tcBorders>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w:t>
            </w:r>
          </w:p>
        </w:tc>
        <w:tc>
          <w:tcPr>
            <w:tcW w:w="374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其他支出</w:t>
            </w:r>
          </w:p>
        </w:tc>
        <w:tc>
          <w:tcPr>
            <w:tcW w:w="117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28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4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9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22960</w:t>
            </w:r>
          </w:p>
        </w:tc>
        <w:tc>
          <w:tcPr>
            <w:tcW w:w="374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彩票公益金安排的支出</w:t>
            </w:r>
          </w:p>
        </w:tc>
        <w:tc>
          <w:tcPr>
            <w:tcW w:w="117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28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4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9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2296002</w:t>
            </w:r>
          </w:p>
        </w:tc>
        <w:tc>
          <w:tcPr>
            <w:tcW w:w="3740"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用于社会福利的彩票公益金支出</w:t>
            </w:r>
          </w:p>
        </w:tc>
        <w:tc>
          <w:tcPr>
            <w:tcW w:w="117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28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4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98"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63.96</w:t>
            </w:r>
          </w:p>
        </w:tc>
        <w:tc>
          <w:tcPr>
            <w:tcW w:w="1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3740"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17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9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3740"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17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9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3740"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17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9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3740"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17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9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697" w:type="dxa"/>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3740" w:type="dxa"/>
            <w:tcBorders>
              <w:bottom w:val="single" w:color="000000" w:sz="4" w:space="0"/>
              <w:right w:val="single" w:color="000000" w:sz="4" w:space="0"/>
            </w:tcBorders>
            <w:vAlign w:val="center"/>
          </w:tcPr>
          <w:p>
            <w:pPr>
              <w:jc w:val="left"/>
              <w:rPr>
                <w:rFonts w:hint="eastAsia" w:ascii="宋体" w:hAnsi="宋体" w:eastAsia="宋体" w:cs="宋体"/>
                <w:i w:val="0"/>
                <w:color w:val="000000"/>
                <w:sz w:val="22"/>
                <w:szCs w:val="22"/>
                <w:u w:val="none"/>
              </w:rPr>
            </w:pPr>
          </w:p>
        </w:tc>
        <w:tc>
          <w:tcPr>
            <w:tcW w:w="117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28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414"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398"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c>
          <w:tcPr>
            <w:tcW w:w="1760" w:type="dxa"/>
            <w:tcBorders>
              <w:bottom w:val="single" w:color="000000" w:sz="4" w:space="0"/>
              <w:right w:val="single" w:color="000000" w:sz="4" w:space="0"/>
            </w:tcBorders>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795" w:type="dxa"/>
            <w:gridSpan w:val="8"/>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注：本表反映</w:t>
            </w:r>
            <w:r>
              <w:rPr>
                <w:rFonts w:hint="eastAsia" w:ascii="宋体" w:hAnsi="宋体" w:cs="宋体"/>
                <w:i w:val="0"/>
                <w:color w:val="000000"/>
                <w:kern w:val="0"/>
                <w:sz w:val="22"/>
                <w:szCs w:val="22"/>
                <w:u w:val="none"/>
                <w:lang w:val="en-US" w:eastAsia="zh-CN"/>
              </w:rPr>
              <w:t>单位</w:t>
            </w:r>
            <w:r>
              <w:rPr>
                <w:rFonts w:hint="eastAsia" w:ascii="宋体" w:hAnsi="宋体" w:eastAsia="宋体" w:cs="宋体"/>
                <w:i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1367.75</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356.19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20.66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我单位本年度预算项目减少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1086.87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1086.87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1367.75</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1085.29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79.35</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282.46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20.65</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1367.75</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356.19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20.66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我单位本年度预算项目减少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1303.79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95.32</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305.40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30.59</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我单位本年度预算项目减少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1303.79</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3.18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占</w:t>
      </w:r>
      <w:r>
        <w:rPr>
          <w:rFonts w:hint="eastAsia" w:ascii="仿宋_GB2312" w:hAnsi="仿宋_GB2312" w:eastAsia="仿宋_GB2312" w:cs="仿宋_GB2312"/>
          <w:sz w:val="32"/>
          <w:szCs w:val="32"/>
          <w:highlight w:val="none"/>
          <w:lang w:val="en-US" w:eastAsia="zh-CN"/>
        </w:rPr>
        <w:t>0.24%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社会保障和就业（类）支出1259.45万元，占96.60%；卫生健康（类）支出41.17万元，占3.16%</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1022.91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1303.79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127.46</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群众团体事务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工会事务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3.18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3.18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决算数与年初预算数不存在差异。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民政管理事务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651.08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757.45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116.34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有上年结转结余资金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民政管理事务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一般行政管理事务</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171.25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有上年结转结余资金</w:t>
      </w:r>
      <w:r>
        <w:rPr>
          <w:rFonts w:hint="eastAsia" w:ascii="仿宋_GB2312" w:hAnsi="仿宋_GB2312" w:eastAsia="仿宋_GB2312" w:cs="仿宋_GB2312"/>
          <w:sz w:val="32"/>
          <w:szCs w:val="32"/>
          <w:highlight w:val="none"/>
        </w:rPr>
        <w:t>。</w:t>
      </w:r>
    </w:p>
    <w:p>
      <w:pPr>
        <w:widowControl/>
        <w:spacing w:line="590" w:lineRule="exact"/>
        <w:ind w:firstLine="640" w:firstLineChars="200"/>
        <w:rPr>
          <w:rFonts w:hint="eastAsia" w:ascii="仿宋_GB2312" w:hAnsi="仿宋_GB2312" w:eastAsia="仿宋_GB2312" w:cs="仿宋_GB2312"/>
          <w:sz w:val="32"/>
          <w:szCs w:val="32"/>
          <w:highlight w:val="none"/>
        </w:rPr>
      </w:pP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203.85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205.51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100.81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退休人员增加。</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39.45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39.23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99.44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增加退休人员</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抚恤（款）死亡抚恤</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38.76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有上年结转结余资金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临时救助（款）临时救助支出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47.25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有上年结转结余资金</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行政事业单位医疗（款）行政单位医疗</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93.28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增加退休人员</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卫生健康支出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行政事业单位医疗（款）公务员医疗补助</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19.28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22.28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115.56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有上年结转结余资金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ab/>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1085.29</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965.33</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US"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住房公积金、</w:t>
      </w:r>
      <w:r>
        <w:rPr>
          <w:rFonts w:hint="eastAsia" w:ascii="仿宋_GB2312" w:hAnsi="仿宋_GB2312" w:eastAsia="仿宋_GB2312" w:cs="仿宋_GB2312"/>
          <w:sz w:val="32"/>
          <w:szCs w:val="32"/>
          <w:highlight w:val="none"/>
        </w:rPr>
        <w:t>其他工资福利支出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离休费、退休费、抚恤金、生活补助、奖励金；公用经费</w:t>
      </w:r>
      <w:r>
        <w:rPr>
          <w:rFonts w:hint="eastAsia" w:ascii="仿宋_GB2312" w:hAnsi="仿宋_GB2312" w:eastAsia="仿宋_GB2312" w:cs="仿宋_GB2312"/>
          <w:sz w:val="32"/>
          <w:szCs w:val="32"/>
          <w:highlight w:val="none"/>
          <w:lang w:val="en-US" w:eastAsia="zh-CN"/>
        </w:rPr>
        <w:t>119.96</w:t>
      </w:r>
      <w:r>
        <w:rPr>
          <w:rFonts w:hint="eastAsia" w:ascii="仿宋_GB2312" w:hAnsi="仿宋_GB2312" w:eastAsia="仿宋_GB2312" w:cs="仿宋_GB2312"/>
          <w:sz w:val="32"/>
          <w:szCs w:val="32"/>
          <w:highlight w:val="none"/>
        </w:rPr>
        <w:t>万元，主要包括：办公费、印刷费、邮电费、差旅费、维修（护）费、会议费、公务接待费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劳务费、委托业务费、工会经费、福利费、公务用车运行维护费、其他交通费用、其他商品和服务支出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办公设备购置</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6.00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2.73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45.50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公车出行任务和本年度接待任务较少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2.04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51.00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74.73</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0.69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34.50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25.27</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51.00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我单位本年度公车出行任务减少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b w:val="0"/>
          <w:bCs w:val="0"/>
          <w:sz w:val="32"/>
          <w:szCs w:val="32"/>
          <w:highlight w:val="none"/>
          <w:lang w:val="en-US" w:eastAsia="zh-CN"/>
        </w:rPr>
        <w:t>2.04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bCs/>
          <w:sz w:val="32"/>
          <w:szCs w:val="32"/>
          <w:lang w:val="zh-CN"/>
        </w:rPr>
        <w:t>公务用车加油、保养、保险等费用</w:t>
      </w:r>
      <w:r>
        <w:rPr>
          <w:rFonts w:hint="eastAsia" w:ascii="仿宋_GB2312" w:eastAsia="仿宋_GB2312" w:cs="仿宋_GB2312"/>
          <w:sz w:val="32"/>
          <w:szCs w:val="32"/>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0.69</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34.50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我单位本年度接待任务少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b w:val="0"/>
          <w:bCs w:val="0"/>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b w:val="0"/>
          <w:bCs w:val="0"/>
          <w:sz w:val="32"/>
          <w:szCs w:val="32"/>
          <w:highlight w:val="none"/>
          <w:lang w:val="en-US" w:eastAsia="zh-CN"/>
        </w:rPr>
        <w:t>0.69</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接待人员用餐</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个、来宾人</w:t>
      </w:r>
      <w:r>
        <w:rPr>
          <w:rFonts w:hint="eastAsia" w:ascii="仿宋_GB2312" w:hAnsi="仿宋_GB2312" w:eastAsia="仿宋_GB2312" w:cs="仿宋_GB2312"/>
          <w:sz w:val="32"/>
          <w:szCs w:val="32"/>
          <w:highlight w:val="none"/>
          <w:lang w:val="en-US" w:eastAsia="zh-CN"/>
        </w:rPr>
        <w:t>67</w:t>
      </w:r>
      <w:r>
        <w:rPr>
          <w:rFonts w:hint="eastAsia" w:ascii="仿宋_GB2312" w:hAnsi="仿宋_GB2312" w:eastAsia="仿宋_GB2312" w:cs="仿宋_GB2312"/>
          <w:sz w:val="32"/>
          <w:szCs w:val="32"/>
          <w:highlight w:val="none"/>
        </w:rPr>
        <w:t>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63.96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63.96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。主要用于福彩公益金专项支出，不存在项目年末结转和结余金额较大。</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109.42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119.96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109.63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有上年结转结余资金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274.84</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1.74</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273.1</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bookmarkStart w:id="0" w:name="_GoBack"/>
      <w:bookmarkEnd w:id="0"/>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全年开展了预算绩效管理方面的工作，制定了预算绩效管理制度，进行了预算绩效管理培训和宣传。2021年我单位纳入预算绩效管理的支出总额为1367.75万元，其中：基本支出1085.29万元；支出项目5个，支出金额282.46万元。开展项目绩效自评项目5个，自评金额282.46万元；纳入重点绩效评价0个，评价金额0.00万元。</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对单位整体绩效自评情况资金管理情况良好；本年度年收入超预计目标，预算和财务管理持续严格高效地完成，对各项支出的绩效坚持及时客观地评价。二是项目绩效自评情况。我单位共有5个项目批复了绩效目标，项目金额 282.46万元。</w:t>
      </w:r>
    </w:p>
    <w:p>
      <w:pPr>
        <w:widowControl/>
        <w:wordWrap/>
        <w:adjustRightInd/>
        <w:snapToGrid/>
        <w:spacing w:line="360" w:lineRule="auto"/>
        <w:ind w:left="0" w:leftChars="0" w:right="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85分。其中：2个项目评价等级为“优”、3个项目评价等级为“良”。0个项目评价等级为“中”、0个项目评价等级为“差”。</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WcsPGAQAAkgMAAA4AAABkcnMvZTJvRG9jLnhtbK1TzY7TMBC+I/EO&#10;lu80aQ9QRU1XK1W7QkKw0sIDuI7TWPKfZtwmfQF4A05cuPNcfQ7GTtKF5bIHLsnMePLN932ebG4G&#10;a9hJAWrvar5clJwpJ32j3aHmXz7fvVlzhlG4RhjvVM3PCvnN9vWrTR8qtfKdN40CRiAOqz7UvIsx&#10;VEWBslNW4MIH5eiw9WBFpBQORQOiJ3RrilVZvi16D00ALxUiVXfjIZ8Q4SWAvm21VDsvj1a5OKKC&#10;MiKSJOx0QL7NbNtWyfipbVFFZmpOSmN+0hCK9+lZbDeiOoAInZYTBfESCs80WaEdDb1C7UQU7Aj6&#10;HyirJXj0bVxIb4tRSHaEVCzLZ948diKorIWsxnA1Hf8frPx4egCmG9oEzpywdOGX798uP35dfn5l&#10;y3L1LjnUB6yo8TE8wJQhhUnu0IJNbxLChuzq+eqqGiKTVFyuV+t1SYZLOpsTwimePg+A8V55y1JQ&#10;c6Bry26K0weMY+vckqY5f6eNobqojPurQJipUiTGI8cUxWE/TMT3vjmT4J5uvOaOFpwz896RoWk5&#10;5gDmYD8HxwD60BG1ZeaF4fYYiUTmliaMsNNguqqsblqrtAt/5rnr6Vfa/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dZyw8YBAACSAwAADgAAAAAAAAABACAAAAAfAQAAZHJzL2Uyb0RvYy54&#10;bWxQSwUGAAAAAAYABgBZAQAAVwUAAAAA&#10;">
              <v:fill on="f" focussize="0,0"/>
              <v:stroke on="f"/>
              <v:imagedata o:title=""/>
              <o:lock v:ext="edit" aspectratio="f"/>
              <v:textbox inset="0mm,0mm,0mm,0mm" style="mso-fit-shape-to-text:t;">
                <w:txbxContent>
                  <w:p>
                    <w:pPr>
                      <w:rPr>
                        <w:rFonts w:hint="eastAsia"/>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naV0DEAQAAjwMAAA4AAABkcnMvZTJvRG9jLnhtbK1TzY7TMBC+I/EO&#10;lu80aZG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1fc+aEpQu//Ph++fn78usb&#10;e5v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HnaV0D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2MzhhNjgyMzc5MGRhZmM0YmUwNDcyMmNmMjQzZjYifQ=="/>
    <w:docVar w:name="KSO_WPS_MARK_KEY" w:val="30353cb8-c58b-4bd9-abf5-b4082882d974"/>
  </w:docVars>
  <w:rsids>
    <w:rsidRoot w:val="00000000"/>
    <w:rsid w:val="03995719"/>
    <w:rsid w:val="08DD1228"/>
    <w:rsid w:val="09D97029"/>
    <w:rsid w:val="0DBC23AD"/>
    <w:rsid w:val="0EBB70C4"/>
    <w:rsid w:val="102008B9"/>
    <w:rsid w:val="1043458C"/>
    <w:rsid w:val="110F6137"/>
    <w:rsid w:val="19803D7C"/>
    <w:rsid w:val="1A4753CD"/>
    <w:rsid w:val="1B331545"/>
    <w:rsid w:val="1B615C96"/>
    <w:rsid w:val="1C6D03C0"/>
    <w:rsid w:val="1E146B1F"/>
    <w:rsid w:val="22706D92"/>
    <w:rsid w:val="29162EE7"/>
    <w:rsid w:val="308B47AC"/>
    <w:rsid w:val="3A994165"/>
    <w:rsid w:val="3C185977"/>
    <w:rsid w:val="3DAF4CBA"/>
    <w:rsid w:val="3E9A1F4F"/>
    <w:rsid w:val="400362B9"/>
    <w:rsid w:val="41676765"/>
    <w:rsid w:val="42960AB1"/>
    <w:rsid w:val="531604C1"/>
    <w:rsid w:val="58794A5B"/>
    <w:rsid w:val="5AEE3D49"/>
    <w:rsid w:val="62245ACF"/>
    <w:rsid w:val="6A4520F9"/>
    <w:rsid w:val="6B6309CB"/>
    <w:rsid w:val="6BA73908"/>
    <w:rsid w:val="77584FB3"/>
    <w:rsid w:val="7D681A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widowControl w:val="0"/>
      <w:suppressLineNumbers w:val="0"/>
      <w:spacing w:before="260" w:beforeAutospacing="0" w:after="260" w:afterAutospacing="0" w:line="412" w:lineRule="auto"/>
      <w:jc w:val="both"/>
      <w:outlineLvl w:val="1"/>
    </w:pPr>
    <w:rPr>
      <w:rFonts w:hint="default" w:ascii="Arial" w:hAnsi="Arial" w:eastAsia="黑体" w:cs="宋体"/>
      <w:b/>
      <w:bCs/>
      <w:kern w:val="2"/>
      <w:sz w:val="32"/>
      <w:szCs w:val="32"/>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Char"/>
    <w:link w:val="3"/>
    <w:qFormat/>
    <w:uiPriority w:val="99"/>
    <w:rPr>
      <w:kern w:val="2"/>
      <w:sz w:val="18"/>
      <w:szCs w:val="18"/>
    </w:rPr>
  </w:style>
  <w:style w:type="character" w:customStyle="1" w:styleId="11">
    <w:name w:val="页脚 Char Char"/>
    <w:link w:val="4"/>
    <w:qFormat/>
    <w:uiPriority w:val="99"/>
    <w:rPr>
      <w:kern w:val="2"/>
      <w:sz w:val="18"/>
      <w:szCs w:val="18"/>
    </w:rPr>
  </w:style>
  <w:style w:type="character" w:customStyle="1" w:styleId="12">
    <w:name w:val="页眉 Char Char"/>
    <w:link w:val="5"/>
    <w:qFormat/>
    <w:uiPriority w:val="99"/>
    <w:rPr>
      <w:kern w:val="2"/>
      <w:sz w:val="18"/>
      <w:szCs w:val="18"/>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41"/>
    <w:qFormat/>
    <w:uiPriority w:val="0"/>
    <w:rPr>
      <w:rFonts w:hint="eastAsia" w:ascii="宋体" w:hAnsi="宋体" w:eastAsia="宋体" w:cs="宋体"/>
      <w:color w:val="000000"/>
      <w:sz w:val="24"/>
      <w:szCs w:val="24"/>
      <w:u w:val="none"/>
    </w:rPr>
  </w:style>
  <w:style w:type="character" w:customStyle="1" w:styleId="15">
    <w:name w:val="font2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8351</Words>
  <Characters>10685</Characters>
  <Lines>60</Lines>
  <Paragraphs>16</Paragraphs>
  <TotalTime>0</TotalTime>
  <ScaleCrop>false</ScaleCrop>
  <LinksUpToDate>false</LinksUpToDate>
  <CharactersWithSpaces>10926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载入中. . .</cp:lastModifiedBy>
  <cp:lastPrinted>2018-07-24T10:50:00Z</cp:lastPrinted>
  <dcterms:modified xsi:type="dcterms:W3CDTF">2023-09-12T10:09:24Z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4FB1C3C323D04FB8A6A3A6F8E8270049_13</vt:lpwstr>
  </property>
</Properties>
</file>