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rPr>
          <w:rFonts w:hint="eastAsia" w:ascii="黑体" w:hAnsi="黑体" w:eastAsia="黑体" w:cs="黑体"/>
          <w:sz w:val="52"/>
          <w:szCs w:val="52"/>
        </w:rPr>
      </w:pPr>
      <w:r>
        <w:rPr>
          <w:rFonts w:hint="eastAsia" w:ascii="黑体" w:hAnsi="黑体" w:eastAsia="黑体" w:cs="黑体"/>
          <w:sz w:val="52"/>
          <w:szCs w:val="52"/>
        </w:rPr>
        <w:t>2021年度</w:t>
      </w:r>
      <w:r>
        <w:rPr>
          <w:rFonts w:hint="eastAsia" w:ascii="黑体" w:hAnsi="黑体" w:eastAsia="黑体" w:cs="黑体"/>
          <w:sz w:val="52"/>
          <w:szCs w:val="52"/>
          <w:lang w:val="en-US" w:eastAsia="zh-CN"/>
        </w:rPr>
        <w:t xml:space="preserve">                        </w:t>
      </w:r>
      <w:r>
        <w:rPr>
          <w:rFonts w:hint="eastAsia" w:ascii="黑体" w:hAnsi="黑体" w:eastAsia="黑体" w:cs="黑体"/>
          <w:sz w:val="52"/>
          <w:szCs w:val="52"/>
          <w:lang w:eastAsia="zh-CN"/>
        </w:rPr>
        <w:t>许昌市</w:t>
      </w:r>
      <w:r>
        <w:rPr>
          <w:rFonts w:hint="eastAsia" w:ascii="黑体" w:hAnsi="黑体" w:eastAsia="黑体" w:cs="黑体"/>
          <w:sz w:val="52"/>
          <w:szCs w:val="52"/>
        </w:rPr>
        <w:t>机关公务用车服务中心</w:t>
      </w:r>
      <w:r>
        <w:rPr>
          <w:rFonts w:hint="eastAsia" w:ascii="黑体" w:hAnsi="黑体" w:eastAsia="黑体" w:cs="黑体"/>
          <w:sz w:val="52"/>
          <w:szCs w:val="52"/>
          <w:lang w:val="en-US" w:eastAsia="zh-CN"/>
        </w:rPr>
        <w:t xml:space="preserve">      单位</w:t>
      </w:r>
      <w:r>
        <w:rPr>
          <w:rFonts w:hint="eastAsia" w:ascii="黑体" w:hAnsi="黑体" w:eastAsia="黑体" w:cs="黑体"/>
          <w:sz w:val="52"/>
          <w:szCs w:val="52"/>
        </w:rPr>
        <w:t>决算</w:t>
      </w: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二〇二二年九月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w:t>
      </w:r>
      <w:r>
        <w:rPr>
          <w:rFonts w:hint="eastAsia" w:ascii="黑体" w:hAnsi="黑体" w:eastAsia="黑体" w:cs="黑体"/>
          <w:sz w:val="32"/>
          <w:szCs w:val="32"/>
          <w:lang w:eastAsia="zh-CN"/>
        </w:rPr>
        <w:t>许昌市</w:t>
      </w:r>
      <w:r>
        <w:rPr>
          <w:rFonts w:hint="eastAsia" w:ascii="黑体" w:hAnsi="黑体" w:eastAsia="黑体" w:cs="黑体"/>
          <w:sz w:val="32"/>
          <w:szCs w:val="32"/>
        </w:rPr>
        <w:t>机关公务用车服务中心概况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lang w:eastAsia="zh-CN"/>
        </w:rPr>
        <w:t>单位</w:t>
      </w:r>
      <w:r>
        <w:rPr>
          <w:rFonts w:hint="eastAsia" w:ascii="宋体" w:hAnsi="宋体" w:cs="宋体"/>
          <w:sz w:val="32"/>
          <w:szCs w:val="32"/>
        </w:rPr>
        <w:t>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2021年度</w:t>
      </w:r>
      <w:r>
        <w:rPr>
          <w:rFonts w:hint="eastAsia" w:ascii="黑体" w:hAnsi="黑体" w:eastAsia="黑体" w:cs="黑体"/>
          <w:sz w:val="32"/>
          <w:szCs w:val="32"/>
          <w:lang w:eastAsia="zh-CN"/>
        </w:rPr>
        <w:t>单位</w:t>
      </w:r>
      <w:r>
        <w:rPr>
          <w:rFonts w:hint="eastAsia" w:ascii="黑体" w:hAnsi="黑体" w:eastAsia="黑体" w:cs="黑体"/>
          <w:sz w:val="32"/>
          <w:szCs w:val="32"/>
        </w:rPr>
        <w:t>决算表</w:t>
      </w:r>
    </w:p>
    <w:p>
      <w:pPr>
        <w:ind w:firstLine="640" w:firstLineChars="200"/>
        <w:jc w:val="left"/>
        <w:rPr>
          <w:rFonts w:ascii="宋体" w:hAnsi="宋体" w:cs="宋体"/>
          <w:sz w:val="32"/>
          <w:szCs w:val="32"/>
        </w:rPr>
      </w:pPr>
      <w:r>
        <w:rPr>
          <w:rFonts w:hint="eastAsia" w:ascii="宋体" w:hAnsi="宋体" w:cs="宋体"/>
          <w:sz w:val="32"/>
          <w:szCs w:val="32"/>
        </w:rPr>
        <w:t>一、收入支出决算总表</w:t>
      </w:r>
    </w:p>
    <w:p>
      <w:pPr>
        <w:ind w:firstLine="640" w:firstLineChars="200"/>
        <w:jc w:val="left"/>
        <w:rPr>
          <w:rFonts w:ascii="宋体" w:hAnsi="宋体" w:cs="宋体"/>
          <w:sz w:val="32"/>
          <w:szCs w:val="32"/>
        </w:rPr>
      </w:pPr>
      <w:r>
        <w:rPr>
          <w:rFonts w:hint="eastAsia" w:ascii="宋体" w:hAnsi="宋体" w:cs="宋体"/>
          <w:sz w:val="32"/>
          <w:szCs w:val="32"/>
        </w:rPr>
        <w:t>二、收入决算表</w:t>
      </w:r>
    </w:p>
    <w:p>
      <w:pPr>
        <w:ind w:firstLine="640" w:firstLineChars="200"/>
        <w:jc w:val="left"/>
        <w:rPr>
          <w:rFonts w:hint="eastAsia" w:ascii="宋体" w:hAnsi="宋体" w:cs="宋体"/>
          <w:sz w:val="32"/>
          <w:szCs w:val="32"/>
        </w:rPr>
      </w:pPr>
      <w:r>
        <w:rPr>
          <w:rFonts w:hint="eastAsia" w:ascii="宋体" w:hAnsi="宋体" w:cs="宋体"/>
          <w:sz w:val="32"/>
          <w:szCs w:val="32"/>
        </w:rPr>
        <w:t>三、支出决算表</w:t>
      </w:r>
    </w:p>
    <w:p>
      <w:pPr>
        <w:ind w:firstLine="640" w:firstLineChars="200"/>
        <w:jc w:val="left"/>
        <w:rPr>
          <w:rFonts w:hint="eastAsia" w:ascii="宋体" w:hAnsi="宋体" w:cs="宋体"/>
          <w:sz w:val="32"/>
          <w:szCs w:val="32"/>
        </w:rPr>
      </w:pPr>
      <w:r>
        <w:rPr>
          <w:rFonts w:hint="eastAsia" w:ascii="宋体" w:hAnsi="宋体" w:cs="宋体"/>
          <w:sz w:val="32"/>
          <w:szCs w:val="32"/>
        </w:rPr>
        <w:t>四、财政拨款收入支出决算总表</w:t>
      </w:r>
    </w:p>
    <w:p>
      <w:pPr>
        <w:ind w:firstLine="640" w:firstLineChars="200"/>
        <w:jc w:val="left"/>
        <w:rPr>
          <w:rFonts w:hint="eastAsia" w:ascii="宋体" w:hAnsi="宋体" w:cs="宋体"/>
          <w:sz w:val="32"/>
          <w:szCs w:val="32"/>
        </w:rPr>
      </w:pPr>
      <w:r>
        <w:rPr>
          <w:rFonts w:hint="eastAsia" w:ascii="宋体" w:hAnsi="宋体" w:cs="宋体"/>
          <w:sz w:val="32"/>
          <w:szCs w:val="32"/>
        </w:rPr>
        <w:t>五、一般公共预算财政拨款支出决算表</w:t>
      </w:r>
    </w:p>
    <w:p>
      <w:pPr>
        <w:ind w:firstLine="640" w:firstLineChars="200"/>
        <w:jc w:val="left"/>
        <w:rPr>
          <w:rFonts w:hint="eastAsia" w:ascii="宋体" w:hAnsi="宋体" w:cs="宋体"/>
          <w:sz w:val="32"/>
          <w:szCs w:val="32"/>
        </w:rPr>
      </w:pPr>
      <w:r>
        <w:rPr>
          <w:rFonts w:hint="eastAsia" w:ascii="宋体" w:hAnsi="宋体" w:cs="宋体"/>
          <w:sz w:val="32"/>
          <w:szCs w:val="32"/>
        </w:rPr>
        <w:t>六、一般公共预算财政拨款基本支出决算表</w:t>
      </w:r>
    </w:p>
    <w:p>
      <w:pPr>
        <w:ind w:firstLine="640" w:firstLineChars="200"/>
        <w:jc w:val="left"/>
        <w:rPr>
          <w:rFonts w:hint="eastAsia" w:ascii="宋体" w:hAnsi="宋体" w:cs="宋体"/>
          <w:sz w:val="32"/>
          <w:szCs w:val="32"/>
        </w:rPr>
      </w:pPr>
      <w:r>
        <w:rPr>
          <w:rFonts w:hint="eastAsia" w:ascii="宋体" w:hAnsi="宋体" w:cs="宋体"/>
          <w:sz w:val="32"/>
          <w:szCs w:val="32"/>
        </w:rPr>
        <w:t>七、一般公共预算财政拨款“三公”经费支出决算表</w:t>
      </w:r>
    </w:p>
    <w:p>
      <w:pPr>
        <w:ind w:firstLine="640" w:firstLineChars="200"/>
        <w:jc w:val="left"/>
        <w:rPr>
          <w:rFonts w:hint="eastAsia" w:ascii="宋体" w:hAnsi="宋体" w:cs="宋体"/>
          <w:sz w:val="32"/>
          <w:szCs w:val="32"/>
        </w:rPr>
      </w:pPr>
      <w:r>
        <w:rPr>
          <w:rFonts w:hint="eastAsia" w:ascii="宋体" w:hAnsi="宋体" w:cs="宋体"/>
          <w:sz w:val="32"/>
          <w:szCs w:val="32"/>
        </w:rPr>
        <w:t>八、政府性基金预算财政拨款收入支出决算表</w:t>
      </w:r>
    </w:p>
    <w:p>
      <w:pPr>
        <w:jc w:val="left"/>
        <w:rPr>
          <w:rFonts w:hint="eastAsia" w:ascii="黑体" w:hAnsi="黑体" w:eastAsia="黑体" w:cs="黑体"/>
          <w:sz w:val="32"/>
          <w:szCs w:val="32"/>
        </w:rPr>
      </w:pPr>
      <w:r>
        <w:rPr>
          <w:rFonts w:hint="eastAsia" w:ascii="黑体" w:hAnsi="黑体" w:eastAsia="黑体" w:cs="黑体"/>
          <w:sz w:val="32"/>
          <w:szCs w:val="32"/>
        </w:rPr>
        <w:t>第三部分　　2021年度</w:t>
      </w:r>
      <w:r>
        <w:rPr>
          <w:rFonts w:hint="eastAsia" w:ascii="黑体" w:hAnsi="黑体" w:eastAsia="黑体" w:cs="黑体"/>
          <w:sz w:val="32"/>
          <w:szCs w:val="32"/>
          <w:lang w:eastAsia="zh-CN"/>
        </w:rPr>
        <w:t>单位</w:t>
      </w:r>
      <w:r>
        <w:rPr>
          <w:rFonts w:hint="eastAsia" w:ascii="黑体" w:hAnsi="黑体" w:eastAsia="黑体" w:cs="黑体"/>
          <w:sz w:val="32"/>
          <w:szCs w:val="32"/>
        </w:rPr>
        <w:t>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二、收入决算情况说明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三、支出决算情况说明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lang w:eastAsia="zh-CN"/>
        </w:rPr>
        <w:t>八</w:t>
      </w:r>
      <w:r>
        <w:rPr>
          <w:rFonts w:hint="eastAsia" w:ascii="宋体" w:hAnsi="宋体" w:cs="宋体"/>
          <w:sz w:val="32"/>
          <w:szCs w:val="32"/>
        </w:rPr>
        <w:t>、政府性基金预算财政拨款支出决算情况说明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lang w:eastAsia="zh-CN"/>
        </w:rPr>
        <w:t>九</w:t>
      </w:r>
      <w:r>
        <w:rPr>
          <w:rFonts w:hint="eastAsia" w:ascii="宋体" w:hAnsi="宋体" w:cs="宋体"/>
          <w:sz w:val="32"/>
          <w:szCs w:val="32"/>
        </w:rPr>
        <w:t>、机关运行经费支出情况说明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十、政府采购支出情况说明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w:t>
      </w:r>
      <w:r>
        <w:rPr>
          <w:rFonts w:hint="eastAsia" w:ascii="宋体" w:hAnsi="宋体" w:cs="宋体"/>
          <w:sz w:val="32"/>
          <w:szCs w:val="32"/>
          <w:lang w:eastAsia="zh-CN"/>
        </w:rPr>
        <w:t>一</w:t>
      </w:r>
      <w:r>
        <w:rPr>
          <w:rFonts w:hint="eastAsia" w:ascii="宋体" w:hAnsi="宋体" w:cs="宋体"/>
          <w:sz w:val="32"/>
          <w:szCs w:val="32"/>
        </w:rPr>
        <w:t>、国有资产占用情况说明</w:t>
      </w:r>
    </w:p>
    <w:p>
      <w:pPr>
        <w:ind w:firstLine="640" w:firstLineChars="200"/>
        <w:jc w:val="left"/>
        <w:rPr>
          <w:rFonts w:hint="eastAsia" w:ascii="宋体" w:hAnsi="宋体" w:cs="宋体"/>
          <w:sz w:val="32"/>
          <w:szCs w:val="32"/>
        </w:rPr>
      </w:pPr>
      <w:r>
        <w:rPr>
          <w:rFonts w:hint="eastAsia" w:ascii="宋体" w:hAnsi="宋体" w:cs="宋体"/>
          <w:sz w:val="32"/>
          <w:szCs w:val="32"/>
          <w:lang w:eastAsia="zh-CN"/>
        </w:rPr>
        <w:t>十二</w:t>
      </w:r>
      <w:r>
        <w:rPr>
          <w:rFonts w:hint="eastAsia" w:ascii="宋体" w:hAnsi="宋体" w:cs="宋体"/>
          <w:sz w:val="32"/>
          <w:szCs w:val="32"/>
        </w:rPr>
        <w:t>、预算绩效情况说明</w:t>
      </w:r>
    </w:p>
    <w:p>
      <w:pPr>
        <w:pStyle w:val="2"/>
        <w:rPr>
          <w:rFonts w:hint="eastAsia"/>
        </w:rPr>
      </w:pPr>
    </w:p>
    <w:p>
      <w:pPr>
        <w:jc w:val="left"/>
        <w:rPr>
          <w:rFonts w:hint="eastAsia" w:ascii="黑体" w:hAnsi="黑体" w:eastAsia="黑体" w:cs="黑体"/>
          <w:sz w:val="32"/>
          <w:szCs w:val="32"/>
        </w:rPr>
      </w:pPr>
      <w:r>
        <w:rPr>
          <w:rFonts w:hint="eastAsia" w:ascii="黑体" w:hAnsi="黑体" w:eastAsia="黑体" w:cs="黑体"/>
          <w:sz w:val="32"/>
          <w:szCs w:val="32"/>
        </w:rPr>
        <w:t>第四部分　　名词解释</w:t>
      </w:r>
    </w:p>
    <w:p>
      <w:pPr>
        <w:ind w:firstLine="640" w:firstLineChars="200"/>
        <w:jc w:val="left"/>
        <w:rPr>
          <w:rFonts w:ascii="宋体" w:hAnsi="宋体" w:cs="宋体"/>
          <w:sz w:val="32"/>
          <w:szCs w:val="32"/>
        </w:rPr>
      </w:pPr>
    </w:p>
    <w:p>
      <w:pPr>
        <w:jc w:val="left"/>
        <w:rPr>
          <w:rFonts w:hint="eastAsia" w:ascii="黑体" w:hAnsi="黑体" w:eastAsia="黑体" w:cs="黑体"/>
          <w:sz w:val="32"/>
          <w:szCs w:val="32"/>
        </w:rPr>
        <w:sectPr>
          <w:footerReference r:id="rId3" w:type="default"/>
          <w:footerReference r:id="rId4" w:type="even"/>
          <w:pgSz w:w="11906" w:h="16838"/>
          <w:pgMar w:top="1440" w:right="1531" w:bottom="1440" w:left="1587" w:header="850" w:footer="992" w:gutter="0"/>
          <w:pgNumType w:fmt="numberInDash" w:start="1"/>
          <w:cols w:space="720" w:num="1"/>
          <w:docGrid w:type="lines" w:linePitch="317" w:charSpace="0"/>
        </w:sect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numPr>
          <w:ilvl w:val="0"/>
          <w:numId w:val="2"/>
        </w:numPr>
        <w:ind w:left="3840" w:hanging="3840" w:hangingChars="800"/>
        <w:jc w:val="center"/>
        <w:outlineLvl w:val="0"/>
        <w:rPr>
          <w:rFonts w:hint="eastAsia" w:ascii="黑体" w:hAnsi="黑体" w:eastAsia="黑体" w:cs="黑体"/>
          <w:sz w:val="48"/>
          <w:szCs w:val="48"/>
        </w:rPr>
      </w:pPr>
    </w:p>
    <w:p>
      <w:pPr>
        <w:widowControl/>
        <w:numPr>
          <w:ilvl w:val="0"/>
          <w:numId w:val="0"/>
        </w:numPr>
        <w:ind w:leftChars="-800"/>
        <w:jc w:val="center"/>
        <w:outlineLvl w:val="0"/>
        <w:rPr>
          <w:rFonts w:hint="eastAsia" w:ascii="黑体" w:hAnsi="宋体" w:eastAsia="黑体" w:cs="宋体"/>
          <w:kern w:val="0"/>
          <w:sz w:val="48"/>
          <w:szCs w:val="48"/>
        </w:rPr>
      </w:pPr>
      <w:r>
        <w:rPr>
          <w:rFonts w:hint="eastAsia" w:ascii="黑体" w:hAnsi="黑体" w:eastAsia="黑体" w:cs="黑体"/>
          <w:sz w:val="48"/>
          <w:szCs w:val="48"/>
          <w:lang w:val="en-US" w:eastAsia="zh-CN"/>
        </w:rPr>
        <w:t xml:space="preserve">        </w:t>
      </w:r>
      <w:r>
        <w:rPr>
          <w:rFonts w:hint="eastAsia" w:ascii="黑体" w:hAnsi="黑体" w:eastAsia="黑体" w:cs="黑体"/>
          <w:sz w:val="48"/>
          <w:szCs w:val="48"/>
          <w:lang w:eastAsia="zh-CN"/>
        </w:rPr>
        <w:t>许昌市</w:t>
      </w:r>
      <w:r>
        <w:rPr>
          <w:rFonts w:hint="eastAsia" w:ascii="黑体" w:hAnsi="黑体" w:eastAsia="黑体" w:cs="黑体"/>
          <w:sz w:val="48"/>
          <w:szCs w:val="48"/>
        </w:rPr>
        <w:t>机关公务用车服务中心概况</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一、</w:t>
      </w:r>
      <w:r>
        <w:rPr>
          <w:rFonts w:hint="eastAsia" w:ascii="黑体" w:hAnsi="黑体" w:eastAsia="黑体" w:cs="黑体"/>
          <w:kern w:val="0"/>
          <w:sz w:val="32"/>
          <w:szCs w:val="32"/>
          <w:lang w:eastAsia="zh-CN"/>
        </w:rPr>
        <w:t>单位</w:t>
      </w:r>
      <w:r>
        <w:rPr>
          <w:rFonts w:hint="eastAsia" w:ascii="黑体" w:hAnsi="黑体" w:eastAsia="黑体" w:cs="黑体"/>
          <w:bCs/>
          <w:sz w:val="32"/>
          <w:szCs w:val="32"/>
        </w:rPr>
        <w:t>职责</w:t>
      </w:r>
    </w:p>
    <w:p>
      <w:pPr>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单位主要职能是负责</w:t>
      </w:r>
      <w:r>
        <w:rPr>
          <w:rFonts w:hint="eastAsia" w:ascii="仿宋_GB2312" w:hAnsi="宋体" w:eastAsia="仿宋_GB2312" w:cs="宋体"/>
          <w:kern w:val="0"/>
          <w:sz w:val="32"/>
          <w:szCs w:val="32"/>
        </w:rPr>
        <w:t>落实上级公车改革精神，组建信息管理平台对公车改革后按照规定保留的市级机关所有公务用车实行统一的信息化管理，通过平台保障各级领导干部下基层调研、到现场处理问题、接待、处置突发应急事件等重要公务出行，统一保障市直机关跨区域出行、跨部门综合执法等其他各类符合条件的公务出行需要。</w:t>
      </w: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二、机构设置</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许昌市</w:t>
      </w:r>
      <w:r>
        <w:rPr>
          <w:rFonts w:hint="eastAsia" w:ascii="仿宋_GB2312" w:hAnsi="仿宋_GB2312" w:eastAsia="仿宋_GB2312" w:cs="仿宋_GB2312"/>
          <w:kern w:val="0"/>
          <w:sz w:val="32"/>
          <w:szCs w:val="32"/>
        </w:rPr>
        <w:t>机关公务用车服务中心内设机构6个，包括：办公室、运行管理科、信息资源科、技术保障科、综合监督科、资产财务科。</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从决算单位构成看，</w:t>
      </w:r>
      <w:r>
        <w:rPr>
          <w:rFonts w:hint="eastAsia" w:ascii="仿宋_GB2312" w:hAnsi="仿宋_GB2312" w:eastAsia="仿宋_GB2312" w:cs="仿宋_GB2312"/>
          <w:kern w:val="0"/>
          <w:sz w:val="32"/>
          <w:szCs w:val="32"/>
          <w:lang w:eastAsia="zh-CN"/>
        </w:rPr>
        <w:t>许昌市</w:t>
      </w:r>
      <w:r>
        <w:rPr>
          <w:rFonts w:hint="eastAsia" w:ascii="仿宋_GB2312" w:hAnsi="仿宋_GB2312" w:eastAsia="仿宋_GB2312" w:cs="仿宋_GB2312"/>
          <w:kern w:val="0"/>
          <w:sz w:val="32"/>
          <w:szCs w:val="32"/>
        </w:rPr>
        <w:t>机关公务用车服务中心</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决算包括：本级决算</w:t>
      </w:r>
      <w:r>
        <w:rPr>
          <w:rFonts w:hint="eastAsia" w:ascii="仿宋_GB2312" w:hAnsi="仿宋_GB2312" w:eastAsia="仿宋_GB2312" w:cs="仿宋_GB2312"/>
          <w:sz w:val="32"/>
          <w:szCs w:val="32"/>
          <w:highlight w:val="none"/>
          <w:lang w:eastAsia="zh-CN"/>
        </w:rPr>
        <w:t>(1个)</w:t>
      </w:r>
      <w:r>
        <w:rPr>
          <w:rFonts w:hint="eastAsia" w:ascii="仿宋_GB2312" w:hAnsi="仿宋_GB2312" w:eastAsia="仿宋_GB2312" w:cs="仿宋_GB2312"/>
          <w:kern w:val="0"/>
          <w:sz w:val="32"/>
          <w:szCs w:val="32"/>
        </w:rPr>
        <w:t>。</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纳入本</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2021年度</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决算编制范围的单位共1个，具体是：</w:t>
      </w:r>
    </w:p>
    <w:p>
      <w:pPr>
        <w:widowControl/>
        <w:ind w:firstLine="640" w:firstLineChars="200"/>
        <w:jc w:val="left"/>
        <w:rPr>
          <w:rFonts w:hint="eastAsia" w:ascii="黑体" w:hAnsi="宋体" w:eastAsia="仿宋_GB2312" w:cs="宋体"/>
          <w:kern w:val="0"/>
          <w:sz w:val="28"/>
          <w:szCs w:val="28"/>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eastAsia="zh-CN"/>
        </w:rPr>
        <w:t>许昌市</w:t>
      </w:r>
      <w:r>
        <w:rPr>
          <w:rFonts w:hint="eastAsia" w:ascii="仿宋_GB2312" w:hAnsi="仿宋_GB2312" w:eastAsia="仿宋_GB2312" w:cs="仿宋_GB2312"/>
          <w:kern w:val="0"/>
          <w:sz w:val="32"/>
          <w:szCs w:val="32"/>
        </w:rPr>
        <w:t>机关公务用车服务中心</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第二部分  2021年度</w:t>
      </w:r>
      <w:r>
        <w:rPr>
          <w:rFonts w:hint="eastAsia" w:ascii="黑体" w:hAnsi="黑体" w:eastAsia="黑体" w:cs="黑体"/>
          <w:sz w:val="48"/>
          <w:szCs w:val="48"/>
          <w:lang w:eastAsia="zh-CN"/>
        </w:rPr>
        <w:t>单位</w:t>
      </w:r>
      <w:r>
        <w:rPr>
          <w:rFonts w:hint="eastAsia" w:ascii="黑体" w:hAnsi="黑体" w:eastAsia="黑体" w:cs="黑体"/>
          <w:sz w:val="48"/>
          <w:szCs w:val="48"/>
        </w:rPr>
        <w:t>决算表</w:t>
      </w:r>
    </w:p>
    <w:p>
      <w:pPr>
        <w:widowControl/>
        <w:jc w:val="center"/>
        <w:rPr>
          <w:rFonts w:hint="eastAsia" w:ascii="黑体" w:hAnsi="宋体" w:eastAsia="黑体" w:cs="宋体"/>
          <w:kern w:val="0"/>
          <w:sz w:val="28"/>
          <w:szCs w:val="28"/>
        </w:rPr>
      </w:pPr>
    </w:p>
    <w:p>
      <w:pPr>
        <w:widowControl/>
        <w:jc w:val="center"/>
        <w:rPr>
          <w:rFonts w:hint="eastAsia"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rPr>
          <w:rFonts w:hint="eastAsia" w:ascii="仿宋_GB2312" w:hAnsi="仿宋_GB2312" w:eastAsia="仿宋_GB2312" w:cs="仿宋_GB2312"/>
          <w:sz w:val="32"/>
          <w:szCs w:val="32"/>
        </w:rPr>
      </w:pPr>
    </w:p>
    <w:tbl>
      <w:tblPr>
        <w:tblStyle w:val="9"/>
        <w:tblW w:w="13410" w:type="dxa"/>
        <w:tblInd w:w="93" w:type="dxa"/>
        <w:tblLayout w:type="autofit"/>
        <w:tblCellMar>
          <w:top w:w="0" w:type="dxa"/>
          <w:left w:w="108" w:type="dxa"/>
          <w:bottom w:w="0" w:type="dxa"/>
          <w:right w:w="108" w:type="dxa"/>
        </w:tblCellMar>
      </w:tblPr>
      <w:tblGrid>
        <w:gridCol w:w="4723"/>
        <w:gridCol w:w="852"/>
        <w:gridCol w:w="1275"/>
        <w:gridCol w:w="4447"/>
        <w:gridCol w:w="852"/>
        <w:gridCol w:w="1274"/>
      </w:tblGrid>
      <w:tr>
        <w:tblPrEx>
          <w:tblCellMar>
            <w:top w:w="0" w:type="dxa"/>
            <w:left w:w="108" w:type="dxa"/>
            <w:bottom w:w="0" w:type="dxa"/>
            <w:right w:w="108" w:type="dxa"/>
          </w:tblCellMar>
        </w:tblPrEx>
        <w:trPr>
          <w:trHeight w:val="390" w:hRule="atLeast"/>
        </w:trPr>
        <w:tc>
          <w:tcPr>
            <w:tcW w:w="13423" w:type="dxa"/>
            <w:gridSpan w:val="6"/>
            <w:tcBorders>
              <w:top w:val="nil"/>
              <w:left w:val="nil"/>
              <w:bottom w:val="nil"/>
              <w:right w:val="nil"/>
            </w:tcBorders>
            <w:noWrap/>
            <w:vAlign w:val="bottom"/>
          </w:tcPr>
          <w:p>
            <w:pPr>
              <w:widowControl/>
              <w:jc w:val="center"/>
              <w:textAlignment w:val="bottom"/>
              <w:rPr>
                <w:rFonts w:hint="eastAsia" w:ascii="宋体" w:hAnsi="宋体" w:cs="宋体"/>
                <w:color w:val="000000"/>
                <w:sz w:val="30"/>
                <w:szCs w:val="30"/>
              </w:rPr>
            </w:pPr>
            <w:r>
              <w:rPr>
                <w:rFonts w:hint="eastAsia" w:ascii="宋体" w:hAnsi="宋体" w:cs="宋体"/>
                <w:b/>
                <w:bCs/>
                <w:color w:val="000000"/>
                <w:kern w:val="0"/>
                <w:sz w:val="32"/>
                <w:szCs w:val="32"/>
                <w:lang w:bidi="ar"/>
              </w:rPr>
              <w:t>收入支出决算总表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宋体" w:hAnsi="宋体" w:cs="宋体"/>
                <w:color w:val="000000"/>
                <w:sz w:val="20"/>
                <w:szCs w:val="20"/>
              </w:rPr>
            </w:pPr>
          </w:p>
        </w:tc>
        <w:tc>
          <w:tcPr>
            <w:tcW w:w="0" w:type="auto"/>
            <w:tcBorders>
              <w:top w:val="nil"/>
              <w:left w:val="nil"/>
              <w:bottom w:val="nil"/>
              <w:right w:val="nil"/>
            </w:tcBorders>
            <w:noWrap/>
            <w:vAlign w:val="bottom"/>
          </w:tcPr>
          <w:p>
            <w:pPr>
              <w:rPr>
                <w:rFonts w:hint="eastAsia" w:ascii="宋体" w:hAnsi="宋体" w:cs="宋体"/>
                <w:color w:val="000000"/>
                <w:sz w:val="20"/>
                <w:szCs w:val="20"/>
              </w:rPr>
            </w:pPr>
          </w:p>
        </w:tc>
        <w:tc>
          <w:tcPr>
            <w:tcW w:w="0" w:type="auto"/>
            <w:tcBorders>
              <w:top w:val="nil"/>
              <w:left w:val="nil"/>
              <w:bottom w:val="nil"/>
              <w:right w:val="nil"/>
            </w:tcBorders>
            <w:noWrap/>
            <w:vAlign w:val="bottom"/>
          </w:tcPr>
          <w:p>
            <w:pPr>
              <w:rPr>
                <w:rFonts w:hint="eastAsia" w:ascii="宋体" w:hAnsi="宋体" w:cs="宋体"/>
                <w:color w:val="000000"/>
                <w:sz w:val="20"/>
                <w:szCs w:val="20"/>
              </w:rPr>
            </w:pPr>
          </w:p>
        </w:tc>
        <w:tc>
          <w:tcPr>
            <w:tcW w:w="0" w:type="auto"/>
            <w:tcBorders>
              <w:top w:val="nil"/>
              <w:left w:val="nil"/>
              <w:bottom w:val="nil"/>
              <w:right w:val="nil"/>
            </w:tcBorders>
            <w:noWrap/>
            <w:vAlign w:val="bottom"/>
          </w:tcPr>
          <w:p>
            <w:pPr>
              <w:rPr>
                <w:rFonts w:hint="eastAsia" w:ascii="宋体" w:hAnsi="宋体" w:cs="宋体"/>
                <w:color w:val="000000"/>
                <w:sz w:val="20"/>
                <w:szCs w:val="20"/>
              </w:rPr>
            </w:pPr>
          </w:p>
        </w:tc>
        <w:tc>
          <w:tcPr>
            <w:tcW w:w="0" w:type="auto"/>
            <w:gridSpan w:val="2"/>
            <w:tcBorders>
              <w:top w:val="nil"/>
              <w:left w:val="nil"/>
              <w:bottom w:val="nil"/>
              <w:right w:val="nil"/>
            </w:tcBorders>
            <w:noWrap/>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公开01表</w:t>
            </w:r>
          </w:p>
        </w:tc>
      </w:tr>
      <w:tr>
        <w:tblPrEx>
          <w:tblCellMar>
            <w:top w:w="0" w:type="dxa"/>
            <w:left w:w="108" w:type="dxa"/>
            <w:bottom w:w="0" w:type="dxa"/>
            <w:right w:w="108" w:type="dxa"/>
          </w:tblCellMar>
        </w:tblPrEx>
        <w:trPr>
          <w:trHeight w:val="255" w:hRule="atLeast"/>
        </w:trPr>
        <w:tc>
          <w:tcPr>
            <w:tcW w:w="0" w:type="auto"/>
            <w:gridSpan w:val="4"/>
            <w:tcBorders>
              <w:top w:val="nil"/>
              <w:left w:val="nil"/>
              <w:bottom w:val="nil"/>
              <w:right w:val="nil"/>
            </w:tcBorders>
            <w:noWrap/>
            <w:vAlign w:val="bottom"/>
          </w:tcPr>
          <w:p>
            <w:pPr>
              <w:widowControl/>
              <w:jc w:val="left"/>
              <w:textAlignment w:val="bottom"/>
              <w:rPr>
                <w:rFonts w:hint="eastAsia" w:ascii="宋体" w:hAnsi="宋体" w:cs="宋体"/>
                <w:color w:val="000000"/>
                <w:sz w:val="20"/>
                <w:szCs w:val="20"/>
              </w:rPr>
            </w:pPr>
            <w:r>
              <w:rPr>
                <w:rFonts w:hint="eastAsia" w:ascii="宋体" w:hAnsi="宋体" w:cs="宋体"/>
                <w:color w:val="000000"/>
                <w:kern w:val="0"/>
                <w:sz w:val="20"/>
                <w:szCs w:val="20"/>
                <w:lang w:eastAsia="zh-CN" w:bidi="ar"/>
              </w:rPr>
              <w:t>单位</w:t>
            </w:r>
            <w:r>
              <w:rPr>
                <w:rFonts w:hint="eastAsia" w:ascii="宋体" w:hAnsi="宋体" w:cs="宋体"/>
                <w:color w:val="000000"/>
                <w:kern w:val="0"/>
                <w:sz w:val="20"/>
                <w:szCs w:val="20"/>
                <w:lang w:bidi="ar"/>
              </w:rPr>
              <w:t>：许昌市机关公务用车服务中心</w:t>
            </w:r>
          </w:p>
        </w:tc>
        <w:tc>
          <w:tcPr>
            <w:tcW w:w="0" w:type="auto"/>
            <w:gridSpan w:val="2"/>
            <w:tcBorders>
              <w:top w:val="nil"/>
              <w:left w:val="nil"/>
              <w:bottom w:val="nil"/>
              <w:right w:val="nil"/>
            </w:tcBorders>
            <w:noWrap/>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收入</w:t>
            </w:r>
          </w:p>
        </w:tc>
        <w:tc>
          <w:tcPr>
            <w:tcW w:w="0" w:type="auto"/>
            <w:gridSpan w:val="3"/>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支出</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项目</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行次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决算数</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项目</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行次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决算数</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一、一般公共预算财政拨款收入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716.05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一、一般公共服务支出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780.51</w:t>
            </w:r>
          </w:p>
        </w:tc>
      </w:tr>
      <w:tr>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二、政府性基金预算财政拨款收入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0.00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二、外交支出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三、国有资本经营预算财政拨款收入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0.00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三、国防支出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四、上级补助收入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0.00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四、公共安全支出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35</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0.00</w:t>
            </w:r>
          </w:p>
        </w:tc>
      </w:tr>
      <w:tr>
        <w:tblPrEx>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五、事业收入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0.00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五、教育支出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0.00</w:t>
            </w:r>
          </w:p>
        </w:tc>
      </w:tr>
      <w:tr>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六、经营收入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0.00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六、科学技术支出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七、附属单位上缴收入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0.00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七、文化旅游体育与传媒支出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八、其他收入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0.00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八、社会保障和就业支出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6.34</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九、卫生健康支出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w:t>
            </w:r>
          </w:p>
        </w:tc>
      </w:tr>
      <w:tr>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十、节能环保支出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45.20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十一、城乡社区支出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十二、农林水支出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十三、交通运输支出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0.00</w:t>
            </w:r>
          </w:p>
        </w:tc>
      </w:tr>
      <w:tr>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十四、资源勘探工业信息等支出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45</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十五、商业服务业等支出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十六、金融支出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十七、援助其他地区支出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0.00</w:t>
            </w:r>
          </w:p>
        </w:tc>
      </w:tr>
      <w:tr>
        <w:trPr>
          <w:trHeight w:val="300"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十八、自然资源海洋气象等支出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十九、住房保障支出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二十、粮油物资储备支出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二十一、国有资本经营预算支出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0.00</w:t>
            </w:r>
          </w:p>
        </w:tc>
      </w:tr>
      <w:tr>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二十三、其他支出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cs="宋体"/>
                <w:b/>
                <w:bCs/>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二十四、债务还本支出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55</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二十五、债务付息支出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0.00</w:t>
            </w:r>
          </w:p>
        </w:tc>
      </w:tr>
      <w:tr>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color w:val="000000"/>
                <w:sz w:val="20"/>
                <w:szCs w:val="20"/>
              </w:rPr>
            </w:pPr>
            <w:r>
              <w:rPr>
                <w:rFonts w:hint="eastAsia" w:ascii="宋体" w:hAnsi="宋体" w:cs="宋体"/>
                <w:b/>
                <w:bCs/>
                <w:color w:val="000000"/>
                <w:kern w:val="0"/>
                <w:sz w:val="20"/>
                <w:szCs w:val="20"/>
                <w:lang w:bidi="ar"/>
              </w:rPr>
              <w:t>本年收入合计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716.05</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b/>
                <w:bCs/>
                <w:color w:val="000000"/>
                <w:sz w:val="20"/>
                <w:szCs w:val="20"/>
              </w:rPr>
            </w:pPr>
            <w:r>
              <w:rPr>
                <w:rFonts w:hint="eastAsia" w:ascii="宋体" w:hAnsi="宋体" w:cs="宋体"/>
                <w:b/>
                <w:bCs/>
                <w:color w:val="000000"/>
                <w:kern w:val="0"/>
                <w:sz w:val="20"/>
                <w:szCs w:val="20"/>
                <w:lang w:bidi="ar"/>
              </w:rPr>
              <w:t>本年支出合计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835.08</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使用非财政拨款结余</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0.00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结余分配</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年初结转和结余</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119.03</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年末结转和结余</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0</w:t>
            </w:r>
          </w:p>
        </w:tc>
      </w:tr>
      <w:tr>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61</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0"/>
                <w:szCs w:val="20"/>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color w:val="000000"/>
                <w:sz w:val="20"/>
                <w:szCs w:val="20"/>
              </w:rPr>
            </w:pPr>
            <w:r>
              <w:rPr>
                <w:rFonts w:hint="eastAsia" w:ascii="宋体" w:hAnsi="宋体" w:cs="宋体"/>
                <w:b/>
                <w:bCs/>
                <w:color w:val="000000"/>
                <w:kern w:val="0"/>
                <w:sz w:val="20"/>
                <w:szCs w:val="20"/>
                <w:lang w:bidi="ar"/>
              </w:rPr>
              <w:t>总计</w:t>
            </w:r>
          </w:p>
        </w:tc>
        <w:tc>
          <w:tcPr>
            <w:tcW w:w="0" w:type="auto"/>
            <w:tcBorders>
              <w:top w:val="nil"/>
              <w:left w:val="nil"/>
              <w:bottom w:val="single" w:color="000000" w:sz="8"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835.08</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b/>
                <w:bCs/>
                <w:color w:val="000000"/>
                <w:sz w:val="20"/>
                <w:szCs w:val="20"/>
              </w:rPr>
            </w:pPr>
            <w:r>
              <w:rPr>
                <w:rFonts w:hint="eastAsia" w:ascii="宋体" w:hAnsi="宋体" w:cs="宋体"/>
                <w:b/>
                <w:bCs/>
                <w:color w:val="000000"/>
                <w:kern w:val="0"/>
                <w:sz w:val="20"/>
                <w:szCs w:val="20"/>
                <w:lang w:bidi="ar"/>
              </w:rPr>
              <w:t>总计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835.08</w:t>
            </w:r>
          </w:p>
        </w:tc>
      </w:tr>
      <w:tr>
        <w:tblPrEx>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noWrap/>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w:t>
            </w:r>
            <w:r>
              <w:rPr>
                <w:rFonts w:hint="eastAsia" w:ascii="宋体" w:hAnsi="宋体" w:cs="宋体"/>
                <w:color w:val="000000"/>
                <w:kern w:val="0"/>
                <w:sz w:val="20"/>
                <w:szCs w:val="20"/>
                <w:lang w:eastAsia="zh-CN" w:bidi="ar"/>
              </w:rPr>
              <w:t>单位</w:t>
            </w:r>
            <w:r>
              <w:rPr>
                <w:rFonts w:hint="eastAsia" w:ascii="宋体" w:hAnsi="宋体" w:cs="宋体"/>
                <w:color w:val="000000"/>
                <w:kern w:val="0"/>
                <w:sz w:val="20"/>
                <w:szCs w:val="20"/>
                <w:lang w:bidi="ar"/>
              </w:rPr>
              <w:t>本年度的总收支和年末结转结余情况。本表金额转换为万元时，因四舍五入可能存在尾差。</w:t>
            </w:r>
          </w:p>
        </w:tc>
      </w:tr>
    </w:tbl>
    <w:p>
      <w:pPr>
        <w:rPr>
          <w:rFonts w:hint="eastAsia" w:ascii="宋体" w:hAnsi="宋体" w:cs="宋体"/>
          <w:sz w:val="20"/>
          <w:szCs w:val="20"/>
        </w:rPr>
        <w:sectPr>
          <w:pgSz w:w="16838" w:h="11906" w:orient="landscape"/>
          <w:pgMar w:top="1800" w:right="1440" w:bottom="1800" w:left="1440" w:header="720" w:footer="720" w:gutter="0"/>
          <w:pgNumType w:fmt="numberInDash"/>
          <w:cols w:space="720" w:num="1"/>
          <w:docGrid w:type="lines" w:linePitch="312" w:charSpace="0"/>
        </w:sectPr>
      </w:pPr>
    </w:p>
    <w:tbl>
      <w:tblPr>
        <w:tblStyle w:val="9"/>
        <w:tblW w:w="14265" w:type="dxa"/>
        <w:tblInd w:w="93" w:type="dxa"/>
        <w:tblLayout w:type="autofit"/>
        <w:tblCellMar>
          <w:top w:w="0" w:type="dxa"/>
          <w:left w:w="108" w:type="dxa"/>
          <w:bottom w:w="0" w:type="dxa"/>
          <w:right w:w="108" w:type="dxa"/>
        </w:tblCellMar>
      </w:tblPr>
      <w:tblGrid>
        <w:gridCol w:w="409"/>
        <w:gridCol w:w="409"/>
        <w:gridCol w:w="409"/>
        <w:gridCol w:w="4880"/>
        <w:gridCol w:w="1732"/>
        <w:gridCol w:w="1538"/>
        <w:gridCol w:w="1504"/>
        <w:gridCol w:w="1341"/>
        <w:gridCol w:w="1295"/>
        <w:gridCol w:w="1544"/>
      </w:tblGrid>
      <w:tr>
        <w:tblPrEx>
          <w:tblCellMar>
            <w:top w:w="0" w:type="dxa"/>
            <w:left w:w="108" w:type="dxa"/>
            <w:bottom w:w="0" w:type="dxa"/>
            <w:right w:w="108" w:type="dxa"/>
          </w:tblCellMar>
        </w:tblPrEx>
        <w:trPr>
          <w:trHeight w:val="390" w:hRule="atLeast"/>
        </w:trPr>
        <w:tc>
          <w:tcPr>
            <w:tcW w:w="14265" w:type="dxa"/>
            <w:gridSpan w:val="10"/>
            <w:tcBorders>
              <w:top w:val="nil"/>
              <w:left w:val="nil"/>
              <w:bottom w:val="nil"/>
              <w:right w:val="nil"/>
            </w:tcBorders>
            <w:noWrap/>
            <w:vAlign w:val="bottom"/>
          </w:tcPr>
          <w:p>
            <w:pPr>
              <w:rPr>
                <w:rFonts w:hint="eastAsia" w:ascii="仿宋_GB2312" w:hAnsi="仿宋_GB2312" w:eastAsia="仿宋_GB2312" w:cs="仿宋_GB2312"/>
                <w:sz w:val="32"/>
                <w:szCs w:val="32"/>
              </w:rPr>
            </w:pPr>
          </w:p>
          <w:tbl>
            <w:tblPr>
              <w:tblStyle w:val="9"/>
              <w:tblW w:w="14081" w:type="dxa"/>
              <w:tblInd w:w="93" w:type="dxa"/>
              <w:tblLayout w:type="autofit"/>
              <w:tblCellMar>
                <w:top w:w="0" w:type="dxa"/>
                <w:left w:w="108" w:type="dxa"/>
                <w:bottom w:w="0" w:type="dxa"/>
                <w:right w:w="108" w:type="dxa"/>
              </w:tblCellMar>
            </w:tblPr>
            <w:tblGrid>
              <w:gridCol w:w="322"/>
              <w:gridCol w:w="322"/>
              <w:gridCol w:w="583"/>
              <w:gridCol w:w="5214"/>
              <w:gridCol w:w="1374"/>
              <w:gridCol w:w="1359"/>
              <w:gridCol w:w="1041"/>
              <w:gridCol w:w="1040"/>
              <w:gridCol w:w="1044"/>
              <w:gridCol w:w="1028"/>
              <w:gridCol w:w="1020"/>
            </w:tblGrid>
            <w:tr>
              <w:tblPrEx>
                <w:tblCellMar>
                  <w:top w:w="0" w:type="dxa"/>
                  <w:left w:w="108" w:type="dxa"/>
                  <w:bottom w:w="0" w:type="dxa"/>
                  <w:right w:w="108" w:type="dxa"/>
                </w:tblCellMar>
              </w:tblPrEx>
              <w:trPr>
                <w:trHeight w:val="390" w:hRule="atLeast"/>
              </w:trPr>
              <w:tc>
                <w:tcPr>
                  <w:tcW w:w="14081" w:type="dxa"/>
                  <w:gridSpan w:val="11"/>
                  <w:tcBorders>
                    <w:top w:val="nil"/>
                    <w:left w:val="nil"/>
                    <w:bottom w:val="nil"/>
                    <w:right w:val="nil"/>
                  </w:tcBorders>
                  <w:noWrap/>
                  <w:vAlign w:val="bottom"/>
                </w:tcPr>
                <w:p>
                  <w:pPr>
                    <w:widowControl/>
                    <w:jc w:val="center"/>
                    <w:textAlignment w:val="bottom"/>
                    <w:rPr>
                      <w:rFonts w:hint="eastAsia" w:ascii="宋体" w:hAnsi="宋体" w:cs="宋体"/>
                      <w:color w:val="000000"/>
                      <w:sz w:val="30"/>
                      <w:szCs w:val="30"/>
                    </w:rPr>
                  </w:pPr>
                  <w:r>
                    <w:rPr>
                      <w:rFonts w:hint="eastAsia" w:ascii="宋体" w:hAnsi="宋体" w:cs="宋体"/>
                      <w:color w:val="000000"/>
                      <w:kern w:val="0"/>
                      <w:sz w:val="30"/>
                      <w:szCs w:val="30"/>
                      <w:lang w:bidi="ar"/>
                    </w:rPr>
                    <w:t>收入决算表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403" w:type="dxa"/>
                  <w:tcBorders>
                    <w:top w:val="nil"/>
                    <w:left w:val="nil"/>
                    <w:bottom w:val="nil"/>
                    <w:right w:val="nil"/>
                  </w:tcBorders>
                  <w:noWrap/>
                  <w:vAlign w:val="bottom"/>
                </w:tcPr>
                <w:p>
                  <w:pPr>
                    <w:rPr>
                      <w:rFonts w:ascii="Arial" w:hAnsi="Arial" w:cs="Arial"/>
                      <w:color w:val="000000"/>
                      <w:sz w:val="20"/>
                      <w:szCs w:val="20"/>
                    </w:rPr>
                  </w:pPr>
                </w:p>
              </w:tc>
              <w:tc>
                <w:tcPr>
                  <w:tcW w:w="4596" w:type="dxa"/>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gridSpan w:val="3"/>
                  <w:tcBorders>
                    <w:top w:val="nil"/>
                    <w:left w:val="nil"/>
                    <w:bottom w:val="nil"/>
                    <w:right w:val="nil"/>
                  </w:tcBorders>
                  <w:noWrap/>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公开02表</w:t>
                  </w:r>
                </w:p>
              </w:tc>
            </w:tr>
            <w:tr>
              <w:tblPrEx>
                <w:tblCellMar>
                  <w:top w:w="0" w:type="dxa"/>
                  <w:left w:w="108" w:type="dxa"/>
                  <w:bottom w:w="0" w:type="dxa"/>
                  <w:right w:w="108" w:type="dxa"/>
                </w:tblCellMar>
              </w:tblPrEx>
              <w:trPr>
                <w:trHeight w:val="255" w:hRule="atLeast"/>
              </w:trPr>
              <w:tc>
                <w:tcPr>
                  <w:tcW w:w="0" w:type="auto"/>
                  <w:gridSpan w:val="8"/>
                  <w:tcBorders>
                    <w:top w:val="nil"/>
                    <w:left w:val="nil"/>
                    <w:bottom w:val="nil"/>
                    <w:right w:val="nil"/>
                  </w:tcBorders>
                  <w:noWrap/>
                  <w:vAlign w:val="bottom"/>
                </w:tcPr>
                <w:p>
                  <w:pPr>
                    <w:widowControl/>
                    <w:jc w:val="left"/>
                    <w:textAlignment w:val="bottom"/>
                    <w:rPr>
                      <w:rFonts w:hint="eastAsia" w:ascii="宋体" w:hAnsi="宋体" w:cs="宋体"/>
                      <w:color w:val="000000"/>
                      <w:sz w:val="20"/>
                      <w:szCs w:val="20"/>
                    </w:rPr>
                  </w:pPr>
                  <w:r>
                    <w:rPr>
                      <w:rFonts w:hint="eastAsia" w:ascii="宋体" w:hAnsi="宋体" w:cs="宋体"/>
                      <w:color w:val="000000"/>
                      <w:kern w:val="0"/>
                      <w:sz w:val="20"/>
                      <w:szCs w:val="20"/>
                      <w:lang w:eastAsia="zh-CN" w:bidi="ar"/>
                    </w:rPr>
                    <w:t>单位</w:t>
                  </w:r>
                  <w:r>
                    <w:rPr>
                      <w:rFonts w:hint="eastAsia" w:ascii="宋体" w:hAnsi="宋体" w:cs="宋体"/>
                      <w:color w:val="000000"/>
                      <w:kern w:val="0"/>
                      <w:sz w:val="20"/>
                      <w:szCs w:val="20"/>
                      <w:lang w:bidi="ar"/>
                    </w:rPr>
                    <w:t>：许昌市机关公务用车服务中心</w:t>
                  </w:r>
                </w:p>
              </w:tc>
              <w:tc>
                <w:tcPr>
                  <w:tcW w:w="0" w:type="auto"/>
                  <w:gridSpan w:val="3"/>
                  <w:tcBorders>
                    <w:top w:val="nil"/>
                    <w:left w:val="nil"/>
                    <w:bottom w:val="nil"/>
                    <w:right w:val="nil"/>
                  </w:tcBorders>
                  <w:noWrap/>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w:t>
                  </w:r>
                </w:p>
              </w:tc>
              <w:tc>
                <w:tcPr>
                  <w:tcW w:w="1429"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本年收入合计</w:t>
                  </w:r>
                </w:p>
              </w:tc>
              <w:tc>
                <w:tcPr>
                  <w:tcW w:w="1403"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财政拨款收入</w:t>
                  </w:r>
                </w:p>
              </w:tc>
              <w:tc>
                <w:tcPr>
                  <w:tcW w:w="1131"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上级补助收入</w:t>
                  </w:r>
                </w:p>
              </w:tc>
              <w:tc>
                <w:tcPr>
                  <w:tcW w:w="1129"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事业收入</w:t>
                  </w:r>
                </w:p>
              </w:tc>
              <w:tc>
                <w:tcPr>
                  <w:tcW w:w="1135"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经营收入</w:t>
                  </w:r>
                </w:p>
              </w:tc>
              <w:tc>
                <w:tcPr>
                  <w:tcW w:w="1107"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附属单位上缴收入</w:t>
                  </w:r>
                </w:p>
              </w:tc>
              <w:tc>
                <w:tcPr>
                  <w:tcW w:w="1095"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其他收入</w:t>
                  </w:r>
                </w:p>
              </w:tc>
            </w:tr>
            <w:tr>
              <w:tblPrEx>
                <w:tblCellMar>
                  <w:top w:w="0" w:type="dxa"/>
                  <w:left w:w="108" w:type="dxa"/>
                  <w:bottom w:w="0" w:type="dxa"/>
                  <w:right w:w="108" w:type="dxa"/>
                </w:tblCellMar>
              </w:tblPrEx>
              <w:trPr>
                <w:trHeight w:val="312" w:hRule="atLeast"/>
              </w:trPr>
              <w:tc>
                <w:tcPr>
                  <w:tcW w:w="1056" w:type="dxa"/>
                  <w:gridSpan w:val="3"/>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功能分类科目编码</w:t>
                  </w:r>
                </w:p>
              </w:tc>
              <w:tc>
                <w:tcPr>
                  <w:tcW w:w="4596" w:type="dxa"/>
                  <w:vMerge w:val="restar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142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40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13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12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1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10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09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r>
            <w:tr>
              <w:tblPrEx>
                <w:tblCellMar>
                  <w:top w:w="0" w:type="dxa"/>
                  <w:left w:w="108" w:type="dxa"/>
                  <w:bottom w:w="0" w:type="dxa"/>
                  <w:right w:w="108" w:type="dxa"/>
                </w:tblCellMar>
              </w:tblPrEx>
              <w:trPr>
                <w:trHeight w:val="312" w:hRule="atLeast"/>
              </w:trPr>
              <w:tc>
                <w:tcPr>
                  <w:tcW w:w="1056"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459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cs="宋体"/>
                      <w:color w:val="000000"/>
                      <w:sz w:val="22"/>
                    </w:rPr>
                  </w:pPr>
                </w:p>
              </w:tc>
              <w:tc>
                <w:tcPr>
                  <w:tcW w:w="142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40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13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12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1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10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09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r>
            <w:tr>
              <w:tblPrEx>
                <w:tblCellMar>
                  <w:top w:w="0" w:type="dxa"/>
                  <w:left w:w="108" w:type="dxa"/>
                  <w:bottom w:w="0" w:type="dxa"/>
                  <w:right w:w="108" w:type="dxa"/>
                </w:tblCellMar>
              </w:tblPrEx>
              <w:trPr>
                <w:trHeight w:val="312" w:hRule="atLeast"/>
              </w:trPr>
              <w:tc>
                <w:tcPr>
                  <w:tcW w:w="1056"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459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cs="宋体"/>
                      <w:color w:val="000000"/>
                      <w:sz w:val="22"/>
                    </w:rPr>
                  </w:pPr>
                </w:p>
              </w:tc>
              <w:tc>
                <w:tcPr>
                  <w:tcW w:w="142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40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13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12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1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10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09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1429"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1403"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1131"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c>
                <w:tcPr>
                  <w:tcW w:w="1129"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w:t>
                  </w:r>
                </w:p>
              </w:tc>
              <w:tc>
                <w:tcPr>
                  <w:tcW w:w="1135"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1107"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w:t>
                  </w:r>
                </w:p>
              </w:tc>
              <w:tc>
                <w:tcPr>
                  <w:tcW w:w="1095"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7</w:t>
                  </w: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lang w:bidi="ar"/>
                    </w:rPr>
                    <w:t>716.05</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lang w:bidi="ar"/>
                    </w:rPr>
                    <w:t>716.05</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lang w:bidi="ar"/>
                    </w:rPr>
                    <w:t>0.00</w:t>
                  </w:r>
                </w:p>
              </w:tc>
            </w:tr>
            <w:tr>
              <w:tblPrEx>
                <w:tblCellMar>
                  <w:top w:w="0" w:type="dxa"/>
                  <w:left w:w="108" w:type="dxa"/>
                  <w:bottom w:w="0" w:type="dxa"/>
                  <w:right w:w="108" w:type="dxa"/>
                </w:tblCellMar>
              </w:tblPrEx>
              <w:trPr>
                <w:trHeight w:val="308" w:hRule="atLeast"/>
              </w:trPr>
              <w:tc>
                <w:tcPr>
                  <w:tcW w:w="1056"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w:t>
                  </w:r>
                </w:p>
              </w:tc>
              <w:tc>
                <w:tcPr>
                  <w:tcW w:w="459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一般公共服务支出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706.69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sz w:val="22"/>
                    </w:rPr>
                    <w:t>706.69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1056"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22"/>
                      <w:lang w:bidi="ar"/>
                    </w:rPr>
                  </w:pPr>
                  <w:r>
                    <w:rPr>
                      <w:rFonts w:hint="eastAsia" w:ascii="宋体" w:hAnsi="宋体" w:cs="宋体"/>
                      <w:color w:val="000000"/>
                      <w:kern w:val="0"/>
                      <w:sz w:val="22"/>
                      <w:lang w:bidi="ar"/>
                    </w:rPr>
                    <w:t>20101</w:t>
                  </w:r>
                </w:p>
              </w:tc>
              <w:tc>
                <w:tcPr>
                  <w:tcW w:w="459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22"/>
                      <w:lang w:bidi="ar"/>
                    </w:rPr>
                  </w:pPr>
                  <w:r>
                    <w:rPr>
                      <w:rFonts w:hint="eastAsia" w:ascii="宋体" w:hAnsi="宋体" w:cs="宋体"/>
                      <w:color w:val="000000"/>
                      <w:kern w:val="0"/>
                      <w:sz w:val="22"/>
                      <w:lang w:bidi="ar"/>
                    </w:rPr>
                    <w:t>人大事务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kern w:val="0"/>
                      <w:sz w:val="22"/>
                      <w:lang w:bidi="ar"/>
                    </w:rPr>
                  </w:pPr>
                  <w:r>
                    <w:rPr>
                      <w:rFonts w:hint="eastAsia" w:ascii="宋体" w:hAnsi="宋体" w:cs="宋体"/>
                      <w:color w:val="000000"/>
                      <w:kern w:val="0"/>
                      <w:sz w:val="22"/>
                      <w:lang w:bidi="ar"/>
                    </w:rPr>
                    <w:t>25.00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sz w:val="22"/>
                    </w:rPr>
                    <w:t>25.00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kern w:val="0"/>
                      <w:sz w:val="22"/>
                      <w:lang w:bidi="ar"/>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kern w:val="0"/>
                      <w:sz w:val="22"/>
                      <w:lang w:bidi="ar"/>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kern w:val="0"/>
                      <w:sz w:val="22"/>
                      <w:lang w:bidi="ar"/>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kern w:val="0"/>
                      <w:sz w:val="22"/>
                      <w:lang w:bidi="ar"/>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kern w:val="0"/>
                      <w:sz w:val="22"/>
                      <w:lang w:bidi="ar"/>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1056"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22"/>
                      <w:lang w:bidi="ar"/>
                    </w:rPr>
                  </w:pPr>
                  <w:r>
                    <w:rPr>
                      <w:rFonts w:hint="eastAsia" w:ascii="宋体" w:hAnsi="宋体" w:cs="宋体"/>
                      <w:color w:val="000000"/>
                      <w:kern w:val="0"/>
                      <w:sz w:val="22"/>
                      <w:lang w:bidi="ar"/>
                    </w:rPr>
                    <w:t>2010150</w:t>
                  </w:r>
                </w:p>
              </w:tc>
              <w:tc>
                <w:tcPr>
                  <w:tcW w:w="459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22"/>
                      <w:lang w:bidi="ar"/>
                    </w:rPr>
                  </w:pPr>
                  <w:r>
                    <w:rPr>
                      <w:rFonts w:hint="eastAsia" w:ascii="宋体" w:hAnsi="宋体" w:cs="宋体"/>
                      <w:color w:val="000000"/>
                      <w:kern w:val="0"/>
                      <w:sz w:val="22"/>
                      <w:lang w:bidi="ar"/>
                    </w:rPr>
                    <w:t>事业运行</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kern w:val="0"/>
                      <w:sz w:val="22"/>
                      <w:lang w:bidi="ar"/>
                    </w:rPr>
                  </w:pPr>
                  <w:r>
                    <w:rPr>
                      <w:rFonts w:hint="eastAsia" w:ascii="宋体" w:hAnsi="宋体" w:cs="宋体"/>
                      <w:color w:val="000000"/>
                      <w:kern w:val="0"/>
                      <w:sz w:val="22"/>
                      <w:lang w:bidi="ar"/>
                    </w:rPr>
                    <w:t>25.00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sz w:val="22"/>
                    </w:rPr>
                    <w:t>25.00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kern w:val="0"/>
                      <w:sz w:val="22"/>
                      <w:lang w:bidi="ar"/>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kern w:val="0"/>
                      <w:sz w:val="22"/>
                      <w:lang w:bidi="ar"/>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kern w:val="0"/>
                      <w:sz w:val="22"/>
                      <w:lang w:bidi="ar"/>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kern w:val="0"/>
                      <w:sz w:val="22"/>
                      <w:lang w:bidi="ar"/>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kern w:val="0"/>
                      <w:sz w:val="22"/>
                      <w:lang w:bidi="ar"/>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1056"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20103</w:t>
                  </w:r>
                </w:p>
              </w:tc>
              <w:tc>
                <w:tcPr>
                  <w:tcW w:w="459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政府办公厅（室）及相关机构事务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677.00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677.00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1056"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2010303</w:t>
                  </w:r>
                </w:p>
              </w:tc>
              <w:tc>
                <w:tcPr>
                  <w:tcW w:w="459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机关服务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1.57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1.57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1056"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2010350</w:t>
                  </w:r>
                </w:p>
              </w:tc>
              <w:tc>
                <w:tcPr>
                  <w:tcW w:w="459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事业运行</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675.43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675.43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1056"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20129</w:t>
                  </w:r>
                </w:p>
              </w:tc>
              <w:tc>
                <w:tcPr>
                  <w:tcW w:w="459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群众团体事务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0.58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0.58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1056"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2012906</w:t>
                  </w:r>
                </w:p>
              </w:tc>
              <w:tc>
                <w:tcPr>
                  <w:tcW w:w="459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工会事务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0.58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0.58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1056"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22"/>
                      <w:lang w:bidi="ar"/>
                    </w:rPr>
                  </w:pPr>
                  <w:r>
                    <w:rPr>
                      <w:rFonts w:hint="eastAsia" w:ascii="宋体" w:hAnsi="宋体" w:cs="宋体"/>
                      <w:color w:val="000000"/>
                      <w:kern w:val="0"/>
                      <w:sz w:val="22"/>
                      <w:lang w:bidi="ar"/>
                    </w:rPr>
                    <w:t>20132</w:t>
                  </w:r>
                </w:p>
              </w:tc>
              <w:tc>
                <w:tcPr>
                  <w:tcW w:w="459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22"/>
                      <w:lang w:bidi="ar"/>
                    </w:rPr>
                  </w:pPr>
                  <w:r>
                    <w:rPr>
                      <w:rFonts w:hint="eastAsia" w:ascii="宋体" w:hAnsi="宋体" w:cs="宋体"/>
                      <w:color w:val="000000"/>
                      <w:kern w:val="0"/>
                      <w:sz w:val="22"/>
                      <w:lang w:bidi="ar"/>
                    </w:rPr>
                    <w:t>组织事务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kern w:val="0"/>
                      <w:sz w:val="22"/>
                      <w:lang w:bidi="ar"/>
                    </w:rPr>
                  </w:pPr>
                  <w:r>
                    <w:rPr>
                      <w:rFonts w:hint="eastAsia" w:ascii="宋体" w:hAnsi="宋体" w:cs="宋体"/>
                      <w:color w:val="000000"/>
                      <w:kern w:val="0"/>
                      <w:sz w:val="22"/>
                      <w:lang w:bidi="ar"/>
                    </w:rPr>
                    <w:t>4.11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kern w:val="0"/>
                      <w:sz w:val="22"/>
                      <w:lang w:bidi="ar"/>
                    </w:rPr>
                  </w:pPr>
                  <w:r>
                    <w:rPr>
                      <w:rFonts w:hint="eastAsia" w:ascii="宋体" w:hAnsi="宋体" w:cs="宋体"/>
                      <w:color w:val="000000"/>
                      <w:kern w:val="0"/>
                      <w:sz w:val="22"/>
                      <w:lang w:bidi="ar"/>
                    </w:rPr>
                    <w:t>4.11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1056"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22"/>
                      <w:lang w:bidi="ar"/>
                    </w:rPr>
                  </w:pPr>
                  <w:r>
                    <w:rPr>
                      <w:rFonts w:hint="eastAsia" w:ascii="宋体" w:hAnsi="宋体" w:cs="宋体"/>
                      <w:color w:val="000000"/>
                      <w:kern w:val="0"/>
                      <w:sz w:val="22"/>
                      <w:lang w:bidi="ar"/>
                    </w:rPr>
                    <w:t>2013201</w:t>
                  </w:r>
                </w:p>
              </w:tc>
              <w:tc>
                <w:tcPr>
                  <w:tcW w:w="459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22"/>
                      <w:lang w:bidi="ar"/>
                    </w:rPr>
                  </w:pPr>
                  <w:r>
                    <w:rPr>
                      <w:rFonts w:hint="eastAsia" w:ascii="宋体" w:hAnsi="宋体" w:cs="宋体"/>
                      <w:color w:val="000000"/>
                      <w:kern w:val="0"/>
                      <w:sz w:val="22"/>
                      <w:lang w:bidi="ar"/>
                    </w:rPr>
                    <w:t>行政运行</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4.11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4.11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1056"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w:t>
                  </w:r>
                </w:p>
              </w:tc>
              <w:tc>
                <w:tcPr>
                  <w:tcW w:w="459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社会保障和就业支出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6.34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6.34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1056"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20805</w:t>
                  </w:r>
                </w:p>
              </w:tc>
              <w:tc>
                <w:tcPr>
                  <w:tcW w:w="459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行政事业单位养老支出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6.34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6.34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1056"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2080505</w:t>
                  </w:r>
                </w:p>
              </w:tc>
              <w:tc>
                <w:tcPr>
                  <w:tcW w:w="459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机关事业单位基本养老保险缴费支出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6.34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6.34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1056"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w:t>
                  </w:r>
                </w:p>
              </w:tc>
              <w:tc>
                <w:tcPr>
                  <w:tcW w:w="459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卫生健康支出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3.02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3.02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1056"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21011</w:t>
                  </w:r>
                </w:p>
              </w:tc>
              <w:tc>
                <w:tcPr>
                  <w:tcW w:w="459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行政事业单位医疗</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3.02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3.02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1056"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2101102</w:t>
                  </w:r>
                </w:p>
              </w:tc>
              <w:tc>
                <w:tcPr>
                  <w:tcW w:w="459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事业单位医疗</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3.02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3.02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0" w:type="auto"/>
                  <w:gridSpan w:val="11"/>
                  <w:tcBorders>
                    <w:top w:val="nil"/>
                    <w:left w:val="nil"/>
                    <w:bottom w:val="nil"/>
                    <w:right w:val="nil"/>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注：本表反映</w:t>
                  </w:r>
                  <w:r>
                    <w:rPr>
                      <w:rFonts w:hint="eastAsia" w:ascii="宋体" w:hAnsi="宋体" w:cs="宋体"/>
                      <w:color w:val="000000"/>
                      <w:kern w:val="0"/>
                      <w:sz w:val="22"/>
                      <w:lang w:eastAsia="zh-CN" w:bidi="ar"/>
                    </w:rPr>
                    <w:t>单位</w:t>
                  </w:r>
                  <w:r>
                    <w:rPr>
                      <w:rFonts w:hint="eastAsia" w:ascii="宋体" w:hAnsi="宋体" w:cs="宋体"/>
                      <w:color w:val="000000"/>
                      <w:kern w:val="0"/>
                      <w:sz w:val="22"/>
                      <w:lang w:bidi="ar"/>
                    </w:rPr>
                    <w:t>本年度取得的各项收入情况。本表金额转换为万元时，因四舍五入可能存在尾差。</w:t>
                  </w:r>
                </w:p>
              </w:tc>
            </w:tr>
          </w:tbl>
          <w:p>
            <w:pPr>
              <w:widowControl/>
              <w:jc w:val="center"/>
              <w:textAlignment w:val="bottom"/>
              <w:rPr>
                <w:rFonts w:hint="eastAsia" w:ascii="宋体" w:hAnsi="宋体" w:cs="宋体"/>
                <w:color w:val="000000"/>
                <w:kern w:val="0"/>
                <w:sz w:val="30"/>
                <w:szCs w:val="30"/>
                <w:lang w:bidi="ar"/>
              </w:rPr>
            </w:pPr>
          </w:p>
          <w:p>
            <w:pPr>
              <w:widowControl/>
              <w:jc w:val="center"/>
              <w:textAlignment w:val="bottom"/>
              <w:rPr>
                <w:rFonts w:hint="eastAsia" w:ascii="宋体" w:hAnsi="宋体" w:cs="宋体"/>
                <w:color w:val="000000"/>
                <w:kern w:val="0"/>
                <w:sz w:val="30"/>
                <w:szCs w:val="30"/>
                <w:lang w:bidi="ar"/>
              </w:rPr>
            </w:pPr>
          </w:p>
          <w:p>
            <w:pPr>
              <w:widowControl/>
              <w:jc w:val="center"/>
              <w:textAlignment w:val="bottom"/>
              <w:rPr>
                <w:rFonts w:hint="eastAsia" w:ascii="宋体" w:hAnsi="宋体" w:cs="宋体"/>
                <w:color w:val="000000"/>
                <w:kern w:val="0"/>
                <w:sz w:val="30"/>
                <w:szCs w:val="30"/>
                <w:lang w:bidi="ar"/>
              </w:rPr>
            </w:pPr>
          </w:p>
          <w:p>
            <w:pPr>
              <w:widowControl/>
              <w:jc w:val="center"/>
              <w:textAlignment w:val="bottom"/>
              <w:rPr>
                <w:rFonts w:hint="eastAsia" w:ascii="宋体" w:hAnsi="宋体" w:cs="宋体"/>
                <w:color w:val="000000"/>
                <w:kern w:val="0"/>
                <w:sz w:val="30"/>
                <w:szCs w:val="30"/>
                <w:lang w:bidi="ar"/>
              </w:rPr>
            </w:pPr>
          </w:p>
          <w:p>
            <w:pPr>
              <w:widowControl/>
              <w:jc w:val="center"/>
              <w:textAlignment w:val="bottom"/>
              <w:rPr>
                <w:rFonts w:hint="eastAsia" w:ascii="宋体" w:hAnsi="宋体" w:cs="宋体"/>
                <w:color w:val="000000"/>
                <w:kern w:val="0"/>
                <w:sz w:val="30"/>
                <w:szCs w:val="30"/>
                <w:lang w:bidi="ar"/>
              </w:rPr>
            </w:pPr>
          </w:p>
          <w:p>
            <w:pPr>
              <w:widowControl/>
              <w:jc w:val="center"/>
              <w:textAlignment w:val="bottom"/>
              <w:rPr>
                <w:rFonts w:hint="eastAsia" w:ascii="宋体" w:hAnsi="宋体" w:cs="宋体"/>
                <w:color w:val="000000"/>
                <w:kern w:val="0"/>
                <w:sz w:val="30"/>
                <w:szCs w:val="30"/>
                <w:lang w:bidi="ar"/>
              </w:rPr>
            </w:pPr>
          </w:p>
          <w:p>
            <w:pPr>
              <w:widowControl/>
              <w:jc w:val="center"/>
              <w:textAlignment w:val="bottom"/>
              <w:rPr>
                <w:rFonts w:hint="eastAsia" w:ascii="宋体" w:hAnsi="宋体" w:cs="宋体"/>
                <w:color w:val="000000"/>
                <w:kern w:val="0"/>
                <w:sz w:val="30"/>
                <w:szCs w:val="30"/>
                <w:lang w:bidi="ar"/>
              </w:rPr>
            </w:pPr>
          </w:p>
          <w:p>
            <w:pPr>
              <w:widowControl/>
              <w:jc w:val="center"/>
              <w:textAlignment w:val="bottom"/>
              <w:rPr>
                <w:rFonts w:hint="eastAsia" w:ascii="宋体" w:hAnsi="宋体" w:cs="宋体"/>
                <w:color w:val="000000"/>
                <w:kern w:val="0"/>
                <w:sz w:val="30"/>
                <w:szCs w:val="30"/>
                <w:lang w:bidi="ar"/>
              </w:rPr>
            </w:pPr>
          </w:p>
          <w:p>
            <w:pPr>
              <w:widowControl/>
              <w:jc w:val="center"/>
              <w:textAlignment w:val="bottom"/>
              <w:rPr>
                <w:rFonts w:hint="eastAsia" w:ascii="宋体" w:hAnsi="宋体" w:cs="宋体"/>
                <w:color w:val="000000"/>
                <w:kern w:val="0"/>
                <w:sz w:val="30"/>
                <w:szCs w:val="30"/>
                <w:lang w:bidi="ar"/>
              </w:rPr>
            </w:pPr>
          </w:p>
          <w:p>
            <w:pPr>
              <w:widowControl/>
              <w:jc w:val="center"/>
              <w:textAlignment w:val="bottom"/>
              <w:rPr>
                <w:rFonts w:hint="eastAsia" w:ascii="宋体" w:hAnsi="宋体" w:cs="宋体"/>
                <w:color w:val="000000"/>
                <w:kern w:val="0"/>
                <w:sz w:val="30"/>
                <w:szCs w:val="30"/>
                <w:lang w:bidi="ar"/>
              </w:rPr>
            </w:pPr>
          </w:p>
          <w:p>
            <w:pPr>
              <w:widowControl/>
              <w:jc w:val="center"/>
              <w:textAlignment w:val="bottom"/>
              <w:rPr>
                <w:rFonts w:hint="eastAsia" w:ascii="宋体" w:hAnsi="宋体" w:cs="宋体"/>
                <w:color w:val="000000"/>
                <w:kern w:val="0"/>
                <w:sz w:val="30"/>
                <w:szCs w:val="30"/>
                <w:lang w:bidi="ar"/>
              </w:rPr>
            </w:pPr>
          </w:p>
          <w:p>
            <w:pPr>
              <w:widowControl/>
              <w:jc w:val="center"/>
              <w:textAlignment w:val="bottom"/>
              <w:rPr>
                <w:rFonts w:hint="eastAsia" w:ascii="宋体" w:hAnsi="宋体" w:cs="宋体"/>
                <w:color w:val="000000"/>
                <w:sz w:val="30"/>
                <w:szCs w:val="30"/>
              </w:rPr>
            </w:pPr>
            <w:r>
              <w:rPr>
                <w:rFonts w:hint="eastAsia" w:ascii="宋体" w:hAnsi="宋体" w:cs="宋体"/>
                <w:color w:val="000000"/>
                <w:kern w:val="0"/>
                <w:sz w:val="30"/>
                <w:szCs w:val="30"/>
                <w:lang w:bidi="ar"/>
              </w:rPr>
              <w:t>支出决算表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gridSpan w:val="3"/>
            <w:tcBorders>
              <w:top w:val="nil"/>
              <w:left w:val="nil"/>
              <w:bottom w:val="nil"/>
              <w:right w:val="nil"/>
            </w:tcBorders>
            <w:noWrap/>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公开03表</w:t>
            </w:r>
          </w:p>
        </w:tc>
      </w:tr>
      <w:tr>
        <w:tblPrEx>
          <w:tblCellMar>
            <w:top w:w="0" w:type="dxa"/>
            <w:left w:w="108" w:type="dxa"/>
            <w:bottom w:w="0" w:type="dxa"/>
            <w:right w:w="108" w:type="dxa"/>
          </w:tblCellMar>
        </w:tblPrEx>
        <w:trPr>
          <w:trHeight w:val="255" w:hRule="atLeast"/>
        </w:trPr>
        <w:tc>
          <w:tcPr>
            <w:tcW w:w="0" w:type="auto"/>
            <w:gridSpan w:val="7"/>
            <w:tcBorders>
              <w:top w:val="nil"/>
              <w:left w:val="nil"/>
              <w:bottom w:val="nil"/>
              <w:right w:val="nil"/>
            </w:tcBorders>
            <w:noWrap/>
            <w:vAlign w:val="bottom"/>
          </w:tcPr>
          <w:p>
            <w:pPr>
              <w:widowControl/>
              <w:jc w:val="left"/>
              <w:textAlignment w:val="bottom"/>
              <w:rPr>
                <w:rFonts w:hint="eastAsia" w:ascii="宋体" w:hAnsi="宋体" w:cs="宋体"/>
                <w:color w:val="000000"/>
                <w:sz w:val="20"/>
                <w:szCs w:val="20"/>
              </w:rPr>
            </w:pPr>
            <w:r>
              <w:rPr>
                <w:rFonts w:hint="eastAsia" w:ascii="宋体" w:hAnsi="宋体" w:cs="宋体"/>
                <w:color w:val="000000"/>
                <w:kern w:val="0"/>
                <w:sz w:val="20"/>
                <w:szCs w:val="20"/>
                <w:lang w:eastAsia="zh-CN" w:bidi="ar"/>
              </w:rPr>
              <w:t>单位</w:t>
            </w:r>
            <w:r>
              <w:rPr>
                <w:rFonts w:hint="eastAsia" w:ascii="宋体" w:hAnsi="宋体" w:cs="宋体"/>
                <w:color w:val="000000"/>
                <w:kern w:val="0"/>
                <w:sz w:val="20"/>
                <w:szCs w:val="20"/>
                <w:lang w:bidi="ar"/>
              </w:rPr>
              <w:t>：许昌市机关公务用车服务中心</w:t>
            </w:r>
          </w:p>
        </w:tc>
        <w:tc>
          <w:tcPr>
            <w:tcW w:w="0" w:type="auto"/>
            <w:gridSpan w:val="3"/>
            <w:tcBorders>
              <w:top w:val="nil"/>
              <w:left w:val="nil"/>
              <w:bottom w:val="nil"/>
              <w:right w:val="nil"/>
            </w:tcBorders>
            <w:noWrap/>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w:t>
            </w:r>
          </w:p>
        </w:tc>
        <w:tc>
          <w:tcPr>
            <w:tcW w:w="1815"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本年支出合计</w:t>
            </w:r>
          </w:p>
        </w:tc>
        <w:tc>
          <w:tcPr>
            <w:tcW w:w="1500"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基本支出</w:t>
            </w:r>
          </w:p>
        </w:tc>
        <w:tc>
          <w:tcPr>
            <w:tcW w:w="1590"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项目支出</w:t>
            </w:r>
          </w:p>
        </w:tc>
        <w:tc>
          <w:tcPr>
            <w:tcW w:w="1470"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上缴上级支出</w:t>
            </w:r>
          </w:p>
        </w:tc>
        <w:tc>
          <w:tcPr>
            <w:tcW w:w="1395"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经营支出</w:t>
            </w:r>
          </w:p>
        </w:tc>
        <w:tc>
          <w:tcPr>
            <w:tcW w:w="1800"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对附属单位补助支出</w:t>
            </w:r>
          </w:p>
        </w:tc>
      </w:tr>
      <w:tr>
        <w:tblPrEx>
          <w:tblCellMar>
            <w:top w:w="0" w:type="dxa"/>
            <w:left w:w="108" w:type="dxa"/>
            <w:bottom w:w="0" w:type="dxa"/>
            <w:right w:w="108" w:type="dxa"/>
          </w:tblCellMar>
        </w:tblPrEx>
        <w:trPr>
          <w:trHeight w:val="312" w:hRule="atLeast"/>
        </w:trPr>
        <w:tc>
          <w:tcPr>
            <w:tcW w:w="990" w:type="dxa"/>
            <w:gridSpan w:val="3"/>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18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5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4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39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r>
      <w:tr>
        <w:tblPrEx>
          <w:tblCellMar>
            <w:top w:w="0" w:type="dxa"/>
            <w:left w:w="108" w:type="dxa"/>
            <w:bottom w:w="0" w:type="dxa"/>
            <w:right w:w="108" w:type="dxa"/>
          </w:tblCellMar>
        </w:tblPrEx>
        <w:trPr>
          <w:trHeight w:val="312"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cs="宋体"/>
                <w:color w:val="000000"/>
                <w:sz w:val="22"/>
              </w:rPr>
            </w:pPr>
          </w:p>
        </w:tc>
        <w:tc>
          <w:tcPr>
            <w:tcW w:w="18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5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4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39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r>
      <w:tr>
        <w:tblPrEx>
          <w:tblCellMar>
            <w:top w:w="0" w:type="dxa"/>
            <w:left w:w="108" w:type="dxa"/>
            <w:bottom w:w="0" w:type="dxa"/>
            <w:right w:w="108" w:type="dxa"/>
          </w:tblCellMar>
        </w:tblPrEx>
        <w:trPr>
          <w:trHeight w:val="312"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cs="宋体"/>
                <w:color w:val="000000"/>
                <w:sz w:val="22"/>
              </w:rPr>
            </w:pPr>
          </w:p>
        </w:tc>
        <w:tc>
          <w:tcPr>
            <w:tcW w:w="18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5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4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39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1815"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150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159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c>
          <w:tcPr>
            <w:tcW w:w="147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w:t>
            </w:r>
          </w:p>
        </w:tc>
        <w:tc>
          <w:tcPr>
            <w:tcW w:w="1395"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180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w:t>
            </w: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lang w:bidi="ar"/>
              </w:rPr>
              <w:t>835.08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lang w:bidi="ar"/>
              </w:rPr>
              <w:t>775.14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lang w:bidi="ar"/>
              </w:rPr>
              <w:t>59.94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lang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一般公共服务支出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780.51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765.77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14.74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22"/>
                <w:lang w:bidi="ar"/>
              </w:rPr>
            </w:pPr>
            <w:r>
              <w:rPr>
                <w:rFonts w:hint="eastAsia" w:ascii="宋体" w:hAnsi="宋体" w:cs="宋体"/>
                <w:color w:val="000000"/>
                <w:kern w:val="0"/>
                <w:sz w:val="22"/>
                <w:lang w:bidi="ar"/>
              </w:rPr>
              <w:t>20101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22"/>
                <w:lang w:bidi="ar"/>
              </w:rPr>
            </w:pPr>
            <w:r>
              <w:rPr>
                <w:rFonts w:hint="eastAsia" w:ascii="宋体" w:hAnsi="宋体" w:cs="宋体"/>
                <w:color w:val="000000"/>
                <w:kern w:val="0"/>
                <w:sz w:val="22"/>
                <w:lang w:bidi="ar"/>
              </w:rPr>
              <w:t>人大事业</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kern w:val="0"/>
                <w:sz w:val="22"/>
                <w:lang w:bidi="ar"/>
              </w:rPr>
            </w:pPr>
            <w:r>
              <w:rPr>
                <w:rFonts w:hint="eastAsia" w:ascii="宋体" w:hAnsi="宋体" w:cs="宋体"/>
                <w:color w:val="000000"/>
                <w:kern w:val="0"/>
                <w:sz w:val="22"/>
                <w:lang w:bidi="ar"/>
              </w:rPr>
              <w:t>25.00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kern w:val="0"/>
                <w:sz w:val="22"/>
                <w:lang w:bidi="ar"/>
              </w:rPr>
            </w:pPr>
            <w:r>
              <w:rPr>
                <w:rFonts w:hint="eastAsia" w:ascii="宋体" w:hAnsi="宋体" w:cs="宋体"/>
                <w:color w:val="000000"/>
                <w:kern w:val="0"/>
                <w:sz w:val="22"/>
                <w:lang w:bidi="ar"/>
              </w:rPr>
              <w:t>25.00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kern w:val="0"/>
                <w:sz w:val="22"/>
                <w:lang w:bidi="ar"/>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22"/>
                <w:lang w:bidi="ar"/>
              </w:rPr>
            </w:pPr>
            <w:r>
              <w:rPr>
                <w:rFonts w:hint="eastAsia" w:ascii="宋体" w:hAnsi="宋体" w:cs="宋体"/>
                <w:color w:val="000000"/>
                <w:kern w:val="0"/>
                <w:sz w:val="22"/>
                <w:lang w:bidi="ar"/>
              </w:rPr>
              <w:t>2010105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22"/>
                <w:lang w:bidi="ar"/>
              </w:rPr>
            </w:pPr>
            <w:r>
              <w:rPr>
                <w:rFonts w:hint="eastAsia" w:ascii="宋体" w:hAnsi="宋体" w:cs="宋体"/>
                <w:color w:val="000000"/>
                <w:kern w:val="0"/>
                <w:sz w:val="22"/>
                <w:lang w:bidi="ar"/>
              </w:rPr>
              <w:t>事业运行</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kern w:val="0"/>
                <w:sz w:val="22"/>
                <w:lang w:bidi="ar"/>
              </w:rPr>
            </w:pPr>
            <w:r>
              <w:rPr>
                <w:rFonts w:hint="eastAsia" w:ascii="宋体" w:hAnsi="宋体" w:cs="宋体"/>
                <w:color w:val="000000"/>
                <w:kern w:val="0"/>
                <w:sz w:val="22"/>
                <w:lang w:bidi="ar"/>
              </w:rPr>
              <w:t>25.00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kern w:val="0"/>
                <w:sz w:val="22"/>
                <w:lang w:bidi="ar"/>
              </w:rPr>
            </w:pPr>
            <w:r>
              <w:rPr>
                <w:rFonts w:hint="eastAsia" w:ascii="宋体" w:hAnsi="宋体" w:cs="宋体"/>
                <w:color w:val="000000"/>
                <w:kern w:val="0"/>
                <w:sz w:val="22"/>
                <w:lang w:bidi="ar"/>
              </w:rPr>
              <w:t>25.00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20103</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政府办公厅（室）及相关机构事务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750.82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736.08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14.74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2010303</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机关服务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44.92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44.92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2010350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事业运行</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705.90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691.16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14.74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20129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群众团体事务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0.58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0.58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2012906</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工会事务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0.58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0.58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22"/>
                <w:lang w:bidi="ar"/>
              </w:rPr>
            </w:pPr>
            <w:r>
              <w:rPr>
                <w:rFonts w:hint="eastAsia" w:ascii="宋体" w:hAnsi="宋体" w:cs="宋体"/>
                <w:color w:val="000000"/>
                <w:kern w:val="0"/>
                <w:sz w:val="22"/>
                <w:lang w:bidi="ar"/>
              </w:rPr>
              <w:t>20132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22"/>
                <w:lang w:bidi="ar"/>
              </w:rPr>
            </w:pPr>
            <w:r>
              <w:rPr>
                <w:rFonts w:hint="eastAsia" w:ascii="宋体" w:hAnsi="宋体" w:cs="宋体"/>
                <w:color w:val="000000"/>
                <w:kern w:val="0"/>
                <w:sz w:val="22"/>
                <w:lang w:bidi="ar"/>
              </w:rPr>
              <w:t>组织事务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kern w:val="0"/>
                <w:sz w:val="22"/>
                <w:lang w:bidi="ar"/>
              </w:rPr>
            </w:pPr>
            <w:r>
              <w:rPr>
                <w:rFonts w:hint="eastAsia" w:ascii="宋体" w:hAnsi="宋体" w:cs="宋体"/>
                <w:color w:val="000000"/>
                <w:kern w:val="0"/>
                <w:sz w:val="22"/>
                <w:lang w:bidi="ar"/>
              </w:rPr>
              <w:t>4.11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kern w:val="0"/>
                <w:sz w:val="22"/>
                <w:lang w:bidi="ar"/>
              </w:rPr>
            </w:pPr>
            <w:r>
              <w:rPr>
                <w:rFonts w:hint="eastAsia" w:ascii="宋体" w:hAnsi="宋体" w:cs="宋体"/>
                <w:color w:val="000000"/>
                <w:kern w:val="0"/>
                <w:sz w:val="22"/>
                <w:lang w:bidi="ar"/>
              </w:rPr>
              <w:t>4.11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22"/>
                <w:lang w:bidi="ar"/>
              </w:rPr>
            </w:pPr>
            <w:r>
              <w:rPr>
                <w:rFonts w:hint="eastAsia" w:ascii="宋体" w:hAnsi="宋体" w:cs="宋体"/>
                <w:color w:val="000000"/>
                <w:kern w:val="0"/>
                <w:sz w:val="22"/>
                <w:lang w:bidi="ar"/>
              </w:rPr>
              <w:t>2013201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22"/>
                <w:lang w:bidi="ar"/>
              </w:rPr>
            </w:pPr>
            <w:r>
              <w:rPr>
                <w:rFonts w:hint="eastAsia" w:ascii="宋体" w:hAnsi="宋体" w:cs="宋体"/>
                <w:color w:val="000000"/>
                <w:kern w:val="0"/>
                <w:sz w:val="22"/>
                <w:lang w:bidi="ar"/>
              </w:rPr>
              <w:t>行政运行</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kern w:val="0"/>
                <w:sz w:val="22"/>
                <w:lang w:bidi="ar"/>
              </w:rPr>
            </w:pPr>
            <w:r>
              <w:rPr>
                <w:rFonts w:hint="eastAsia" w:ascii="宋体" w:hAnsi="宋体" w:cs="宋体"/>
                <w:color w:val="000000"/>
                <w:kern w:val="0"/>
                <w:sz w:val="22"/>
                <w:lang w:bidi="ar"/>
              </w:rPr>
              <w:t>4.11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kern w:val="0"/>
                <w:sz w:val="22"/>
                <w:lang w:bidi="ar"/>
              </w:rPr>
            </w:pPr>
            <w:r>
              <w:rPr>
                <w:rFonts w:hint="eastAsia" w:ascii="宋体" w:hAnsi="宋体" w:cs="宋体"/>
                <w:color w:val="000000"/>
                <w:kern w:val="0"/>
                <w:sz w:val="22"/>
                <w:lang w:bidi="ar"/>
              </w:rPr>
              <w:t>4.11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社会保障和就业支出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6.34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6.34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20805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行政事业单位养老支出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6.34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6.34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2080505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6.34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6.34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卫生健康支出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3.02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3.02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21011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行政事业单位医疗</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3.02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3.02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2101102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事业单位医疗</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3.02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3.02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节能环保支出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45.20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45.20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21103</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污染防治</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45.20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45.20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2110399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其他污染防治支出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45.20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45.20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注：本表反映</w:t>
            </w:r>
            <w:r>
              <w:rPr>
                <w:rFonts w:hint="eastAsia" w:ascii="宋体" w:hAnsi="宋体" w:cs="宋体"/>
                <w:color w:val="000000"/>
                <w:kern w:val="0"/>
                <w:sz w:val="22"/>
                <w:lang w:eastAsia="zh-CN" w:bidi="ar"/>
              </w:rPr>
              <w:t>单位</w:t>
            </w:r>
            <w:r>
              <w:rPr>
                <w:rFonts w:hint="eastAsia" w:ascii="宋体" w:hAnsi="宋体" w:cs="宋体"/>
                <w:color w:val="000000"/>
                <w:kern w:val="0"/>
                <w:sz w:val="22"/>
                <w:lang w:bidi="ar"/>
              </w:rPr>
              <w:t>本年度各项支出情况。本表金额转换为万元时，因四舍五入可能存在尾差。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9"/>
        <w:tblW w:w="14537" w:type="dxa"/>
        <w:tblInd w:w="93" w:type="dxa"/>
        <w:tblLayout w:type="fixed"/>
        <w:tblCellMar>
          <w:top w:w="0" w:type="dxa"/>
          <w:left w:w="108" w:type="dxa"/>
          <w:bottom w:w="0" w:type="dxa"/>
          <w:right w:w="108" w:type="dxa"/>
        </w:tblCellMar>
      </w:tblPr>
      <w:tblGrid>
        <w:gridCol w:w="3260"/>
        <w:gridCol w:w="900"/>
        <w:gridCol w:w="1159"/>
        <w:gridCol w:w="3082"/>
        <w:gridCol w:w="911"/>
        <w:gridCol w:w="1227"/>
        <w:gridCol w:w="1381"/>
        <w:gridCol w:w="1295"/>
        <w:gridCol w:w="1322"/>
      </w:tblGrid>
      <w:tr>
        <w:tblPrEx>
          <w:tblCellMar>
            <w:top w:w="0" w:type="dxa"/>
            <w:left w:w="108" w:type="dxa"/>
            <w:bottom w:w="0" w:type="dxa"/>
            <w:right w:w="108" w:type="dxa"/>
          </w:tblCellMar>
        </w:tblPrEx>
        <w:trPr>
          <w:trHeight w:val="390" w:hRule="atLeast"/>
        </w:trPr>
        <w:tc>
          <w:tcPr>
            <w:tcW w:w="14537" w:type="dxa"/>
            <w:gridSpan w:val="9"/>
            <w:tcBorders>
              <w:top w:val="nil"/>
              <w:left w:val="nil"/>
              <w:bottom w:val="nil"/>
              <w:right w:val="nil"/>
            </w:tcBorders>
            <w:noWrap/>
            <w:vAlign w:val="bottom"/>
          </w:tcPr>
          <w:p>
            <w:pPr>
              <w:widowControl/>
              <w:jc w:val="center"/>
              <w:textAlignment w:val="bottom"/>
              <w:rPr>
                <w:rFonts w:hint="eastAsia" w:ascii="宋体" w:hAnsi="宋体" w:cs="宋体"/>
                <w:color w:val="000000"/>
                <w:sz w:val="30"/>
                <w:szCs w:val="30"/>
              </w:rPr>
            </w:pPr>
            <w:r>
              <w:rPr>
                <w:rFonts w:hint="eastAsia" w:ascii="宋体" w:hAnsi="宋体" w:cs="宋体"/>
                <w:color w:val="000000"/>
                <w:kern w:val="0"/>
                <w:sz w:val="30"/>
                <w:szCs w:val="30"/>
                <w:lang w:bidi="ar"/>
              </w:rPr>
              <w:t>财政拨款收入支出决算总表</w:t>
            </w:r>
          </w:p>
        </w:tc>
      </w:tr>
      <w:tr>
        <w:trPr>
          <w:trHeight w:val="255" w:hRule="atLeast"/>
        </w:trPr>
        <w:tc>
          <w:tcPr>
            <w:tcW w:w="3260" w:type="dxa"/>
            <w:tcBorders>
              <w:top w:val="nil"/>
              <w:left w:val="nil"/>
              <w:bottom w:val="nil"/>
              <w:right w:val="nil"/>
            </w:tcBorders>
            <w:noWrap/>
            <w:vAlign w:val="bottom"/>
          </w:tcPr>
          <w:p>
            <w:pPr>
              <w:rPr>
                <w:rFonts w:hint="eastAsia" w:ascii="Arial" w:hAnsi="Arial" w:cs="Arial"/>
                <w:color w:val="000000"/>
                <w:sz w:val="20"/>
                <w:szCs w:val="20"/>
              </w:rPr>
            </w:pPr>
          </w:p>
        </w:tc>
        <w:tc>
          <w:tcPr>
            <w:tcW w:w="900" w:type="dxa"/>
            <w:tcBorders>
              <w:top w:val="nil"/>
              <w:left w:val="nil"/>
              <w:bottom w:val="nil"/>
              <w:right w:val="nil"/>
            </w:tcBorders>
            <w:noWrap/>
            <w:vAlign w:val="bottom"/>
          </w:tcPr>
          <w:p>
            <w:pPr>
              <w:rPr>
                <w:rFonts w:ascii="Arial" w:hAnsi="Arial" w:cs="Arial"/>
                <w:color w:val="000000"/>
                <w:sz w:val="20"/>
                <w:szCs w:val="20"/>
              </w:rPr>
            </w:pPr>
          </w:p>
        </w:tc>
        <w:tc>
          <w:tcPr>
            <w:tcW w:w="1159" w:type="dxa"/>
            <w:tcBorders>
              <w:top w:val="nil"/>
              <w:left w:val="nil"/>
              <w:bottom w:val="nil"/>
              <w:right w:val="nil"/>
            </w:tcBorders>
            <w:noWrap/>
            <w:vAlign w:val="bottom"/>
          </w:tcPr>
          <w:p>
            <w:pPr>
              <w:rPr>
                <w:rFonts w:ascii="Arial" w:hAnsi="Arial" w:cs="Arial"/>
                <w:color w:val="000000"/>
                <w:sz w:val="20"/>
                <w:szCs w:val="20"/>
              </w:rPr>
            </w:pPr>
          </w:p>
        </w:tc>
        <w:tc>
          <w:tcPr>
            <w:tcW w:w="3082" w:type="dxa"/>
            <w:tcBorders>
              <w:top w:val="nil"/>
              <w:left w:val="nil"/>
              <w:bottom w:val="nil"/>
              <w:right w:val="nil"/>
            </w:tcBorders>
            <w:noWrap/>
            <w:vAlign w:val="bottom"/>
          </w:tcPr>
          <w:p>
            <w:pPr>
              <w:rPr>
                <w:rFonts w:ascii="Arial" w:hAnsi="Arial" w:cs="Arial"/>
                <w:color w:val="000000"/>
                <w:sz w:val="20"/>
                <w:szCs w:val="20"/>
              </w:rPr>
            </w:pPr>
          </w:p>
        </w:tc>
        <w:tc>
          <w:tcPr>
            <w:tcW w:w="911" w:type="dxa"/>
            <w:tcBorders>
              <w:top w:val="nil"/>
              <w:left w:val="nil"/>
              <w:bottom w:val="nil"/>
              <w:right w:val="nil"/>
            </w:tcBorders>
            <w:noWrap/>
            <w:vAlign w:val="bottom"/>
          </w:tcPr>
          <w:p>
            <w:pPr>
              <w:rPr>
                <w:rFonts w:ascii="Arial" w:hAnsi="Arial" w:cs="Arial"/>
                <w:color w:val="000000"/>
                <w:sz w:val="20"/>
                <w:szCs w:val="20"/>
              </w:rPr>
            </w:pPr>
          </w:p>
        </w:tc>
        <w:tc>
          <w:tcPr>
            <w:tcW w:w="1227" w:type="dxa"/>
            <w:tcBorders>
              <w:top w:val="nil"/>
              <w:left w:val="nil"/>
              <w:bottom w:val="nil"/>
              <w:right w:val="nil"/>
            </w:tcBorders>
            <w:noWrap/>
            <w:vAlign w:val="bottom"/>
          </w:tcPr>
          <w:p>
            <w:pPr>
              <w:rPr>
                <w:rFonts w:ascii="Arial" w:hAnsi="Arial" w:cs="Arial"/>
                <w:color w:val="000000"/>
                <w:sz w:val="20"/>
                <w:szCs w:val="20"/>
              </w:rPr>
            </w:pPr>
          </w:p>
        </w:tc>
        <w:tc>
          <w:tcPr>
            <w:tcW w:w="3998" w:type="dxa"/>
            <w:gridSpan w:val="3"/>
            <w:tcBorders>
              <w:top w:val="nil"/>
              <w:left w:val="nil"/>
              <w:bottom w:val="nil"/>
              <w:right w:val="nil"/>
            </w:tcBorders>
            <w:noWrap/>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公开04表</w:t>
            </w:r>
          </w:p>
        </w:tc>
      </w:tr>
      <w:tr>
        <w:tblPrEx>
          <w:tblCellMar>
            <w:top w:w="0" w:type="dxa"/>
            <w:left w:w="108" w:type="dxa"/>
            <w:bottom w:w="0" w:type="dxa"/>
            <w:right w:w="108" w:type="dxa"/>
          </w:tblCellMar>
        </w:tblPrEx>
        <w:trPr>
          <w:trHeight w:val="255" w:hRule="atLeast"/>
        </w:trPr>
        <w:tc>
          <w:tcPr>
            <w:tcW w:w="10539" w:type="dxa"/>
            <w:gridSpan w:val="6"/>
            <w:tcBorders>
              <w:top w:val="nil"/>
              <w:left w:val="nil"/>
              <w:bottom w:val="nil"/>
              <w:right w:val="nil"/>
            </w:tcBorders>
            <w:noWrap/>
            <w:vAlign w:val="bottom"/>
          </w:tcPr>
          <w:p>
            <w:pPr>
              <w:widowControl/>
              <w:jc w:val="left"/>
              <w:textAlignment w:val="bottom"/>
              <w:rPr>
                <w:rFonts w:hint="eastAsia" w:ascii="宋体" w:hAnsi="宋体" w:cs="宋体"/>
                <w:color w:val="000000"/>
                <w:sz w:val="20"/>
                <w:szCs w:val="20"/>
              </w:rPr>
            </w:pPr>
            <w:r>
              <w:rPr>
                <w:rFonts w:hint="eastAsia" w:ascii="宋体" w:hAnsi="宋体" w:cs="宋体"/>
                <w:color w:val="000000"/>
                <w:kern w:val="0"/>
                <w:sz w:val="20"/>
                <w:szCs w:val="20"/>
                <w:lang w:eastAsia="zh-CN" w:bidi="ar"/>
              </w:rPr>
              <w:t>单位</w:t>
            </w:r>
            <w:r>
              <w:rPr>
                <w:rFonts w:hint="eastAsia" w:ascii="宋体" w:hAnsi="宋体" w:cs="宋体"/>
                <w:color w:val="000000"/>
                <w:kern w:val="0"/>
                <w:sz w:val="20"/>
                <w:szCs w:val="20"/>
                <w:lang w:bidi="ar"/>
              </w:rPr>
              <w:t>：许昌市机关公务用车服务中心</w:t>
            </w:r>
          </w:p>
        </w:tc>
        <w:tc>
          <w:tcPr>
            <w:tcW w:w="3998" w:type="dxa"/>
            <w:gridSpan w:val="3"/>
            <w:tcBorders>
              <w:top w:val="nil"/>
              <w:left w:val="nil"/>
              <w:bottom w:val="nil"/>
              <w:right w:val="nil"/>
            </w:tcBorders>
            <w:noWrap/>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rPr>
          <w:trHeight w:val="308" w:hRule="atLeast"/>
        </w:trPr>
        <w:tc>
          <w:tcPr>
            <w:tcW w:w="531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收     入</w:t>
            </w:r>
          </w:p>
        </w:tc>
        <w:tc>
          <w:tcPr>
            <w:tcW w:w="9218" w:type="dxa"/>
            <w:gridSpan w:val="6"/>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支     出</w:t>
            </w:r>
          </w:p>
        </w:tc>
      </w:tr>
      <w:tr>
        <w:tblPrEx>
          <w:tblCellMar>
            <w:top w:w="0" w:type="dxa"/>
            <w:left w:w="108" w:type="dxa"/>
            <w:bottom w:w="0" w:type="dxa"/>
            <w:right w:w="108" w:type="dxa"/>
          </w:tblCellMar>
        </w:tblPrEx>
        <w:trPr>
          <w:trHeight w:val="312" w:hRule="atLeast"/>
        </w:trPr>
        <w:tc>
          <w:tcPr>
            <w:tcW w:w="3260" w:type="dxa"/>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w:t>
            </w:r>
          </w:p>
        </w:tc>
        <w:tc>
          <w:tcPr>
            <w:tcW w:w="900"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行次</w:t>
            </w:r>
          </w:p>
        </w:tc>
        <w:tc>
          <w:tcPr>
            <w:tcW w:w="1159"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金额</w:t>
            </w:r>
          </w:p>
        </w:tc>
        <w:tc>
          <w:tcPr>
            <w:tcW w:w="3082"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w:t>
            </w:r>
          </w:p>
        </w:tc>
        <w:tc>
          <w:tcPr>
            <w:tcW w:w="911"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行次</w:t>
            </w:r>
          </w:p>
        </w:tc>
        <w:tc>
          <w:tcPr>
            <w:tcW w:w="1227" w:type="dxa"/>
            <w:vMerge w:val="restar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1381"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一般公共预算财政拨款</w:t>
            </w:r>
          </w:p>
        </w:tc>
        <w:tc>
          <w:tcPr>
            <w:tcW w:w="1295"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政府性基金预算财政拨款</w:t>
            </w:r>
          </w:p>
        </w:tc>
        <w:tc>
          <w:tcPr>
            <w:tcW w:w="1322"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国有资本经营预算财政拨款</w:t>
            </w:r>
          </w:p>
        </w:tc>
      </w:tr>
      <w:tr>
        <w:trPr>
          <w:trHeight w:val="615" w:hRule="atLeast"/>
        </w:trPr>
        <w:tc>
          <w:tcPr>
            <w:tcW w:w="326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9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15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308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91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227" w:type="dxa"/>
            <w:vMerge w:val="continue"/>
            <w:tcBorders>
              <w:top w:val="nil"/>
              <w:left w:val="nil"/>
              <w:bottom w:val="single" w:color="000000" w:sz="4" w:space="0"/>
              <w:right w:val="single" w:color="000000" w:sz="4" w:space="0"/>
            </w:tcBorders>
            <w:noWrap/>
            <w:vAlign w:val="center"/>
          </w:tcPr>
          <w:p>
            <w:pPr>
              <w:jc w:val="center"/>
              <w:rPr>
                <w:rFonts w:hint="eastAsia" w:ascii="宋体" w:hAnsi="宋体" w:cs="宋体"/>
                <w:color w:val="000000"/>
                <w:sz w:val="22"/>
              </w:rPr>
            </w:pPr>
          </w:p>
        </w:tc>
        <w:tc>
          <w:tcPr>
            <w:tcW w:w="138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29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32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260"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900" w:type="dxa"/>
            <w:tcBorders>
              <w:top w:val="nil"/>
              <w:left w:val="nil"/>
              <w:bottom w:val="single" w:color="000000" w:sz="4" w:space="0"/>
              <w:right w:val="single" w:color="000000" w:sz="4" w:space="0"/>
            </w:tcBorders>
            <w:noWrap/>
            <w:vAlign w:val="center"/>
          </w:tcPr>
          <w:p>
            <w:pPr>
              <w:jc w:val="center"/>
              <w:rPr>
                <w:rFonts w:hint="eastAsia" w:ascii="宋体" w:hAnsi="宋体" w:cs="宋体"/>
                <w:color w:val="000000"/>
                <w:sz w:val="22"/>
              </w:rPr>
            </w:pPr>
          </w:p>
        </w:tc>
        <w:tc>
          <w:tcPr>
            <w:tcW w:w="1159"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3082"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911" w:type="dxa"/>
            <w:tcBorders>
              <w:top w:val="nil"/>
              <w:left w:val="nil"/>
              <w:bottom w:val="single" w:color="000000" w:sz="4" w:space="0"/>
              <w:right w:val="single" w:color="000000" w:sz="4" w:space="0"/>
            </w:tcBorders>
            <w:noWrap/>
            <w:vAlign w:val="center"/>
          </w:tcPr>
          <w:p>
            <w:pPr>
              <w:jc w:val="center"/>
              <w:rPr>
                <w:rFonts w:hint="eastAsia" w:ascii="宋体" w:hAnsi="宋体" w:cs="宋体"/>
                <w:color w:val="000000"/>
                <w:sz w:val="22"/>
              </w:rPr>
            </w:pPr>
          </w:p>
        </w:tc>
        <w:tc>
          <w:tcPr>
            <w:tcW w:w="1227"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1381"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c>
          <w:tcPr>
            <w:tcW w:w="129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w:t>
            </w:r>
          </w:p>
        </w:tc>
        <w:tc>
          <w:tcPr>
            <w:tcW w:w="1322"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w:t>
            </w:r>
          </w:p>
        </w:tc>
      </w:tr>
      <w:tr>
        <w:trPr>
          <w:trHeight w:val="308" w:hRule="atLeast"/>
        </w:trPr>
        <w:tc>
          <w:tcPr>
            <w:tcW w:w="326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一、一般公共预算财政拨款</w:t>
            </w:r>
          </w:p>
        </w:tc>
        <w:tc>
          <w:tcPr>
            <w:tcW w:w="90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115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716.05</w:t>
            </w:r>
          </w:p>
        </w:tc>
        <w:tc>
          <w:tcPr>
            <w:tcW w:w="3082"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一、一般公共服务支出</w:t>
            </w:r>
          </w:p>
        </w:tc>
        <w:tc>
          <w:tcPr>
            <w:tcW w:w="911"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33</w:t>
            </w:r>
          </w:p>
        </w:tc>
        <w:tc>
          <w:tcPr>
            <w:tcW w:w="122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780.51</w:t>
            </w:r>
          </w:p>
        </w:tc>
        <w:tc>
          <w:tcPr>
            <w:tcW w:w="138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780.51</w:t>
            </w:r>
          </w:p>
        </w:tc>
        <w:tc>
          <w:tcPr>
            <w:tcW w:w="129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322"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326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二、政府性基金预算财政拨款</w:t>
            </w:r>
          </w:p>
        </w:tc>
        <w:tc>
          <w:tcPr>
            <w:tcW w:w="90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1159"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3082"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二、外交支出</w:t>
            </w:r>
          </w:p>
        </w:tc>
        <w:tc>
          <w:tcPr>
            <w:tcW w:w="911"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34</w:t>
            </w:r>
          </w:p>
        </w:tc>
        <w:tc>
          <w:tcPr>
            <w:tcW w:w="1227"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381"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29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322"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rPr>
          <w:trHeight w:val="308" w:hRule="atLeast"/>
        </w:trPr>
        <w:tc>
          <w:tcPr>
            <w:tcW w:w="326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三、国有资本经营预算财政拨款</w:t>
            </w:r>
          </w:p>
        </w:tc>
        <w:tc>
          <w:tcPr>
            <w:tcW w:w="90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c>
          <w:tcPr>
            <w:tcW w:w="1159"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3082"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三、国防支出</w:t>
            </w:r>
          </w:p>
        </w:tc>
        <w:tc>
          <w:tcPr>
            <w:tcW w:w="911"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35</w:t>
            </w:r>
          </w:p>
        </w:tc>
        <w:tc>
          <w:tcPr>
            <w:tcW w:w="1227"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381"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29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322"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326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90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w:t>
            </w: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082"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四、公共安全支出</w:t>
            </w:r>
          </w:p>
        </w:tc>
        <w:tc>
          <w:tcPr>
            <w:tcW w:w="911"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36</w:t>
            </w:r>
          </w:p>
        </w:tc>
        <w:tc>
          <w:tcPr>
            <w:tcW w:w="1227"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381"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29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322"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rPr>
          <w:trHeight w:val="308" w:hRule="atLeast"/>
        </w:trPr>
        <w:tc>
          <w:tcPr>
            <w:tcW w:w="326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90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082"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五、教育支出</w:t>
            </w:r>
          </w:p>
        </w:tc>
        <w:tc>
          <w:tcPr>
            <w:tcW w:w="911"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37</w:t>
            </w:r>
          </w:p>
        </w:tc>
        <w:tc>
          <w:tcPr>
            <w:tcW w:w="1227"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381"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29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322"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326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90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w:t>
            </w: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082"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六、科学技术支出</w:t>
            </w:r>
          </w:p>
        </w:tc>
        <w:tc>
          <w:tcPr>
            <w:tcW w:w="911"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38</w:t>
            </w:r>
          </w:p>
        </w:tc>
        <w:tc>
          <w:tcPr>
            <w:tcW w:w="1227"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381"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29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322"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rPr>
          <w:trHeight w:val="308" w:hRule="atLeast"/>
        </w:trPr>
        <w:tc>
          <w:tcPr>
            <w:tcW w:w="326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90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7</w:t>
            </w: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082"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七、文化旅游体育与传媒支出</w:t>
            </w:r>
          </w:p>
        </w:tc>
        <w:tc>
          <w:tcPr>
            <w:tcW w:w="911"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39</w:t>
            </w:r>
          </w:p>
        </w:tc>
        <w:tc>
          <w:tcPr>
            <w:tcW w:w="1227"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381"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29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322"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326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90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8</w:t>
            </w: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082"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八、社会保障和就业支出</w:t>
            </w:r>
          </w:p>
        </w:tc>
        <w:tc>
          <w:tcPr>
            <w:tcW w:w="911"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40</w:t>
            </w:r>
          </w:p>
        </w:tc>
        <w:tc>
          <w:tcPr>
            <w:tcW w:w="122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6.34</w:t>
            </w:r>
          </w:p>
        </w:tc>
        <w:tc>
          <w:tcPr>
            <w:tcW w:w="138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6.34</w:t>
            </w:r>
          </w:p>
        </w:tc>
        <w:tc>
          <w:tcPr>
            <w:tcW w:w="129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322"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rPr>
          <w:trHeight w:val="308" w:hRule="atLeast"/>
        </w:trPr>
        <w:tc>
          <w:tcPr>
            <w:tcW w:w="326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90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9</w:t>
            </w: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082"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九、卫生健康支出</w:t>
            </w:r>
          </w:p>
        </w:tc>
        <w:tc>
          <w:tcPr>
            <w:tcW w:w="911"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41</w:t>
            </w:r>
          </w:p>
        </w:tc>
        <w:tc>
          <w:tcPr>
            <w:tcW w:w="122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3.02</w:t>
            </w:r>
          </w:p>
        </w:tc>
        <w:tc>
          <w:tcPr>
            <w:tcW w:w="138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3.02</w:t>
            </w:r>
          </w:p>
        </w:tc>
        <w:tc>
          <w:tcPr>
            <w:tcW w:w="129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322"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326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90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10</w:t>
            </w: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082"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十、节能环保支出</w:t>
            </w:r>
          </w:p>
        </w:tc>
        <w:tc>
          <w:tcPr>
            <w:tcW w:w="911"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42</w:t>
            </w:r>
          </w:p>
        </w:tc>
        <w:tc>
          <w:tcPr>
            <w:tcW w:w="122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45.20</w:t>
            </w:r>
          </w:p>
        </w:tc>
        <w:tc>
          <w:tcPr>
            <w:tcW w:w="138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45.20</w:t>
            </w:r>
          </w:p>
        </w:tc>
        <w:tc>
          <w:tcPr>
            <w:tcW w:w="129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322"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rPr>
          <w:trHeight w:val="308" w:hRule="atLeast"/>
        </w:trPr>
        <w:tc>
          <w:tcPr>
            <w:tcW w:w="326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90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11</w:t>
            </w: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082"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十一、城乡社区支出</w:t>
            </w:r>
          </w:p>
        </w:tc>
        <w:tc>
          <w:tcPr>
            <w:tcW w:w="911"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43</w:t>
            </w:r>
          </w:p>
        </w:tc>
        <w:tc>
          <w:tcPr>
            <w:tcW w:w="1227"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381"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29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322"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326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90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12</w:t>
            </w: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082"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十二、农林水支出</w:t>
            </w:r>
          </w:p>
        </w:tc>
        <w:tc>
          <w:tcPr>
            <w:tcW w:w="911"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44</w:t>
            </w:r>
          </w:p>
        </w:tc>
        <w:tc>
          <w:tcPr>
            <w:tcW w:w="1227"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381"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29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322"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rPr>
          <w:trHeight w:val="308" w:hRule="atLeast"/>
        </w:trPr>
        <w:tc>
          <w:tcPr>
            <w:tcW w:w="326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90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13</w:t>
            </w: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082"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十三、交通运输支出</w:t>
            </w:r>
          </w:p>
        </w:tc>
        <w:tc>
          <w:tcPr>
            <w:tcW w:w="911"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45</w:t>
            </w:r>
          </w:p>
        </w:tc>
        <w:tc>
          <w:tcPr>
            <w:tcW w:w="1227"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381"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29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322"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326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90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14</w:t>
            </w: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082"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十四、资源勘探工业信息等支出</w:t>
            </w:r>
          </w:p>
        </w:tc>
        <w:tc>
          <w:tcPr>
            <w:tcW w:w="911"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46</w:t>
            </w:r>
          </w:p>
        </w:tc>
        <w:tc>
          <w:tcPr>
            <w:tcW w:w="1227"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381"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29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322"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rPr>
          <w:trHeight w:val="308" w:hRule="atLeast"/>
        </w:trPr>
        <w:tc>
          <w:tcPr>
            <w:tcW w:w="326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90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15</w:t>
            </w: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082"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十五、商业服务业等支出</w:t>
            </w:r>
          </w:p>
        </w:tc>
        <w:tc>
          <w:tcPr>
            <w:tcW w:w="911"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47</w:t>
            </w:r>
          </w:p>
        </w:tc>
        <w:tc>
          <w:tcPr>
            <w:tcW w:w="1227"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381"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29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322"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326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90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16</w:t>
            </w: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082"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十六、金融支出</w:t>
            </w:r>
          </w:p>
        </w:tc>
        <w:tc>
          <w:tcPr>
            <w:tcW w:w="911"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48</w:t>
            </w:r>
          </w:p>
        </w:tc>
        <w:tc>
          <w:tcPr>
            <w:tcW w:w="1227"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381"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29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322"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rPr>
          <w:trHeight w:val="308" w:hRule="atLeast"/>
        </w:trPr>
        <w:tc>
          <w:tcPr>
            <w:tcW w:w="326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90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17</w:t>
            </w: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082"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十七、援助其他地区支出</w:t>
            </w:r>
          </w:p>
        </w:tc>
        <w:tc>
          <w:tcPr>
            <w:tcW w:w="911"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49</w:t>
            </w:r>
          </w:p>
        </w:tc>
        <w:tc>
          <w:tcPr>
            <w:tcW w:w="1227"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381"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29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322"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326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90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18</w:t>
            </w: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082"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十八、自然资源海洋气象等支出</w:t>
            </w:r>
          </w:p>
        </w:tc>
        <w:tc>
          <w:tcPr>
            <w:tcW w:w="911"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50</w:t>
            </w:r>
          </w:p>
        </w:tc>
        <w:tc>
          <w:tcPr>
            <w:tcW w:w="1227"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381"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29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322"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rPr>
          <w:trHeight w:val="308" w:hRule="atLeast"/>
        </w:trPr>
        <w:tc>
          <w:tcPr>
            <w:tcW w:w="326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90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19</w:t>
            </w: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082"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十九、住房保障支出</w:t>
            </w:r>
          </w:p>
        </w:tc>
        <w:tc>
          <w:tcPr>
            <w:tcW w:w="911"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51</w:t>
            </w:r>
          </w:p>
        </w:tc>
        <w:tc>
          <w:tcPr>
            <w:tcW w:w="1227"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381"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29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322"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326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90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20</w:t>
            </w: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082"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二十、粮油物资储备支出</w:t>
            </w:r>
          </w:p>
        </w:tc>
        <w:tc>
          <w:tcPr>
            <w:tcW w:w="911"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52</w:t>
            </w:r>
          </w:p>
        </w:tc>
        <w:tc>
          <w:tcPr>
            <w:tcW w:w="1227"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381"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29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322"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rPr>
          <w:trHeight w:val="308" w:hRule="atLeast"/>
        </w:trPr>
        <w:tc>
          <w:tcPr>
            <w:tcW w:w="326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90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21</w:t>
            </w: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082"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二十一、国有资本经营预算支出</w:t>
            </w:r>
          </w:p>
        </w:tc>
        <w:tc>
          <w:tcPr>
            <w:tcW w:w="911"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53</w:t>
            </w:r>
          </w:p>
        </w:tc>
        <w:tc>
          <w:tcPr>
            <w:tcW w:w="1227"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381"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29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322"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326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90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22</w:t>
            </w: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082"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二十二、灾害防治及应急管理支出</w:t>
            </w:r>
          </w:p>
        </w:tc>
        <w:tc>
          <w:tcPr>
            <w:tcW w:w="911"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54</w:t>
            </w:r>
          </w:p>
        </w:tc>
        <w:tc>
          <w:tcPr>
            <w:tcW w:w="1227"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381"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29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322"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rPr>
          <w:trHeight w:val="308" w:hRule="atLeast"/>
        </w:trPr>
        <w:tc>
          <w:tcPr>
            <w:tcW w:w="326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90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23</w:t>
            </w: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082"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二十三、其他支出</w:t>
            </w:r>
          </w:p>
        </w:tc>
        <w:tc>
          <w:tcPr>
            <w:tcW w:w="911"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55</w:t>
            </w:r>
          </w:p>
        </w:tc>
        <w:tc>
          <w:tcPr>
            <w:tcW w:w="1227"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381"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29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322"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3260"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cs="宋体"/>
                <w:b/>
                <w:bCs/>
                <w:color w:val="000000"/>
                <w:sz w:val="20"/>
                <w:szCs w:val="20"/>
              </w:rPr>
            </w:pPr>
          </w:p>
        </w:tc>
        <w:tc>
          <w:tcPr>
            <w:tcW w:w="90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24</w:t>
            </w: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082"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二十四、债务还本支出</w:t>
            </w:r>
          </w:p>
        </w:tc>
        <w:tc>
          <w:tcPr>
            <w:tcW w:w="911"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56</w:t>
            </w:r>
          </w:p>
        </w:tc>
        <w:tc>
          <w:tcPr>
            <w:tcW w:w="1227"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381"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29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322"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rPr>
          <w:trHeight w:val="308" w:hRule="atLeast"/>
        </w:trPr>
        <w:tc>
          <w:tcPr>
            <w:tcW w:w="326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0"/>
                <w:szCs w:val="20"/>
              </w:rPr>
            </w:pPr>
          </w:p>
        </w:tc>
        <w:tc>
          <w:tcPr>
            <w:tcW w:w="90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25</w:t>
            </w: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082"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二十五、债务付息支出</w:t>
            </w:r>
          </w:p>
        </w:tc>
        <w:tc>
          <w:tcPr>
            <w:tcW w:w="911"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57</w:t>
            </w:r>
          </w:p>
        </w:tc>
        <w:tc>
          <w:tcPr>
            <w:tcW w:w="1227"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381"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29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322"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326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0"/>
                <w:szCs w:val="20"/>
              </w:rPr>
            </w:pPr>
          </w:p>
        </w:tc>
        <w:tc>
          <w:tcPr>
            <w:tcW w:w="90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26</w:t>
            </w: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082"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二十六、抗疫特别国债安排的支出</w:t>
            </w:r>
          </w:p>
        </w:tc>
        <w:tc>
          <w:tcPr>
            <w:tcW w:w="911"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58</w:t>
            </w:r>
          </w:p>
        </w:tc>
        <w:tc>
          <w:tcPr>
            <w:tcW w:w="1227"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381"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29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322"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rPr>
          <w:trHeight w:val="308" w:hRule="atLeast"/>
        </w:trPr>
        <w:tc>
          <w:tcPr>
            <w:tcW w:w="3260"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本年收入合计</w:t>
            </w:r>
          </w:p>
        </w:tc>
        <w:tc>
          <w:tcPr>
            <w:tcW w:w="90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27</w:t>
            </w:r>
          </w:p>
        </w:tc>
        <w:tc>
          <w:tcPr>
            <w:tcW w:w="115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716.05</w:t>
            </w:r>
          </w:p>
        </w:tc>
        <w:tc>
          <w:tcPr>
            <w:tcW w:w="3082"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本年支出合计</w:t>
            </w:r>
          </w:p>
        </w:tc>
        <w:tc>
          <w:tcPr>
            <w:tcW w:w="911"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59</w:t>
            </w:r>
          </w:p>
        </w:tc>
        <w:tc>
          <w:tcPr>
            <w:tcW w:w="122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835.08</w:t>
            </w:r>
          </w:p>
        </w:tc>
        <w:tc>
          <w:tcPr>
            <w:tcW w:w="138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835.08</w:t>
            </w:r>
          </w:p>
        </w:tc>
        <w:tc>
          <w:tcPr>
            <w:tcW w:w="129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322"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326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年初财政拨款结转和结余</w:t>
            </w:r>
          </w:p>
        </w:tc>
        <w:tc>
          <w:tcPr>
            <w:tcW w:w="90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28</w:t>
            </w:r>
          </w:p>
        </w:tc>
        <w:tc>
          <w:tcPr>
            <w:tcW w:w="115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119.03</w:t>
            </w:r>
          </w:p>
        </w:tc>
        <w:tc>
          <w:tcPr>
            <w:tcW w:w="3082"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年末财政拨款结转和结余</w:t>
            </w:r>
          </w:p>
        </w:tc>
        <w:tc>
          <w:tcPr>
            <w:tcW w:w="911"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60</w:t>
            </w:r>
          </w:p>
        </w:tc>
        <w:tc>
          <w:tcPr>
            <w:tcW w:w="122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0.00</w:t>
            </w:r>
          </w:p>
        </w:tc>
        <w:tc>
          <w:tcPr>
            <w:tcW w:w="138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0.00</w:t>
            </w:r>
          </w:p>
        </w:tc>
        <w:tc>
          <w:tcPr>
            <w:tcW w:w="129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322"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rPr>
          <w:trHeight w:val="308" w:hRule="atLeast"/>
        </w:trPr>
        <w:tc>
          <w:tcPr>
            <w:tcW w:w="326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一般公共预算财政拨款</w:t>
            </w:r>
          </w:p>
        </w:tc>
        <w:tc>
          <w:tcPr>
            <w:tcW w:w="90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29</w:t>
            </w:r>
          </w:p>
        </w:tc>
        <w:tc>
          <w:tcPr>
            <w:tcW w:w="115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119.03</w:t>
            </w:r>
          </w:p>
        </w:tc>
        <w:tc>
          <w:tcPr>
            <w:tcW w:w="3082" w:type="dxa"/>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911"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61</w:t>
            </w: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381"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295"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322"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26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政府性基金预算财政拨款</w:t>
            </w:r>
          </w:p>
        </w:tc>
        <w:tc>
          <w:tcPr>
            <w:tcW w:w="90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30</w:t>
            </w:r>
          </w:p>
        </w:tc>
        <w:tc>
          <w:tcPr>
            <w:tcW w:w="1159"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3082" w:type="dxa"/>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911"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62</w:t>
            </w: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381"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295"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322"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rPr>
          <w:trHeight w:val="308" w:hRule="atLeast"/>
        </w:trPr>
        <w:tc>
          <w:tcPr>
            <w:tcW w:w="326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国有资本经营预算财政拨款</w:t>
            </w:r>
          </w:p>
        </w:tc>
        <w:tc>
          <w:tcPr>
            <w:tcW w:w="90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31</w:t>
            </w:r>
          </w:p>
        </w:tc>
        <w:tc>
          <w:tcPr>
            <w:tcW w:w="1159"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3082" w:type="dxa"/>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911"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63</w:t>
            </w: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381"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295"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322"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260"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总计</w:t>
            </w:r>
          </w:p>
        </w:tc>
        <w:tc>
          <w:tcPr>
            <w:tcW w:w="900" w:type="dxa"/>
            <w:tcBorders>
              <w:top w:val="nil"/>
              <w:left w:val="nil"/>
              <w:bottom w:val="single" w:color="000000" w:sz="8"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32</w:t>
            </w:r>
          </w:p>
        </w:tc>
        <w:tc>
          <w:tcPr>
            <w:tcW w:w="115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835.08</w:t>
            </w:r>
          </w:p>
        </w:tc>
        <w:tc>
          <w:tcPr>
            <w:tcW w:w="3082"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总计</w:t>
            </w:r>
          </w:p>
        </w:tc>
        <w:tc>
          <w:tcPr>
            <w:tcW w:w="911"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64</w:t>
            </w:r>
          </w:p>
        </w:tc>
        <w:tc>
          <w:tcPr>
            <w:tcW w:w="122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835.08</w:t>
            </w:r>
          </w:p>
        </w:tc>
        <w:tc>
          <w:tcPr>
            <w:tcW w:w="138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835.08</w:t>
            </w:r>
          </w:p>
        </w:tc>
        <w:tc>
          <w:tcPr>
            <w:tcW w:w="129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322"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rPr>
          <w:trHeight w:val="308" w:hRule="atLeast"/>
        </w:trPr>
        <w:tc>
          <w:tcPr>
            <w:tcW w:w="14537" w:type="dxa"/>
            <w:gridSpan w:val="9"/>
            <w:tcBorders>
              <w:top w:val="nil"/>
              <w:left w:val="nil"/>
              <w:bottom w:val="nil"/>
              <w:right w:val="nil"/>
            </w:tcBorders>
            <w:noWrap/>
            <w:vAlign w:val="center"/>
          </w:tcPr>
          <w:p>
            <w:pPr>
              <w:jc w:val="left"/>
              <w:rPr>
                <w:rFonts w:hint="eastAsia" w:ascii="宋体" w:hAnsi="宋体" w:cs="宋体"/>
                <w:color w:val="000000"/>
                <w:sz w:val="20"/>
                <w:szCs w:val="20"/>
              </w:rPr>
            </w:pPr>
            <w:r>
              <w:rPr>
                <w:rFonts w:hint="eastAsia" w:ascii="宋体" w:hAnsi="宋体" w:cs="宋体"/>
                <w:color w:val="000000"/>
                <w:kern w:val="0"/>
                <w:sz w:val="22"/>
                <w:lang w:bidi="ar"/>
              </w:rPr>
              <w:t>注：本表反映</w:t>
            </w:r>
            <w:r>
              <w:rPr>
                <w:rFonts w:hint="eastAsia" w:ascii="宋体" w:hAnsi="宋体" w:cs="宋体"/>
                <w:color w:val="000000"/>
                <w:kern w:val="0"/>
                <w:sz w:val="22"/>
                <w:lang w:eastAsia="zh-CN" w:bidi="ar"/>
              </w:rPr>
              <w:t>单位</w:t>
            </w:r>
            <w:r>
              <w:rPr>
                <w:rFonts w:hint="eastAsia" w:ascii="宋体" w:hAnsi="宋体" w:cs="宋体"/>
                <w:color w:val="000000"/>
                <w:kern w:val="0"/>
                <w:sz w:val="22"/>
                <w:lang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9"/>
        <w:tblW w:w="13943" w:type="dxa"/>
        <w:tblInd w:w="93" w:type="dxa"/>
        <w:tblLayout w:type="fixed"/>
        <w:tblCellMar>
          <w:top w:w="0" w:type="dxa"/>
          <w:left w:w="108" w:type="dxa"/>
          <w:bottom w:w="0" w:type="dxa"/>
          <w:right w:w="108" w:type="dxa"/>
        </w:tblCellMar>
      </w:tblPr>
      <w:tblGrid>
        <w:gridCol w:w="329"/>
        <w:gridCol w:w="329"/>
        <w:gridCol w:w="574"/>
        <w:gridCol w:w="3461"/>
        <w:gridCol w:w="3073"/>
        <w:gridCol w:w="1841"/>
        <w:gridCol w:w="4336"/>
      </w:tblGrid>
      <w:tr>
        <w:tblPrEx>
          <w:tblCellMar>
            <w:top w:w="0" w:type="dxa"/>
            <w:left w:w="108" w:type="dxa"/>
            <w:bottom w:w="0" w:type="dxa"/>
            <w:right w:w="108" w:type="dxa"/>
          </w:tblCellMar>
        </w:tblPrEx>
        <w:trPr>
          <w:trHeight w:val="390" w:hRule="atLeast"/>
        </w:trPr>
        <w:tc>
          <w:tcPr>
            <w:tcW w:w="13943" w:type="dxa"/>
            <w:gridSpan w:val="7"/>
            <w:tcBorders>
              <w:top w:val="nil"/>
              <w:left w:val="nil"/>
              <w:bottom w:val="nil"/>
              <w:right w:val="nil"/>
            </w:tcBorders>
            <w:noWrap/>
            <w:vAlign w:val="bottom"/>
          </w:tcPr>
          <w:p>
            <w:pPr>
              <w:widowControl/>
              <w:jc w:val="center"/>
              <w:textAlignment w:val="bottom"/>
              <w:rPr>
                <w:rFonts w:hint="eastAsia" w:ascii="宋体" w:hAnsi="宋体" w:cs="宋体"/>
                <w:color w:val="000000"/>
                <w:sz w:val="30"/>
                <w:szCs w:val="30"/>
              </w:rPr>
            </w:pPr>
            <w:r>
              <w:rPr>
                <w:rFonts w:hint="eastAsia" w:ascii="宋体" w:hAnsi="宋体" w:cs="宋体"/>
                <w:color w:val="000000"/>
                <w:kern w:val="0"/>
                <w:sz w:val="30"/>
                <w:szCs w:val="30"/>
                <w:lang w:bidi="ar"/>
              </w:rPr>
              <w:t>一般公共预算财政拨款支出决算表</w:t>
            </w:r>
          </w:p>
        </w:tc>
      </w:tr>
      <w:tr>
        <w:trPr>
          <w:trHeight w:val="255" w:hRule="atLeast"/>
        </w:trPr>
        <w:tc>
          <w:tcPr>
            <w:tcW w:w="329" w:type="dxa"/>
            <w:tcBorders>
              <w:top w:val="nil"/>
              <w:left w:val="nil"/>
              <w:bottom w:val="nil"/>
              <w:right w:val="nil"/>
            </w:tcBorders>
            <w:noWrap/>
            <w:vAlign w:val="bottom"/>
          </w:tcPr>
          <w:p>
            <w:pPr>
              <w:rPr>
                <w:rFonts w:hint="eastAsia" w:ascii="Arial" w:hAnsi="Arial" w:cs="Arial"/>
                <w:color w:val="000000"/>
                <w:sz w:val="20"/>
                <w:szCs w:val="20"/>
              </w:rPr>
            </w:pPr>
          </w:p>
        </w:tc>
        <w:tc>
          <w:tcPr>
            <w:tcW w:w="329" w:type="dxa"/>
            <w:tcBorders>
              <w:top w:val="nil"/>
              <w:left w:val="nil"/>
              <w:bottom w:val="nil"/>
              <w:right w:val="nil"/>
            </w:tcBorders>
            <w:noWrap/>
            <w:vAlign w:val="bottom"/>
          </w:tcPr>
          <w:p>
            <w:pPr>
              <w:rPr>
                <w:rFonts w:ascii="Arial" w:hAnsi="Arial" w:cs="Arial"/>
                <w:color w:val="000000"/>
                <w:sz w:val="20"/>
                <w:szCs w:val="20"/>
              </w:rPr>
            </w:pPr>
          </w:p>
        </w:tc>
        <w:tc>
          <w:tcPr>
            <w:tcW w:w="574" w:type="dxa"/>
            <w:tcBorders>
              <w:top w:val="nil"/>
              <w:left w:val="nil"/>
              <w:bottom w:val="nil"/>
              <w:right w:val="nil"/>
            </w:tcBorders>
            <w:noWrap/>
            <w:vAlign w:val="bottom"/>
          </w:tcPr>
          <w:p>
            <w:pPr>
              <w:rPr>
                <w:rFonts w:ascii="Arial" w:hAnsi="Arial" w:cs="Arial"/>
                <w:color w:val="000000"/>
                <w:sz w:val="20"/>
                <w:szCs w:val="20"/>
              </w:rPr>
            </w:pPr>
          </w:p>
        </w:tc>
        <w:tc>
          <w:tcPr>
            <w:tcW w:w="3461" w:type="dxa"/>
            <w:tcBorders>
              <w:top w:val="nil"/>
              <w:left w:val="nil"/>
              <w:bottom w:val="nil"/>
              <w:right w:val="nil"/>
            </w:tcBorders>
            <w:noWrap/>
            <w:vAlign w:val="bottom"/>
          </w:tcPr>
          <w:p>
            <w:pPr>
              <w:rPr>
                <w:rFonts w:ascii="Arial" w:hAnsi="Arial" w:cs="Arial"/>
                <w:color w:val="000000"/>
                <w:sz w:val="20"/>
                <w:szCs w:val="20"/>
              </w:rPr>
            </w:pPr>
          </w:p>
        </w:tc>
        <w:tc>
          <w:tcPr>
            <w:tcW w:w="3073" w:type="dxa"/>
            <w:tcBorders>
              <w:top w:val="nil"/>
              <w:left w:val="nil"/>
              <w:bottom w:val="nil"/>
              <w:right w:val="nil"/>
            </w:tcBorders>
            <w:noWrap/>
            <w:vAlign w:val="bottom"/>
          </w:tcPr>
          <w:p>
            <w:pPr>
              <w:rPr>
                <w:rFonts w:ascii="Arial" w:hAnsi="Arial" w:cs="Arial"/>
                <w:color w:val="000000"/>
                <w:sz w:val="20"/>
                <w:szCs w:val="20"/>
              </w:rPr>
            </w:pPr>
          </w:p>
        </w:tc>
        <w:tc>
          <w:tcPr>
            <w:tcW w:w="6177" w:type="dxa"/>
            <w:gridSpan w:val="2"/>
            <w:tcBorders>
              <w:top w:val="nil"/>
              <w:left w:val="nil"/>
              <w:bottom w:val="nil"/>
              <w:right w:val="nil"/>
            </w:tcBorders>
            <w:noWrap/>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公开05表</w:t>
            </w:r>
          </w:p>
        </w:tc>
      </w:tr>
      <w:tr>
        <w:tblPrEx>
          <w:tblCellMar>
            <w:top w:w="0" w:type="dxa"/>
            <w:left w:w="108" w:type="dxa"/>
            <w:bottom w:w="0" w:type="dxa"/>
            <w:right w:w="108" w:type="dxa"/>
          </w:tblCellMar>
        </w:tblPrEx>
        <w:trPr>
          <w:trHeight w:val="255" w:hRule="atLeast"/>
        </w:trPr>
        <w:tc>
          <w:tcPr>
            <w:tcW w:w="7766" w:type="dxa"/>
            <w:gridSpan w:val="5"/>
            <w:tcBorders>
              <w:top w:val="nil"/>
              <w:left w:val="nil"/>
              <w:bottom w:val="nil"/>
              <w:right w:val="nil"/>
            </w:tcBorders>
            <w:noWrap/>
            <w:vAlign w:val="bottom"/>
          </w:tcPr>
          <w:p>
            <w:pPr>
              <w:widowControl/>
              <w:jc w:val="left"/>
              <w:textAlignment w:val="bottom"/>
              <w:rPr>
                <w:rFonts w:hint="eastAsia" w:ascii="宋体" w:hAnsi="宋体" w:cs="宋体"/>
                <w:color w:val="000000"/>
                <w:sz w:val="20"/>
                <w:szCs w:val="20"/>
              </w:rPr>
            </w:pPr>
            <w:r>
              <w:rPr>
                <w:rFonts w:hint="eastAsia" w:ascii="宋体" w:hAnsi="宋体" w:cs="宋体"/>
                <w:color w:val="000000"/>
                <w:kern w:val="0"/>
                <w:sz w:val="20"/>
                <w:szCs w:val="20"/>
                <w:lang w:eastAsia="zh-CN" w:bidi="ar"/>
              </w:rPr>
              <w:t>单位</w:t>
            </w:r>
            <w:r>
              <w:rPr>
                <w:rFonts w:hint="eastAsia" w:ascii="宋体" w:hAnsi="宋体" w:cs="宋体"/>
                <w:color w:val="000000"/>
                <w:kern w:val="0"/>
                <w:sz w:val="20"/>
                <w:szCs w:val="20"/>
                <w:lang w:bidi="ar"/>
              </w:rPr>
              <w:t>：许昌市机关公务用车服务中心</w:t>
            </w:r>
          </w:p>
        </w:tc>
        <w:tc>
          <w:tcPr>
            <w:tcW w:w="6177" w:type="dxa"/>
            <w:gridSpan w:val="2"/>
            <w:tcBorders>
              <w:top w:val="nil"/>
              <w:left w:val="nil"/>
              <w:bottom w:val="nil"/>
              <w:right w:val="nil"/>
            </w:tcBorders>
            <w:noWrap/>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rPr>
          <w:trHeight w:val="308" w:hRule="atLeast"/>
        </w:trPr>
        <w:tc>
          <w:tcPr>
            <w:tcW w:w="4693"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w:t>
            </w:r>
          </w:p>
        </w:tc>
        <w:tc>
          <w:tcPr>
            <w:tcW w:w="9250" w:type="dxa"/>
            <w:gridSpan w:val="3"/>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本年支出</w:t>
            </w:r>
          </w:p>
        </w:tc>
      </w:tr>
      <w:tr>
        <w:tblPrEx>
          <w:tblCellMar>
            <w:top w:w="0" w:type="dxa"/>
            <w:left w:w="108" w:type="dxa"/>
            <w:bottom w:w="0" w:type="dxa"/>
            <w:right w:w="108" w:type="dxa"/>
          </w:tblCellMar>
        </w:tblPrEx>
        <w:trPr>
          <w:trHeight w:val="312" w:hRule="atLeast"/>
        </w:trPr>
        <w:tc>
          <w:tcPr>
            <w:tcW w:w="1232" w:type="dxa"/>
            <w:gridSpan w:val="3"/>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功能分类科目编码</w:t>
            </w:r>
          </w:p>
        </w:tc>
        <w:tc>
          <w:tcPr>
            <w:tcW w:w="3461" w:type="dxa"/>
            <w:vMerge w:val="restar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3073"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小计</w:t>
            </w:r>
          </w:p>
        </w:tc>
        <w:tc>
          <w:tcPr>
            <w:tcW w:w="1841"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基本支出</w:t>
            </w:r>
          </w:p>
        </w:tc>
        <w:tc>
          <w:tcPr>
            <w:tcW w:w="4336"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项目支出</w:t>
            </w:r>
          </w:p>
        </w:tc>
      </w:tr>
      <w:tr>
        <w:trPr>
          <w:trHeight w:val="312" w:hRule="atLeast"/>
        </w:trPr>
        <w:tc>
          <w:tcPr>
            <w:tcW w:w="1232"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3461" w:type="dxa"/>
            <w:vMerge w:val="continue"/>
            <w:tcBorders>
              <w:top w:val="nil"/>
              <w:left w:val="nil"/>
              <w:bottom w:val="single" w:color="000000" w:sz="4" w:space="0"/>
              <w:right w:val="single" w:color="000000" w:sz="4" w:space="0"/>
            </w:tcBorders>
            <w:noWrap/>
            <w:vAlign w:val="center"/>
          </w:tcPr>
          <w:p>
            <w:pPr>
              <w:jc w:val="center"/>
              <w:rPr>
                <w:rFonts w:hint="eastAsia" w:ascii="宋体" w:hAnsi="宋体" w:cs="宋体"/>
                <w:color w:val="000000"/>
                <w:sz w:val="22"/>
              </w:rPr>
            </w:pPr>
          </w:p>
        </w:tc>
        <w:tc>
          <w:tcPr>
            <w:tcW w:w="307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84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433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r>
      <w:tr>
        <w:tblPrEx>
          <w:tblCellMar>
            <w:top w:w="0" w:type="dxa"/>
            <w:left w:w="108" w:type="dxa"/>
            <w:bottom w:w="0" w:type="dxa"/>
            <w:right w:w="108" w:type="dxa"/>
          </w:tblCellMar>
        </w:tblPrEx>
        <w:trPr>
          <w:trHeight w:val="312" w:hRule="atLeast"/>
        </w:trPr>
        <w:tc>
          <w:tcPr>
            <w:tcW w:w="1232"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3461" w:type="dxa"/>
            <w:vMerge w:val="continue"/>
            <w:tcBorders>
              <w:top w:val="nil"/>
              <w:left w:val="nil"/>
              <w:bottom w:val="single" w:color="000000" w:sz="4" w:space="0"/>
              <w:right w:val="single" w:color="000000" w:sz="4" w:space="0"/>
            </w:tcBorders>
            <w:noWrap/>
            <w:vAlign w:val="center"/>
          </w:tcPr>
          <w:p>
            <w:pPr>
              <w:jc w:val="center"/>
              <w:rPr>
                <w:rFonts w:hint="eastAsia" w:ascii="宋体" w:hAnsi="宋体" w:cs="宋体"/>
                <w:color w:val="000000"/>
                <w:sz w:val="22"/>
              </w:rPr>
            </w:pPr>
          </w:p>
        </w:tc>
        <w:tc>
          <w:tcPr>
            <w:tcW w:w="307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84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433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r>
      <w:tr>
        <w:trPr>
          <w:trHeight w:val="308" w:hRule="atLeast"/>
        </w:trPr>
        <w:tc>
          <w:tcPr>
            <w:tcW w:w="4693" w:type="dxa"/>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3073"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1841"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433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r>
      <w:tr>
        <w:tblPrEx>
          <w:tblCellMar>
            <w:top w:w="0" w:type="dxa"/>
            <w:left w:w="108" w:type="dxa"/>
            <w:bottom w:w="0" w:type="dxa"/>
            <w:right w:w="108" w:type="dxa"/>
          </w:tblCellMar>
        </w:tblPrEx>
        <w:trPr>
          <w:trHeight w:val="308" w:hRule="atLeast"/>
        </w:trPr>
        <w:tc>
          <w:tcPr>
            <w:tcW w:w="4693" w:type="dxa"/>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307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lang w:bidi="ar"/>
              </w:rPr>
              <w:t>835.08</w:t>
            </w:r>
          </w:p>
        </w:tc>
        <w:tc>
          <w:tcPr>
            <w:tcW w:w="184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lang w:bidi="ar"/>
              </w:rPr>
              <w:t>775.14</w:t>
            </w:r>
          </w:p>
        </w:tc>
        <w:tc>
          <w:tcPr>
            <w:tcW w:w="433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lang w:bidi="ar"/>
              </w:rPr>
              <w:t>59.94</w:t>
            </w:r>
          </w:p>
        </w:tc>
      </w:tr>
      <w:tr>
        <w:trPr>
          <w:trHeight w:val="308" w:hRule="atLeast"/>
        </w:trPr>
        <w:tc>
          <w:tcPr>
            <w:tcW w:w="123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w:t>
            </w:r>
          </w:p>
        </w:tc>
        <w:tc>
          <w:tcPr>
            <w:tcW w:w="3461"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一般公共服务支出</w:t>
            </w:r>
          </w:p>
        </w:tc>
        <w:tc>
          <w:tcPr>
            <w:tcW w:w="307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780.51</w:t>
            </w:r>
          </w:p>
        </w:tc>
        <w:tc>
          <w:tcPr>
            <w:tcW w:w="184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765.78</w:t>
            </w:r>
          </w:p>
        </w:tc>
        <w:tc>
          <w:tcPr>
            <w:tcW w:w="433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14.74</w:t>
            </w:r>
          </w:p>
        </w:tc>
      </w:tr>
      <w:tr>
        <w:tblPrEx>
          <w:tblCellMar>
            <w:top w:w="0" w:type="dxa"/>
            <w:left w:w="108" w:type="dxa"/>
            <w:bottom w:w="0" w:type="dxa"/>
            <w:right w:w="108" w:type="dxa"/>
          </w:tblCellMar>
        </w:tblPrEx>
        <w:trPr>
          <w:trHeight w:val="308" w:hRule="atLeast"/>
        </w:trPr>
        <w:tc>
          <w:tcPr>
            <w:tcW w:w="123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22"/>
                <w:lang w:bidi="ar"/>
              </w:rPr>
            </w:pPr>
            <w:r>
              <w:rPr>
                <w:rFonts w:hint="eastAsia" w:ascii="宋体" w:hAnsi="宋体" w:cs="宋体"/>
                <w:color w:val="000000"/>
                <w:kern w:val="0"/>
                <w:sz w:val="22"/>
                <w:lang w:bidi="ar"/>
              </w:rPr>
              <w:t>20101</w:t>
            </w:r>
          </w:p>
        </w:tc>
        <w:tc>
          <w:tcPr>
            <w:tcW w:w="346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22"/>
                <w:lang w:bidi="ar"/>
              </w:rPr>
            </w:pPr>
            <w:r>
              <w:rPr>
                <w:rFonts w:hint="eastAsia" w:ascii="宋体" w:hAnsi="宋体" w:cs="宋体"/>
                <w:color w:val="000000"/>
                <w:kern w:val="0"/>
                <w:sz w:val="22"/>
                <w:lang w:bidi="ar"/>
              </w:rPr>
              <w:t>人大事务</w:t>
            </w:r>
          </w:p>
        </w:tc>
        <w:tc>
          <w:tcPr>
            <w:tcW w:w="307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kern w:val="0"/>
                <w:sz w:val="22"/>
                <w:lang w:bidi="ar"/>
              </w:rPr>
            </w:pPr>
            <w:r>
              <w:rPr>
                <w:rFonts w:hint="eastAsia" w:ascii="宋体" w:hAnsi="宋体" w:cs="宋体"/>
                <w:color w:val="000000"/>
                <w:kern w:val="0"/>
                <w:sz w:val="22"/>
                <w:lang w:bidi="ar"/>
              </w:rPr>
              <w:t>25.00</w:t>
            </w:r>
          </w:p>
        </w:tc>
        <w:tc>
          <w:tcPr>
            <w:tcW w:w="184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kern w:val="0"/>
                <w:sz w:val="22"/>
                <w:lang w:bidi="ar"/>
              </w:rPr>
            </w:pPr>
            <w:r>
              <w:rPr>
                <w:rFonts w:hint="eastAsia" w:ascii="宋体" w:hAnsi="宋体" w:cs="宋体"/>
                <w:color w:val="000000"/>
                <w:kern w:val="0"/>
                <w:sz w:val="22"/>
                <w:lang w:bidi="ar"/>
              </w:rPr>
              <w:t>25.00</w:t>
            </w:r>
          </w:p>
        </w:tc>
        <w:tc>
          <w:tcPr>
            <w:tcW w:w="433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kern w:val="0"/>
                <w:sz w:val="22"/>
                <w:lang w:bidi="ar"/>
              </w:rPr>
            </w:pPr>
            <w:r>
              <w:rPr>
                <w:rFonts w:hint="eastAsia" w:ascii="宋体" w:hAnsi="宋体" w:cs="宋体"/>
                <w:color w:val="000000"/>
                <w:kern w:val="0"/>
                <w:sz w:val="22"/>
                <w:lang w:bidi="ar"/>
              </w:rPr>
              <w:t>0.00</w:t>
            </w:r>
          </w:p>
        </w:tc>
      </w:tr>
      <w:tr>
        <w:trPr>
          <w:trHeight w:val="308" w:hRule="atLeast"/>
        </w:trPr>
        <w:tc>
          <w:tcPr>
            <w:tcW w:w="123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22"/>
                <w:lang w:bidi="ar"/>
              </w:rPr>
            </w:pPr>
            <w:r>
              <w:rPr>
                <w:rFonts w:hint="eastAsia" w:ascii="宋体" w:hAnsi="宋体" w:cs="宋体"/>
                <w:color w:val="000000"/>
                <w:kern w:val="0"/>
                <w:sz w:val="22"/>
                <w:lang w:bidi="ar"/>
              </w:rPr>
              <w:t>2010150</w:t>
            </w:r>
          </w:p>
        </w:tc>
        <w:tc>
          <w:tcPr>
            <w:tcW w:w="346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22"/>
                <w:lang w:bidi="ar"/>
              </w:rPr>
            </w:pPr>
            <w:r>
              <w:rPr>
                <w:rFonts w:hint="eastAsia" w:ascii="宋体" w:hAnsi="宋体" w:cs="宋体"/>
                <w:color w:val="000000"/>
                <w:kern w:val="0"/>
                <w:sz w:val="22"/>
                <w:lang w:bidi="ar"/>
              </w:rPr>
              <w:t>事业运行</w:t>
            </w:r>
          </w:p>
        </w:tc>
        <w:tc>
          <w:tcPr>
            <w:tcW w:w="307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kern w:val="0"/>
                <w:sz w:val="22"/>
                <w:lang w:bidi="ar"/>
              </w:rPr>
            </w:pPr>
            <w:r>
              <w:rPr>
                <w:rFonts w:hint="eastAsia" w:ascii="宋体" w:hAnsi="宋体" w:cs="宋体"/>
                <w:color w:val="000000"/>
                <w:kern w:val="0"/>
                <w:sz w:val="22"/>
                <w:lang w:bidi="ar"/>
              </w:rPr>
              <w:t>25.00</w:t>
            </w:r>
          </w:p>
        </w:tc>
        <w:tc>
          <w:tcPr>
            <w:tcW w:w="184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kern w:val="0"/>
                <w:sz w:val="22"/>
                <w:lang w:bidi="ar"/>
              </w:rPr>
            </w:pPr>
            <w:r>
              <w:rPr>
                <w:rFonts w:hint="eastAsia" w:ascii="宋体" w:hAnsi="宋体" w:cs="宋体"/>
                <w:color w:val="000000"/>
                <w:kern w:val="0"/>
                <w:sz w:val="22"/>
                <w:lang w:bidi="ar"/>
              </w:rPr>
              <w:t>25.00</w:t>
            </w:r>
          </w:p>
        </w:tc>
        <w:tc>
          <w:tcPr>
            <w:tcW w:w="433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kern w:val="0"/>
                <w:sz w:val="22"/>
                <w:lang w:bidi="ar"/>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123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20103</w:t>
            </w:r>
          </w:p>
        </w:tc>
        <w:tc>
          <w:tcPr>
            <w:tcW w:w="3461"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政府办公厅（室）及相关机构事务</w:t>
            </w:r>
          </w:p>
        </w:tc>
        <w:tc>
          <w:tcPr>
            <w:tcW w:w="307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750.82</w:t>
            </w:r>
          </w:p>
        </w:tc>
        <w:tc>
          <w:tcPr>
            <w:tcW w:w="184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736.08</w:t>
            </w:r>
          </w:p>
        </w:tc>
        <w:tc>
          <w:tcPr>
            <w:tcW w:w="433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14.74</w:t>
            </w:r>
          </w:p>
        </w:tc>
      </w:tr>
      <w:tr>
        <w:trPr>
          <w:trHeight w:val="308" w:hRule="atLeast"/>
        </w:trPr>
        <w:tc>
          <w:tcPr>
            <w:tcW w:w="123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2010303</w:t>
            </w:r>
          </w:p>
        </w:tc>
        <w:tc>
          <w:tcPr>
            <w:tcW w:w="3461"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机关服务</w:t>
            </w:r>
          </w:p>
        </w:tc>
        <w:tc>
          <w:tcPr>
            <w:tcW w:w="307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44.92</w:t>
            </w:r>
          </w:p>
        </w:tc>
        <w:tc>
          <w:tcPr>
            <w:tcW w:w="184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44.92</w:t>
            </w:r>
          </w:p>
        </w:tc>
        <w:tc>
          <w:tcPr>
            <w:tcW w:w="433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123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2010350</w:t>
            </w:r>
          </w:p>
        </w:tc>
        <w:tc>
          <w:tcPr>
            <w:tcW w:w="3461"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事业运行</w:t>
            </w:r>
          </w:p>
        </w:tc>
        <w:tc>
          <w:tcPr>
            <w:tcW w:w="307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705.90</w:t>
            </w:r>
          </w:p>
        </w:tc>
        <w:tc>
          <w:tcPr>
            <w:tcW w:w="184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691.17</w:t>
            </w:r>
          </w:p>
        </w:tc>
        <w:tc>
          <w:tcPr>
            <w:tcW w:w="433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14.74</w:t>
            </w:r>
          </w:p>
        </w:tc>
      </w:tr>
      <w:tr>
        <w:trPr>
          <w:trHeight w:val="308" w:hRule="atLeast"/>
        </w:trPr>
        <w:tc>
          <w:tcPr>
            <w:tcW w:w="123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20129</w:t>
            </w:r>
          </w:p>
        </w:tc>
        <w:tc>
          <w:tcPr>
            <w:tcW w:w="3461"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群众团体事务</w:t>
            </w:r>
          </w:p>
        </w:tc>
        <w:tc>
          <w:tcPr>
            <w:tcW w:w="307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0.58</w:t>
            </w:r>
          </w:p>
        </w:tc>
        <w:tc>
          <w:tcPr>
            <w:tcW w:w="1841"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0.58</w:t>
            </w:r>
          </w:p>
        </w:tc>
        <w:tc>
          <w:tcPr>
            <w:tcW w:w="433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123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2012906</w:t>
            </w:r>
          </w:p>
        </w:tc>
        <w:tc>
          <w:tcPr>
            <w:tcW w:w="3461"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工会事务</w:t>
            </w:r>
          </w:p>
        </w:tc>
        <w:tc>
          <w:tcPr>
            <w:tcW w:w="307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0.58</w:t>
            </w:r>
          </w:p>
        </w:tc>
        <w:tc>
          <w:tcPr>
            <w:tcW w:w="1841"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0.58</w:t>
            </w:r>
          </w:p>
        </w:tc>
        <w:tc>
          <w:tcPr>
            <w:tcW w:w="433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rPr>
          <w:trHeight w:val="308" w:hRule="atLeast"/>
        </w:trPr>
        <w:tc>
          <w:tcPr>
            <w:tcW w:w="123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22"/>
                <w:lang w:bidi="ar"/>
              </w:rPr>
            </w:pPr>
            <w:r>
              <w:rPr>
                <w:rFonts w:hint="eastAsia" w:ascii="宋体" w:hAnsi="宋体" w:cs="宋体"/>
                <w:color w:val="000000"/>
                <w:kern w:val="0"/>
                <w:sz w:val="22"/>
                <w:lang w:bidi="ar"/>
              </w:rPr>
              <w:t>20132</w:t>
            </w:r>
          </w:p>
        </w:tc>
        <w:tc>
          <w:tcPr>
            <w:tcW w:w="346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22"/>
                <w:lang w:bidi="ar"/>
              </w:rPr>
            </w:pPr>
            <w:r>
              <w:rPr>
                <w:rFonts w:hint="eastAsia" w:ascii="宋体" w:hAnsi="宋体" w:cs="宋体"/>
                <w:color w:val="000000"/>
                <w:kern w:val="0"/>
                <w:sz w:val="22"/>
                <w:lang w:bidi="ar"/>
              </w:rPr>
              <w:t>组织事务</w:t>
            </w:r>
          </w:p>
        </w:tc>
        <w:tc>
          <w:tcPr>
            <w:tcW w:w="307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kern w:val="0"/>
                <w:sz w:val="22"/>
                <w:lang w:bidi="ar"/>
              </w:rPr>
            </w:pPr>
            <w:r>
              <w:rPr>
                <w:rFonts w:hint="eastAsia" w:ascii="宋体" w:hAnsi="宋体" w:cs="宋体"/>
                <w:color w:val="000000"/>
                <w:kern w:val="0"/>
                <w:sz w:val="22"/>
                <w:lang w:bidi="ar"/>
              </w:rPr>
              <w:t>4.11</w:t>
            </w:r>
          </w:p>
        </w:tc>
        <w:tc>
          <w:tcPr>
            <w:tcW w:w="184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kern w:val="0"/>
                <w:sz w:val="22"/>
                <w:lang w:bidi="ar"/>
              </w:rPr>
            </w:pPr>
            <w:r>
              <w:rPr>
                <w:rFonts w:hint="eastAsia" w:ascii="宋体" w:hAnsi="宋体" w:cs="宋体"/>
                <w:color w:val="000000"/>
                <w:kern w:val="0"/>
                <w:sz w:val="22"/>
                <w:lang w:bidi="ar"/>
              </w:rPr>
              <w:t>4.11</w:t>
            </w:r>
          </w:p>
        </w:tc>
        <w:tc>
          <w:tcPr>
            <w:tcW w:w="433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kern w:val="0"/>
                <w:sz w:val="22"/>
                <w:lang w:bidi="ar"/>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123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22"/>
                <w:lang w:bidi="ar"/>
              </w:rPr>
            </w:pPr>
            <w:r>
              <w:rPr>
                <w:rFonts w:hint="eastAsia" w:ascii="宋体" w:hAnsi="宋体" w:cs="宋体"/>
                <w:color w:val="000000"/>
                <w:kern w:val="0"/>
                <w:sz w:val="22"/>
                <w:lang w:bidi="ar"/>
              </w:rPr>
              <w:t>2013201</w:t>
            </w:r>
          </w:p>
        </w:tc>
        <w:tc>
          <w:tcPr>
            <w:tcW w:w="346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22"/>
                <w:lang w:bidi="ar"/>
              </w:rPr>
            </w:pPr>
            <w:r>
              <w:rPr>
                <w:rFonts w:hint="eastAsia" w:ascii="宋体" w:hAnsi="宋体" w:cs="宋体"/>
                <w:color w:val="000000"/>
                <w:kern w:val="0"/>
                <w:sz w:val="22"/>
                <w:lang w:bidi="ar"/>
              </w:rPr>
              <w:t>行政运行</w:t>
            </w:r>
          </w:p>
        </w:tc>
        <w:tc>
          <w:tcPr>
            <w:tcW w:w="307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kern w:val="0"/>
                <w:sz w:val="22"/>
                <w:lang w:bidi="ar"/>
              </w:rPr>
            </w:pPr>
            <w:r>
              <w:rPr>
                <w:rFonts w:hint="eastAsia" w:ascii="宋体" w:hAnsi="宋体" w:cs="宋体"/>
                <w:color w:val="000000"/>
                <w:kern w:val="0"/>
                <w:sz w:val="22"/>
                <w:lang w:bidi="ar"/>
              </w:rPr>
              <w:t>4.11</w:t>
            </w:r>
          </w:p>
        </w:tc>
        <w:tc>
          <w:tcPr>
            <w:tcW w:w="184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kern w:val="0"/>
                <w:sz w:val="22"/>
                <w:lang w:bidi="ar"/>
              </w:rPr>
            </w:pPr>
            <w:r>
              <w:rPr>
                <w:rFonts w:hint="eastAsia" w:ascii="宋体" w:hAnsi="宋体" w:cs="宋体"/>
                <w:color w:val="000000"/>
                <w:kern w:val="0"/>
                <w:sz w:val="22"/>
                <w:lang w:bidi="ar"/>
              </w:rPr>
              <w:t>4.11</w:t>
            </w:r>
          </w:p>
        </w:tc>
        <w:tc>
          <w:tcPr>
            <w:tcW w:w="433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kern w:val="0"/>
                <w:sz w:val="22"/>
                <w:lang w:bidi="ar"/>
              </w:rPr>
            </w:pPr>
            <w:r>
              <w:rPr>
                <w:rFonts w:hint="eastAsia" w:ascii="宋体" w:hAnsi="宋体" w:cs="宋体"/>
                <w:color w:val="000000"/>
                <w:kern w:val="0"/>
                <w:sz w:val="22"/>
                <w:lang w:bidi="ar"/>
              </w:rPr>
              <w:t>0.00</w:t>
            </w:r>
          </w:p>
        </w:tc>
      </w:tr>
      <w:tr>
        <w:trPr>
          <w:trHeight w:val="308" w:hRule="atLeast"/>
        </w:trPr>
        <w:tc>
          <w:tcPr>
            <w:tcW w:w="123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w:t>
            </w:r>
          </w:p>
        </w:tc>
        <w:tc>
          <w:tcPr>
            <w:tcW w:w="3461"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社会保障和就业支出</w:t>
            </w:r>
          </w:p>
        </w:tc>
        <w:tc>
          <w:tcPr>
            <w:tcW w:w="307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6.34</w:t>
            </w:r>
          </w:p>
        </w:tc>
        <w:tc>
          <w:tcPr>
            <w:tcW w:w="184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6.34</w:t>
            </w:r>
          </w:p>
        </w:tc>
        <w:tc>
          <w:tcPr>
            <w:tcW w:w="433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123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20805</w:t>
            </w:r>
          </w:p>
        </w:tc>
        <w:tc>
          <w:tcPr>
            <w:tcW w:w="3461"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行政事业单位养老支出</w:t>
            </w:r>
          </w:p>
        </w:tc>
        <w:tc>
          <w:tcPr>
            <w:tcW w:w="307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6.34</w:t>
            </w:r>
          </w:p>
        </w:tc>
        <w:tc>
          <w:tcPr>
            <w:tcW w:w="184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6.34</w:t>
            </w:r>
          </w:p>
        </w:tc>
        <w:tc>
          <w:tcPr>
            <w:tcW w:w="433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rPr>
          <w:trHeight w:val="308" w:hRule="atLeast"/>
        </w:trPr>
        <w:tc>
          <w:tcPr>
            <w:tcW w:w="123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2080505</w:t>
            </w:r>
          </w:p>
        </w:tc>
        <w:tc>
          <w:tcPr>
            <w:tcW w:w="3461"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机关事业单位基本养老保险缴费支出</w:t>
            </w:r>
          </w:p>
        </w:tc>
        <w:tc>
          <w:tcPr>
            <w:tcW w:w="307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6.34</w:t>
            </w:r>
          </w:p>
        </w:tc>
        <w:tc>
          <w:tcPr>
            <w:tcW w:w="184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6.34</w:t>
            </w:r>
          </w:p>
        </w:tc>
        <w:tc>
          <w:tcPr>
            <w:tcW w:w="433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123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w:t>
            </w:r>
          </w:p>
        </w:tc>
        <w:tc>
          <w:tcPr>
            <w:tcW w:w="3461"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卫生健康支出</w:t>
            </w:r>
          </w:p>
        </w:tc>
        <w:tc>
          <w:tcPr>
            <w:tcW w:w="307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3.02</w:t>
            </w:r>
          </w:p>
        </w:tc>
        <w:tc>
          <w:tcPr>
            <w:tcW w:w="184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3.02</w:t>
            </w:r>
          </w:p>
        </w:tc>
        <w:tc>
          <w:tcPr>
            <w:tcW w:w="433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rPr>
          <w:trHeight w:val="308" w:hRule="atLeast"/>
        </w:trPr>
        <w:tc>
          <w:tcPr>
            <w:tcW w:w="123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21011</w:t>
            </w:r>
          </w:p>
        </w:tc>
        <w:tc>
          <w:tcPr>
            <w:tcW w:w="3461"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行政事业单位医疗</w:t>
            </w:r>
          </w:p>
        </w:tc>
        <w:tc>
          <w:tcPr>
            <w:tcW w:w="307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3.02</w:t>
            </w:r>
          </w:p>
        </w:tc>
        <w:tc>
          <w:tcPr>
            <w:tcW w:w="184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3.02</w:t>
            </w:r>
          </w:p>
        </w:tc>
        <w:tc>
          <w:tcPr>
            <w:tcW w:w="433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123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2101102</w:t>
            </w:r>
          </w:p>
        </w:tc>
        <w:tc>
          <w:tcPr>
            <w:tcW w:w="3461"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事业单位医疗</w:t>
            </w:r>
          </w:p>
        </w:tc>
        <w:tc>
          <w:tcPr>
            <w:tcW w:w="307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3.02</w:t>
            </w:r>
          </w:p>
        </w:tc>
        <w:tc>
          <w:tcPr>
            <w:tcW w:w="184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3.02</w:t>
            </w:r>
          </w:p>
        </w:tc>
        <w:tc>
          <w:tcPr>
            <w:tcW w:w="433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rPr>
          <w:trHeight w:val="308" w:hRule="atLeast"/>
        </w:trPr>
        <w:tc>
          <w:tcPr>
            <w:tcW w:w="123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211</w:t>
            </w:r>
          </w:p>
        </w:tc>
        <w:tc>
          <w:tcPr>
            <w:tcW w:w="3461"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节能环保支出</w:t>
            </w:r>
          </w:p>
        </w:tc>
        <w:tc>
          <w:tcPr>
            <w:tcW w:w="307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45.20</w:t>
            </w:r>
          </w:p>
        </w:tc>
        <w:tc>
          <w:tcPr>
            <w:tcW w:w="1841"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33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45.20</w:t>
            </w:r>
          </w:p>
        </w:tc>
      </w:tr>
      <w:tr>
        <w:tblPrEx>
          <w:tblCellMar>
            <w:top w:w="0" w:type="dxa"/>
            <w:left w:w="108" w:type="dxa"/>
            <w:bottom w:w="0" w:type="dxa"/>
            <w:right w:w="108" w:type="dxa"/>
          </w:tblCellMar>
        </w:tblPrEx>
        <w:trPr>
          <w:trHeight w:val="308" w:hRule="atLeast"/>
        </w:trPr>
        <w:tc>
          <w:tcPr>
            <w:tcW w:w="123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21103</w:t>
            </w:r>
          </w:p>
        </w:tc>
        <w:tc>
          <w:tcPr>
            <w:tcW w:w="3461"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污染防治</w:t>
            </w:r>
          </w:p>
        </w:tc>
        <w:tc>
          <w:tcPr>
            <w:tcW w:w="307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45.20</w:t>
            </w:r>
          </w:p>
        </w:tc>
        <w:tc>
          <w:tcPr>
            <w:tcW w:w="1841"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33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45.20</w:t>
            </w:r>
          </w:p>
        </w:tc>
      </w:tr>
      <w:tr>
        <w:trPr>
          <w:trHeight w:val="308" w:hRule="atLeast"/>
        </w:trPr>
        <w:tc>
          <w:tcPr>
            <w:tcW w:w="123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2110399</w:t>
            </w:r>
          </w:p>
        </w:tc>
        <w:tc>
          <w:tcPr>
            <w:tcW w:w="3461"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其他污染防治支出</w:t>
            </w:r>
          </w:p>
        </w:tc>
        <w:tc>
          <w:tcPr>
            <w:tcW w:w="307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45.20</w:t>
            </w:r>
          </w:p>
        </w:tc>
        <w:tc>
          <w:tcPr>
            <w:tcW w:w="1841"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33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45.20</w:t>
            </w:r>
          </w:p>
        </w:tc>
      </w:tr>
      <w:tr>
        <w:tblPrEx>
          <w:tblCellMar>
            <w:top w:w="0" w:type="dxa"/>
            <w:left w:w="108" w:type="dxa"/>
            <w:bottom w:w="0" w:type="dxa"/>
            <w:right w:w="108" w:type="dxa"/>
          </w:tblCellMar>
        </w:tblPrEx>
        <w:trPr>
          <w:trHeight w:val="308" w:hRule="atLeast"/>
        </w:trPr>
        <w:tc>
          <w:tcPr>
            <w:tcW w:w="13943" w:type="dxa"/>
            <w:gridSpan w:val="7"/>
            <w:tcBorders>
              <w:top w:val="nil"/>
              <w:left w:val="nil"/>
              <w:bottom w:val="nil"/>
              <w:right w:val="nil"/>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注：本表反映</w:t>
            </w:r>
            <w:r>
              <w:rPr>
                <w:rFonts w:hint="eastAsia" w:ascii="宋体" w:hAnsi="宋体" w:cs="宋体"/>
                <w:color w:val="000000"/>
                <w:kern w:val="0"/>
                <w:sz w:val="22"/>
                <w:lang w:eastAsia="zh-CN" w:bidi="ar"/>
              </w:rPr>
              <w:t>单位</w:t>
            </w:r>
            <w:r>
              <w:rPr>
                <w:rFonts w:hint="eastAsia" w:ascii="宋体" w:hAnsi="宋体" w:cs="宋体"/>
                <w:color w:val="000000"/>
                <w:kern w:val="0"/>
                <w:sz w:val="22"/>
                <w:lang w:bidi="ar"/>
              </w:rPr>
              <w:t>本年度一般公共预算财政拨款支出情况。本表金额转换为万元时，因四舍五入可能存在尾差。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9"/>
        <w:tblW w:w="14537" w:type="dxa"/>
        <w:tblInd w:w="93" w:type="dxa"/>
        <w:tblLayout w:type="fixed"/>
        <w:tblCellMar>
          <w:top w:w="0" w:type="dxa"/>
          <w:left w:w="108" w:type="dxa"/>
          <w:bottom w:w="0" w:type="dxa"/>
          <w:right w:w="108" w:type="dxa"/>
        </w:tblCellMar>
      </w:tblPr>
      <w:tblGrid>
        <w:gridCol w:w="1028"/>
        <w:gridCol w:w="2727"/>
        <w:gridCol w:w="1403"/>
        <w:gridCol w:w="1137"/>
        <w:gridCol w:w="1534"/>
        <w:gridCol w:w="1387"/>
        <w:gridCol w:w="1016"/>
        <w:gridCol w:w="2711"/>
        <w:gridCol w:w="1594"/>
      </w:tblGrid>
      <w:tr>
        <w:tblPrEx>
          <w:tblCellMar>
            <w:top w:w="0" w:type="dxa"/>
            <w:left w:w="108" w:type="dxa"/>
            <w:bottom w:w="0" w:type="dxa"/>
            <w:right w:w="108" w:type="dxa"/>
          </w:tblCellMar>
        </w:tblPrEx>
        <w:trPr>
          <w:trHeight w:val="390" w:hRule="atLeast"/>
        </w:trPr>
        <w:tc>
          <w:tcPr>
            <w:tcW w:w="14537" w:type="dxa"/>
            <w:gridSpan w:val="9"/>
            <w:tcBorders>
              <w:top w:val="nil"/>
              <w:left w:val="nil"/>
              <w:bottom w:val="nil"/>
              <w:right w:val="nil"/>
            </w:tcBorders>
            <w:noWrap/>
            <w:vAlign w:val="bottom"/>
          </w:tcPr>
          <w:p>
            <w:pPr>
              <w:widowControl/>
              <w:jc w:val="center"/>
              <w:textAlignment w:val="bottom"/>
              <w:rPr>
                <w:rFonts w:hint="eastAsia" w:ascii="宋体" w:hAnsi="宋体" w:cs="宋体"/>
                <w:color w:val="000000"/>
                <w:sz w:val="30"/>
                <w:szCs w:val="30"/>
              </w:rPr>
            </w:pPr>
            <w:r>
              <w:rPr>
                <w:rFonts w:hint="eastAsia" w:ascii="宋体" w:hAnsi="宋体" w:cs="宋体"/>
                <w:color w:val="000000"/>
                <w:kern w:val="0"/>
                <w:sz w:val="30"/>
                <w:szCs w:val="30"/>
                <w:lang w:bidi="ar"/>
              </w:rPr>
              <w:t>一般公共预算财政拨款基本支出决算明细表</w:t>
            </w:r>
          </w:p>
        </w:tc>
      </w:tr>
      <w:tr>
        <w:tblPrEx>
          <w:tblCellMar>
            <w:top w:w="0" w:type="dxa"/>
            <w:left w:w="108" w:type="dxa"/>
            <w:bottom w:w="0" w:type="dxa"/>
            <w:right w:w="108" w:type="dxa"/>
          </w:tblCellMar>
        </w:tblPrEx>
        <w:trPr>
          <w:trHeight w:val="255" w:hRule="atLeast"/>
        </w:trPr>
        <w:tc>
          <w:tcPr>
            <w:tcW w:w="1028" w:type="dxa"/>
            <w:tcBorders>
              <w:top w:val="nil"/>
              <w:left w:val="nil"/>
              <w:bottom w:val="nil"/>
              <w:right w:val="nil"/>
            </w:tcBorders>
            <w:noWrap/>
            <w:vAlign w:val="bottom"/>
          </w:tcPr>
          <w:p>
            <w:pPr>
              <w:rPr>
                <w:rFonts w:hint="eastAsia" w:ascii="Arial" w:hAnsi="Arial" w:cs="Arial"/>
                <w:color w:val="000000"/>
                <w:sz w:val="20"/>
                <w:szCs w:val="20"/>
              </w:rPr>
            </w:pPr>
          </w:p>
        </w:tc>
        <w:tc>
          <w:tcPr>
            <w:tcW w:w="2727" w:type="dxa"/>
            <w:tcBorders>
              <w:top w:val="nil"/>
              <w:left w:val="nil"/>
              <w:bottom w:val="nil"/>
              <w:right w:val="nil"/>
            </w:tcBorders>
            <w:noWrap/>
            <w:vAlign w:val="bottom"/>
          </w:tcPr>
          <w:p>
            <w:pPr>
              <w:rPr>
                <w:rFonts w:ascii="Arial" w:hAnsi="Arial" w:cs="Arial"/>
                <w:color w:val="000000"/>
                <w:sz w:val="20"/>
                <w:szCs w:val="20"/>
              </w:rPr>
            </w:pPr>
          </w:p>
        </w:tc>
        <w:tc>
          <w:tcPr>
            <w:tcW w:w="1403" w:type="dxa"/>
            <w:tcBorders>
              <w:top w:val="nil"/>
              <w:left w:val="nil"/>
              <w:bottom w:val="nil"/>
              <w:right w:val="nil"/>
            </w:tcBorders>
            <w:noWrap/>
            <w:vAlign w:val="bottom"/>
          </w:tcPr>
          <w:p>
            <w:pPr>
              <w:rPr>
                <w:rFonts w:ascii="Arial" w:hAnsi="Arial" w:cs="Arial"/>
                <w:color w:val="000000"/>
                <w:sz w:val="20"/>
                <w:szCs w:val="20"/>
              </w:rPr>
            </w:pPr>
          </w:p>
        </w:tc>
        <w:tc>
          <w:tcPr>
            <w:tcW w:w="1137" w:type="dxa"/>
            <w:tcBorders>
              <w:top w:val="nil"/>
              <w:left w:val="nil"/>
              <w:bottom w:val="nil"/>
              <w:right w:val="nil"/>
            </w:tcBorders>
            <w:noWrap/>
            <w:vAlign w:val="bottom"/>
          </w:tcPr>
          <w:p>
            <w:pPr>
              <w:rPr>
                <w:rFonts w:ascii="Arial" w:hAnsi="Arial" w:cs="Arial"/>
                <w:color w:val="000000"/>
                <w:sz w:val="20"/>
                <w:szCs w:val="20"/>
              </w:rPr>
            </w:pPr>
          </w:p>
        </w:tc>
        <w:tc>
          <w:tcPr>
            <w:tcW w:w="1534" w:type="dxa"/>
            <w:tcBorders>
              <w:top w:val="nil"/>
              <w:left w:val="nil"/>
              <w:bottom w:val="nil"/>
              <w:right w:val="nil"/>
            </w:tcBorders>
            <w:noWrap/>
            <w:vAlign w:val="bottom"/>
          </w:tcPr>
          <w:p>
            <w:pPr>
              <w:rPr>
                <w:rFonts w:ascii="Arial" w:hAnsi="Arial" w:cs="Arial"/>
                <w:color w:val="000000"/>
                <w:sz w:val="20"/>
                <w:szCs w:val="20"/>
              </w:rPr>
            </w:pPr>
          </w:p>
        </w:tc>
        <w:tc>
          <w:tcPr>
            <w:tcW w:w="1387" w:type="dxa"/>
            <w:tcBorders>
              <w:top w:val="nil"/>
              <w:left w:val="nil"/>
              <w:bottom w:val="nil"/>
              <w:right w:val="nil"/>
            </w:tcBorders>
            <w:noWrap/>
            <w:vAlign w:val="bottom"/>
          </w:tcPr>
          <w:p>
            <w:pPr>
              <w:rPr>
                <w:rFonts w:ascii="Arial" w:hAnsi="Arial" w:cs="Arial"/>
                <w:color w:val="000000"/>
                <w:sz w:val="20"/>
                <w:szCs w:val="20"/>
              </w:rPr>
            </w:pPr>
          </w:p>
        </w:tc>
        <w:tc>
          <w:tcPr>
            <w:tcW w:w="5321" w:type="dxa"/>
            <w:gridSpan w:val="3"/>
            <w:tcBorders>
              <w:top w:val="nil"/>
              <w:left w:val="nil"/>
              <w:bottom w:val="nil"/>
              <w:right w:val="nil"/>
            </w:tcBorders>
            <w:noWrap/>
            <w:vAlign w:val="bottom"/>
          </w:tcPr>
          <w:p>
            <w:pPr>
              <w:widowControl/>
              <w:jc w:val="center"/>
              <w:textAlignment w:val="bottom"/>
              <w:rPr>
                <w:rFonts w:hint="eastAsia" w:ascii="宋体" w:hAnsi="宋体" w:cs="宋体"/>
                <w:color w:val="000000"/>
                <w:sz w:val="18"/>
                <w:szCs w:val="18"/>
              </w:rPr>
            </w:pPr>
            <w:r>
              <w:rPr>
                <w:rFonts w:hint="eastAsia" w:ascii="宋体" w:hAnsi="宋体" w:cs="宋体"/>
                <w:color w:val="000000"/>
                <w:kern w:val="0"/>
                <w:sz w:val="18"/>
                <w:szCs w:val="18"/>
                <w:lang w:bidi="ar"/>
              </w:rPr>
              <w:t xml:space="preserve">                                              公开06表</w:t>
            </w:r>
          </w:p>
        </w:tc>
      </w:tr>
      <w:tr>
        <w:tblPrEx>
          <w:tblCellMar>
            <w:top w:w="0" w:type="dxa"/>
            <w:left w:w="108" w:type="dxa"/>
            <w:bottom w:w="0" w:type="dxa"/>
            <w:right w:w="108" w:type="dxa"/>
          </w:tblCellMar>
        </w:tblPrEx>
        <w:trPr>
          <w:trHeight w:val="255" w:hRule="atLeast"/>
        </w:trPr>
        <w:tc>
          <w:tcPr>
            <w:tcW w:w="9216" w:type="dxa"/>
            <w:gridSpan w:val="6"/>
            <w:tcBorders>
              <w:top w:val="nil"/>
              <w:left w:val="nil"/>
              <w:bottom w:val="single" w:color="auto" w:sz="4" w:space="0"/>
              <w:right w:val="nil"/>
            </w:tcBorders>
            <w:noWrap/>
            <w:vAlign w:val="bottom"/>
          </w:tcPr>
          <w:p>
            <w:pPr>
              <w:widowControl/>
              <w:jc w:val="left"/>
              <w:textAlignment w:val="bottom"/>
              <w:rPr>
                <w:rFonts w:hint="eastAsia" w:ascii="宋体" w:hAnsi="宋体" w:cs="宋体"/>
                <w:color w:val="000000"/>
                <w:sz w:val="20"/>
                <w:szCs w:val="20"/>
              </w:rPr>
            </w:pPr>
            <w:r>
              <w:rPr>
                <w:rFonts w:hint="eastAsia" w:ascii="宋体" w:hAnsi="宋体" w:cs="宋体"/>
                <w:color w:val="000000"/>
                <w:kern w:val="0"/>
                <w:sz w:val="20"/>
                <w:szCs w:val="20"/>
                <w:lang w:eastAsia="zh-CN" w:bidi="ar"/>
              </w:rPr>
              <w:t>单位</w:t>
            </w:r>
            <w:r>
              <w:rPr>
                <w:rFonts w:hint="eastAsia" w:ascii="宋体" w:hAnsi="宋体" w:cs="宋体"/>
                <w:color w:val="000000"/>
                <w:kern w:val="0"/>
                <w:sz w:val="20"/>
                <w:szCs w:val="20"/>
                <w:lang w:bidi="ar"/>
              </w:rPr>
              <w:t>：许昌市机关公务用车服务中心</w:t>
            </w:r>
          </w:p>
        </w:tc>
        <w:tc>
          <w:tcPr>
            <w:tcW w:w="5321" w:type="dxa"/>
            <w:gridSpan w:val="3"/>
            <w:tcBorders>
              <w:top w:val="nil"/>
              <w:left w:val="nil"/>
              <w:bottom w:val="single" w:color="auto" w:sz="4" w:space="0"/>
              <w:right w:val="nil"/>
            </w:tcBorders>
            <w:noWrap/>
            <w:vAlign w:val="bottom"/>
          </w:tcPr>
          <w:p>
            <w:pPr>
              <w:widowControl/>
              <w:jc w:val="right"/>
              <w:textAlignment w:val="bottom"/>
              <w:rPr>
                <w:rFonts w:hint="eastAsia" w:ascii="宋体" w:hAnsi="宋体" w:cs="宋体"/>
                <w:color w:val="000000"/>
                <w:sz w:val="18"/>
                <w:szCs w:val="18"/>
              </w:rPr>
            </w:pPr>
            <w:r>
              <w:rPr>
                <w:rFonts w:hint="eastAsia" w:ascii="宋体" w:hAnsi="宋体" w:cs="宋体"/>
                <w:color w:val="000000"/>
                <w:kern w:val="0"/>
                <w:sz w:val="18"/>
                <w:szCs w:val="18"/>
                <w:lang w:bidi="ar"/>
              </w:rPr>
              <w:t>单位：万元</w:t>
            </w:r>
          </w:p>
        </w:tc>
      </w:tr>
      <w:tr>
        <w:tblPrEx>
          <w:tblCellMar>
            <w:top w:w="0" w:type="dxa"/>
            <w:left w:w="108" w:type="dxa"/>
            <w:bottom w:w="0" w:type="dxa"/>
            <w:right w:w="108" w:type="dxa"/>
          </w:tblCellMar>
        </w:tblPrEx>
        <w:trPr>
          <w:trHeight w:val="312" w:hRule="atLeast"/>
        </w:trPr>
        <w:tc>
          <w:tcPr>
            <w:tcW w:w="1028" w:type="dxa"/>
            <w:vMerge w:val="restart"/>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经济科目编码</w:t>
            </w:r>
          </w:p>
        </w:tc>
        <w:tc>
          <w:tcPr>
            <w:tcW w:w="2727" w:type="dxa"/>
            <w:vMerge w:val="restart"/>
            <w:tcBorders>
              <w:top w:val="single" w:color="auto"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1403" w:type="dxa"/>
            <w:vMerge w:val="restart"/>
            <w:tcBorders>
              <w:top w:val="single" w:color="auto"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决算数</w:t>
            </w:r>
          </w:p>
        </w:tc>
        <w:tc>
          <w:tcPr>
            <w:tcW w:w="1137" w:type="dxa"/>
            <w:vMerge w:val="restart"/>
            <w:tcBorders>
              <w:top w:val="single" w:color="auto"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经济科目编码</w:t>
            </w:r>
          </w:p>
        </w:tc>
        <w:tc>
          <w:tcPr>
            <w:tcW w:w="1534" w:type="dxa"/>
            <w:vMerge w:val="restart"/>
            <w:tcBorders>
              <w:top w:val="single" w:color="auto"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1387" w:type="dxa"/>
            <w:vMerge w:val="restart"/>
            <w:tcBorders>
              <w:top w:val="single" w:color="auto"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决算数</w:t>
            </w:r>
          </w:p>
        </w:tc>
        <w:tc>
          <w:tcPr>
            <w:tcW w:w="1016" w:type="dxa"/>
            <w:vMerge w:val="restart"/>
            <w:tcBorders>
              <w:top w:val="single" w:color="auto"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经济科目编码</w:t>
            </w:r>
          </w:p>
        </w:tc>
        <w:tc>
          <w:tcPr>
            <w:tcW w:w="2711" w:type="dxa"/>
            <w:vMerge w:val="restart"/>
            <w:tcBorders>
              <w:top w:val="single" w:color="auto"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1594" w:type="dxa"/>
            <w:vMerge w:val="restart"/>
            <w:tcBorders>
              <w:top w:val="single" w:color="auto"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决算数</w:t>
            </w:r>
          </w:p>
        </w:tc>
      </w:tr>
      <w:tr>
        <w:tblPrEx>
          <w:tblCellMar>
            <w:top w:w="0" w:type="dxa"/>
            <w:left w:w="108" w:type="dxa"/>
            <w:bottom w:w="0" w:type="dxa"/>
            <w:right w:w="108" w:type="dxa"/>
          </w:tblCellMar>
        </w:tblPrEx>
        <w:trPr>
          <w:trHeight w:val="312" w:hRule="atLeast"/>
        </w:trPr>
        <w:tc>
          <w:tcPr>
            <w:tcW w:w="1028"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272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40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13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53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38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01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271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59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028"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w:t>
            </w:r>
          </w:p>
        </w:tc>
        <w:tc>
          <w:tcPr>
            <w:tcW w:w="2727"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工资福利支出</w:t>
            </w:r>
          </w:p>
        </w:tc>
        <w:tc>
          <w:tcPr>
            <w:tcW w:w="140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162.57</w:t>
            </w:r>
          </w:p>
        </w:tc>
        <w:tc>
          <w:tcPr>
            <w:tcW w:w="1137"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w:t>
            </w:r>
          </w:p>
        </w:tc>
        <w:tc>
          <w:tcPr>
            <w:tcW w:w="1534"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商品和服务支出</w:t>
            </w:r>
          </w:p>
        </w:tc>
        <w:tc>
          <w:tcPr>
            <w:tcW w:w="138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609.89</w:t>
            </w:r>
          </w:p>
        </w:tc>
        <w:tc>
          <w:tcPr>
            <w:tcW w:w="101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307</w:t>
            </w:r>
          </w:p>
        </w:tc>
        <w:tc>
          <w:tcPr>
            <w:tcW w:w="2711"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债务利息及费用支出</w:t>
            </w:r>
          </w:p>
        </w:tc>
        <w:tc>
          <w:tcPr>
            <w:tcW w:w="1594"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1028"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30101</w:t>
            </w:r>
          </w:p>
        </w:tc>
        <w:tc>
          <w:tcPr>
            <w:tcW w:w="2727"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基本工资</w:t>
            </w:r>
          </w:p>
        </w:tc>
        <w:tc>
          <w:tcPr>
            <w:tcW w:w="140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39.63</w:t>
            </w:r>
          </w:p>
        </w:tc>
        <w:tc>
          <w:tcPr>
            <w:tcW w:w="1137"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30201</w:t>
            </w:r>
          </w:p>
        </w:tc>
        <w:tc>
          <w:tcPr>
            <w:tcW w:w="1534"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办公费</w:t>
            </w:r>
          </w:p>
        </w:tc>
        <w:tc>
          <w:tcPr>
            <w:tcW w:w="138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22.20</w:t>
            </w:r>
          </w:p>
        </w:tc>
        <w:tc>
          <w:tcPr>
            <w:tcW w:w="101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30701</w:t>
            </w:r>
          </w:p>
        </w:tc>
        <w:tc>
          <w:tcPr>
            <w:tcW w:w="2711"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国内债务付息</w:t>
            </w:r>
          </w:p>
        </w:tc>
        <w:tc>
          <w:tcPr>
            <w:tcW w:w="1594"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1028"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30102</w:t>
            </w:r>
          </w:p>
        </w:tc>
        <w:tc>
          <w:tcPr>
            <w:tcW w:w="2727"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津贴补贴</w:t>
            </w:r>
          </w:p>
        </w:tc>
        <w:tc>
          <w:tcPr>
            <w:tcW w:w="140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62.87</w:t>
            </w:r>
          </w:p>
        </w:tc>
        <w:tc>
          <w:tcPr>
            <w:tcW w:w="1137"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30202</w:t>
            </w:r>
          </w:p>
        </w:tc>
        <w:tc>
          <w:tcPr>
            <w:tcW w:w="1534"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印刷费</w:t>
            </w:r>
          </w:p>
        </w:tc>
        <w:tc>
          <w:tcPr>
            <w:tcW w:w="138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0.00</w:t>
            </w:r>
          </w:p>
        </w:tc>
        <w:tc>
          <w:tcPr>
            <w:tcW w:w="101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30702</w:t>
            </w:r>
          </w:p>
        </w:tc>
        <w:tc>
          <w:tcPr>
            <w:tcW w:w="2711"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国外债务付息</w:t>
            </w:r>
          </w:p>
        </w:tc>
        <w:tc>
          <w:tcPr>
            <w:tcW w:w="1594"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1028"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30103</w:t>
            </w:r>
          </w:p>
        </w:tc>
        <w:tc>
          <w:tcPr>
            <w:tcW w:w="2727"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奖金</w:t>
            </w:r>
          </w:p>
        </w:tc>
        <w:tc>
          <w:tcPr>
            <w:tcW w:w="140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6.45</w:t>
            </w:r>
          </w:p>
        </w:tc>
        <w:tc>
          <w:tcPr>
            <w:tcW w:w="1137"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30203</w:t>
            </w:r>
          </w:p>
        </w:tc>
        <w:tc>
          <w:tcPr>
            <w:tcW w:w="1534"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咨询费</w:t>
            </w:r>
          </w:p>
        </w:tc>
        <w:tc>
          <w:tcPr>
            <w:tcW w:w="1387"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01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w:t>
            </w:r>
          </w:p>
        </w:tc>
        <w:tc>
          <w:tcPr>
            <w:tcW w:w="2711"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资本性支出</w:t>
            </w:r>
          </w:p>
        </w:tc>
        <w:tc>
          <w:tcPr>
            <w:tcW w:w="159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2.68</w:t>
            </w:r>
          </w:p>
        </w:tc>
      </w:tr>
      <w:tr>
        <w:tblPrEx>
          <w:tblCellMar>
            <w:top w:w="0" w:type="dxa"/>
            <w:left w:w="108" w:type="dxa"/>
            <w:bottom w:w="0" w:type="dxa"/>
            <w:right w:w="108" w:type="dxa"/>
          </w:tblCellMar>
        </w:tblPrEx>
        <w:trPr>
          <w:trHeight w:val="308" w:hRule="atLeast"/>
        </w:trPr>
        <w:tc>
          <w:tcPr>
            <w:tcW w:w="1028"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30106</w:t>
            </w:r>
          </w:p>
        </w:tc>
        <w:tc>
          <w:tcPr>
            <w:tcW w:w="2727"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伙食补助费</w:t>
            </w:r>
          </w:p>
        </w:tc>
        <w:tc>
          <w:tcPr>
            <w:tcW w:w="140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137"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30204</w:t>
            </w:r>
          </w:p>
        </w:tc>
        <w:tc>
          <w:tcPr>
            <w:tcW w:w="1534"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手续费</w:t>
            </w:r>
          </w:p>
        </w:tc>
        <w:tc>
          <w:tcPr>
            <w:tcW w:w="1387"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01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31001</w:t>
            </w:r>
          </w:p>
        </w:tc>
        <w:tc>
          <w:tcPr>
            <w:tcW w:w="2711"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房屋建筑物购建</w:t>
            </w:r>
          </w:p>
        </w:tc>
        <w:tc>
          <w:tcPr>
            <w:tcW w:w="1594"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1028"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30107</w:t>
            </w:r>
          </w:p>
        </w:tc>
        <w:tc>
          <w:tcPr>
            <w:tcW w:w="2727"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绩效工资</w:t>
            </w:r>
          </w:p>
        </w:tc>
        <w:tc>
          <w:tcPr>
            <w:tcW w:w="140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30.00</w:t>
            </w:r>
          </w:p>
        </w:tc>
        <w:tc>
          <w:tcPr>
            <w:tcW w:w="1137"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30205</w:t>
            </w:r>
          </w:p>
        </w:tc>
        <w:tc>
          <w:tcPr>
            <w:tcW w:w="1534"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水费</w:t>
            </w:r>
          </w:p>
        </w:tc>
        <w:tc>
          <w:tcPr>
            <w:tcW w:w="1387"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01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31002</w:t>
            </w:r>
          </w:p>
        </w:tc>
        <w:tc>
          <w:tcPr>
            <w:tcW w:w="2711"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办公设备购置</w:t>
            </w:r>
          </w:p>
        </w:tc>
        <w:tc>
          <w:tcPr>
            <w:tcW w:w="159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2.68</w:t>
            </w:r>
          </w:p>
        </w:tc>
      </w:tr>
      <w:tr>
        <w:tblPrEx>
          <w:tblCellMar>
            <w:top w:w="0" w:type="dxa"/>
            <w:left w:w="108" w:type="dxa"/>
            <w:bottom w:w="0" w:type="dxa"/>
            <w:right w:w="108" w:type="dxa"/>
          </w:tblCellMar>
        </w:tblPrEx>
        <w:trPr>
          <w:trHeight w:val="308" w:hRule="atLeast"/>
        </w:trPr>
        <w:tc>
          <w:tcPr>
            <w:tcW w:w="1028"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30108</w:t>
            </w:r>
          </w:p>
        </w:tc>
        <w:tc>
          <w:tcPr>
            <w:tcW w:w="2727"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机关事业单位基本养老保险缴费</w:t>
            </w:r>
          </w:p>
        </w:tc>
        <w:tc>
          <w:tcPr>
            <w:tcW w:w="140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9.94</w:t>
            </w:r>
          </w:p>
        </w:tc>
        <w:tc>
          <w:tcPr>
            <w:tcW w:w="1137"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30206</w:t>
            </w:r>
          </w:p>
        </w:tc>
        <w:tc>
          <w:tcPr>
            <w:tcW w:w="1534"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电费</w:t>
            </w:r>
          </w:p>
        </w:tc>
        <w:tc>
          <w:tcPr>
            <w:tcW w:w="1387"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01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31003</w:t>
            </w:r>
          </w:p>
        </w:tc>
        <w:tc>
          <w:tcPr>
            <w:tcW w:w="2711"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专用设备购置</w:t>
            </w:r>
          </w:p>
        </w:tc>
        <w:tc>
          <w:tcPr>
            <w:tcW w:w="1594"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1028"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30109</w:t>
            </w:r>
          </w:p>
        </w:tc>
        <w:tc>
          <w:tcPr>
            <w:tcW w:w="2727"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职业年金缴费</w:t>
            </w:r>
          </w:p>
        </w:tc>
        <w:tc>
          <w:tcPr>
            <w:tcW w:w="140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137"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30207</w:t>
            </w:r>
          </w:p>
        </w:tc>
        <w:tc>
          <w:tcPr>
            <w:tcW w:w="1534"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邮电费</w:t>
            </w:r>
          </w:p>
        </w:tc>
        <w:tc>
          <w:tcPr>
            <w:tcW w:w="138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0.61</w:t>
            </w:r>
          </w:p>
        </w:tc>
        <w:tc>
          <w:tcPr>
            <w:tcW w:w="101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31005</w:t>
            </w:r>
          </w:p>
        </w:tc>
        <w:tc>
          <w:tcPr>
            <w:tcW w:w="2711"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基础设施建设</w:t>
            </w:r>
          </w:p>
        </w:tc>
        <w:tc>
          <w:tcPr>
            <w:tcW w:w="1594"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1028"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30110</w:t>
            </w:r>
          </w:p>
        </w:tc>
        <w:tc>
          <w:tcPr>
            <w:tcW w:w="2727"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职工基本医疗保险缴费</w:t>
            </w:r>
          </w:p>
        </w:tc>
        <w:tc>
          <w:tcPr>
            <w:tcW w:w="140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4.68</w:t>
            </w:r>
          </w:p>
        </w:tc>
        <w:tc>
          <w:tcPr>
            <w:tcW w:w="1137"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30208</w:t>
            </w:r>
          </w:p>
        </w:tc>
        <w:tc>
          <w:tcPr>
            <w:tcW w:w="1534"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取暖费</w:t>
            </w:r>
          </w:p>
        </w:tc>
        <w:tc>
          <w:tcPr>
            <w:tcW w:w="1387"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01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31006</w:t>
            </w:r>
          </w:p>
        </w:tc>
        <w:tc>
          <w:tcPr>
            <w:tcW w:w="2711"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大型修缮</w:t>
            </w:r>
          </w:p>
        </w:tc>
        <w:tc>
          <w:tcPr>
            <w:tcW w:w="1594"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1028"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30111</w:t>
            </w:r>
          </w:p>
        </w:tc>
        <w:tc>
          <w:tcPr>
            <w:tcW w:w="2727"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公务员医疗补助缴费</w:t>
            </w:r>
          </w:p>
        </w:tc>
        <w:tc>
          <w:tcPr>
            <w:tcW w:w="140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137"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30209</w:t>
            </w:r>
          </w:p>
        </w:tc>
        <w:tc>
          <w:tcPr>
            <w:tcW w:w="1534"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物业管理费</w:t>
            </w:r>
          </w:p>
        </w:tc>
        <w:tc>
          <w:tcPr>
            <w:tcW w:w="1387"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01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31007</w:t>
            </w:r>
          </w:p>
        </w:tc>
        <w:tc>
          <w:tcPr>
            <w:tcW w:w="2711"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信息网络及软件购置更新</w:t>
            </w:r>
          </w:p>
        </w:tc>
        <w:tc>
          <w:tcPr>
            <w:tcW w:w="1594"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1028"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30112</w:t>
            </w:r>
          </w:p>
        </w:tc>
        <w:tc>
          <w:tcPr>
            <w:tcW w:w="2727"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其他社会保障缴费</w:t>
            </w:r>
          </w:p>
        </w:tc>
        <w:tc>
          <w:tcPr>
            <w:tcW w:w="140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0.11</w:t>
            </w:r>
          </w:p>
        </w:tc>
        <w:tc>
          <w:tcPr>
            <w:tcW w:w="1137"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30211</w:t>
            </w:r>
          </w:p>
        </w:tc>
        <w:tc>
          <w:tcPr>
            <w:tcW w:w="1534"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差旅费</w:t>
            </w:r>
          </w:p>
        </w:tc>
        <w:tc>
          <w:tcPr>
            <w:tcW w:w="138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0.57</w:t>
            </w:r>
          </w:p>
        </w:tc>
        <w:tc>
          <w:tcPr>
            <w:tcW w:w="101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31008</w:t>
            </w:r>
          </w:p>
        </w:tc>
        <w:tc>
          <w:tcPr>
            <w:tcW w:w="2711"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物资储备</w:t>
            </w:r>
          </w:p>
        </w:tc>
        <w:tc>
          <w:tcPr>
            <w:tcW w:w="1594"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1028"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30113</w:t>
            </w:r>
          </w:p>
        </w:tc>
        <w:tc>
          <w:tcPr>
            <w:tcW w:w="2727"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住房公积金</w:t>
            </w:r>
          </w:p>
        </w:tc>
        <w:tc>
          <w:tcPr>
            <w:tcW w:w="140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8.85</w:t>
            </w:r>
          </w:p>
        </w:tc>
        <w:tc>
          <w:tcPr>
            <w:tcW w:w="1137"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30212</w:t>
            </w:r>
          </w:p>
        </w:tc>
        <w:tc>
          <w:tcPr>
            <w:tcW w:w="1534"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因公出国（境）费用</w:t>
            </w:r>
          </w:p>
        </w:tc>
        <w:tc>
          <w:tcPr>
            <w:tcW w:w="1387"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01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31009</w:t>
            </w:r>
          </w:p>
        </w:tc>
        <w:tc>
          <w:tcPr>
            <w:tcW w:w="2711"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土地补偿</w:t>
            </w:r>
          </w:p>
        </w:tc>
        <w:tc>
          <w:tcPr>
            <w:tcW w:w="1594"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1028"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30114</w:t>
            </w:r>
          </w:p>
        </w:tc>
        <w:tc>
          <w:tcPr>
            <w:tcW w:w="2727"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医疗费</w:t>
            </w:r>
          </w:p>
        </w:tc>
        <w:tc>
          <w:tcPr>
            <w:tcW w:w="140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137"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30213</w:t>
            </w:r>
          </w:p>
        </w:tc>
        <w:tc>
          <w:tcPr>
            <w:tcW w:w="1534"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维修（护）费</w:t>
            </w:r>
          </w:p>
        </w:tc>
        <w:tc>
          <w:tcPr>
            <w:tcW w:w="138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0.00</w:t>
            </w:r>
          </w:p>
        </w:tc>
        <w:tc>
          <w:tcPr>
            <w:tcW w:w="101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31010</w:t>
            </w:r>
          </w:p>
        </w:tc>
        <w:tc>
          <w:tcPr>
            <w:tcW w:w="2711"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安置补助</w:t>
            </w:r>
          </w:p>
        </w:tc>
        <w:tc>
          <w:tcPr>
            <w:tcW w:w="1594"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1028"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30199</w:t>
            </w:r>
          </w:p>
        </w:tc>
        <w:tc>
          <w:tcPr>
            <w:tcW w:w="2727"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其他工资福利支出</w:t>
            </w:r>
          </w:p>
        </w:tc>
        <w:tc>
          <w:tcPr>
            <w:tcW w:w="140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137"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30214</w:t>
            </w:r>
          </w:p>
        </w:tc>
        <w:tc>
          <w:tcPr>
            <w:tcW w:w="1534"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租赁费</w:t>
            </w:r>
          </w:p>
        </w:tc>
        <w:tc>
          <w:tcPr>
            <w:tcW w:w="138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0.39</w:t>
            </w:r>
          </w:p>
        </w:tc>
        <w:tc>
          <w:tcPr>
            <w:tcW w:w="101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31011</w:t>
            </w:r>
          </w:p>
        </w:tc>
        <w:tc>
          <w:tcPr>
            <w:tcW w:w="2711"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地上附着物和青苗补偿</w:t>
            </w:r>
          </w:p>
        </w:tc>
        <w:tc>
          <w:tcPr>
            <w:tcW w:w="1594"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1028"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w:t>
            </w:r>
          </w:p>
        </w:tc>
        <w:tc>
          <w:tcPr>
            <w:tcW w:w="2727"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对个人和家庭的补助</w:t>
            </w:r>
          </w:p>
        </w:tc>
        <w:tc>
          <w:tcPr>
            <w:tcW w:w="140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137"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30215</w:t>
            </w:r>
          </w:p>
        </w:tc>
        <w:tc>
          <w:tcPr>
            <w:tcW w:w="1534"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会议费</w:t>
            </w:r>
          </w:p>
        </w:tc>
        <w:tc>
          <w:tcPr>
            <w:tcW w:w="1387"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01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31012</w:t>
            </w:r>
          </w:p>
        </w:tc>
        <w:tc>
          <w:tcPr>
            <w:tcW w:w="2711"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拆迁补偿</w:t>
            </w:r>
          </w:p>
        </w:tc>
        <w:tc>
          <w:tcPr>
            <w:tcW w:w="1594"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1028"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30301</w:t>
            </w:r>
          </w:p>
        </w:tc>
        <w:tc>
          <w:tcPr>
            <w:tcW w:w="2727"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离休费</w:t>
            </w:r>
          </w:p>
        </w:tc>
        <w:tc>
          <w:tcPr>
            <w:tcW w:w="140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137"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30216</w:t>
            </w:r>
          </w:p>
        </w:tc>
        <w:tc>
          <w:tcPr>
            <w:tcW w:w="1534"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培训费</w:t>
            </w:r>
          </w:p>
        </w:tc>
        <w:tc>
          <w:tcPr>
            <w:tcW w:w="138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0.06</w:t>
            </w:r>
          </w:p>
        </w:tc>
        <w:tc>
          <w:tcPr>
            <w:tcW w:w="101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31013</w:t>
            </w:r>
          </w:p>
        </w:tc>
        <w:tc>
          <w:tcPr>
            <w:tcW w:w="2711"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公务用车购置</w:t>
            </w:r>
          </w:p>
        </w:tc>
        <w:tc>
          <w:tcPr>
            <w:tcW w:w="1594"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1028"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30302</w:t>
            </w:r>
          </w:p>
        </w:tc>
        <w:tc>
          <w:tcPr>
            <w:tcW w:w="2727"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退休费</w:t>
            </w:r>
          </w:p>
        </w:tc>
        <w:tc>
          <w:tcPr>
            <w:tcW w:w="140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137"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30217</w:t>
            </w:r>
          </w:p>
        </w:tc>
        <w:tc>
          <w:tcPr>
            <w:tcW w:w="1534"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公务招待费</w:t>
            </w:r>
          </w:p>
        </w:tc>
        <w:tc>
          <w:tcPr>
            <w:tcW w:w="1387"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01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31019</w:t>
            </w:r>
          </w:p>
        </w:tc>
        <w:tc>
          <w:tcPr>
            <w:tcW w:w="2711"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其他交通工具购置</w:t>
            </w:r>
          </w:p>
        </w:tc>
        <w:tc>
          <w:tcPr>
            <w:tcW w:w="1594"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1028"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30303</w:t>
            </w:r>
          </w:p>
        </w:tc>
        <w:tc>
          <w:tcPr>
            <w:tcW w:w="2727"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退职（役）费</w:t>
            </w:r>
          </w:p>
        </w:tc>
        <w:tc>
          <w:tcPr>
            <w:tcW w:w="140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137"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30218</w:t>
            </w:r>
          </w:p>
        </w:tc>
        <w:tc>
          <w:tcPr>
            <w:tcW w:w="1534"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专用材料费</w:t>
            </w:r>
          </w:p>
        </w:tc>
        <w:tc>
          <w:tcPr>
            <w:tcW w:w="138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12.31</w:t>
            </w:r>
          </w:p>
        </w:tc>
        <w:tc>
          <w:tcPr>
            <w:tcW w:w="101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31021</w:t>
            </w:r>
          </w:p>
        </w:tc>
        <w:tc>
          <w:tcPr>
            <w:tcW w:w="2711"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文物和陈列品购置</w:t>
            </w:r>
          </w:p>
        </w:tc>
        <w:tc>
          <w:tcPr>
            <w:tcW w:w="1594"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1028"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30304</w:t>
            </w:r>
          </w:p>
        </w:tc>
        <w:tc>
          <w:tcPr>
            <w:tcW w:w="2727"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抚恤金</w:t>
            </w:r>
          </w:p>
        </w:tc>
        <w:tc>
          <w:tcPr>
            <w:tcW w:w="140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137"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30224</w:t>
            </w:r>
          </w:p>
        </w:tc>
        <w:tc>
          <w:tcPr>
            <w:tcW w:w="1534"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被装购置费</w:t>
            </w:r>
          </w:p>
        </w:tc>
        <w:tc>
          <w:tcPr>
            <w:tcW w:w="1387"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01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31022</w:t>
            </w:r>
          </w:p>
        </w:tc>
        <w:tc>
          <w:tcPr>
            <w:tcW w:w="2711"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无形资产购置</w:t>
            </w:r>
          </w:p>
        </w:tc>
        <w:tc>
          <w:tcPr>
            <w:tcW w:w="1594"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1028"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30305</w:t>
            </w:r>
          </w:p>
        </w:tc>
        <w:tc>
          <w:tcPr>
            <w:tcW w:w="2727"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生活补助</w:t>
            </w:r>
          </w:p>
        </w:tc>
        <w:tc>
          <w:tcPr>
            <w:tcW w:w="140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137"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30225</w:t>
            </w:r>
          </w:p>
        </w:tc>
        <w:tc>
          <w:tcPr>
            <w:tcW w:w="1534"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专用燃料费</w:t>
            </w:r>
          </w:p>
        </w:tc>
        <w:tc>
          <w:tcPr>
            <w:tcW w:w="1387"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01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31099</w:t>
            </w:r>
          </w:p>
        </w:tc>
        <w:tc>
          <w:tcPr>
            <w:tcW w:w="2711"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其他资本性支出</w:t>
            </w:r>
          </w:p>
        </w:tc>
        <w:tc>
          <w:tcPr>
            <w:tcW w:w="1594"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1028"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30306</w:t>
            </w:r>
          </w:p>
        </w:tc>
        <w:tc>
          <w:tcPr>
            <w:tcW w:w="2727"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救济费</w:t>
            </w:r>
          </w:p>
        </w:tc>
        <w:tc>
          <w:tcPr>
            <w:tcW w:w="140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137"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30226</w:t>
            </w:r>
          </w:p>
        </w:tc>
        <w:tc>
          <w:tcPr>
            <w:tcW w:w="1534"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劳务费</w:t>
            </w:r>
          </w:p>
        </w:tc>
        <w:tc>
          <w:tcPr>
            <w:tcW w:w="138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111.26</w:t>
            </w:r>
          </w:p>
        </w:tc>
        <w:tc>
          <w:tcPr>
            <w:tcW w:w="101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399</w:t>
            </w:r>
          </w:p>
        </w:tc>
        <w:tc>
          <w:tcPr>
            <w:tcW w:w="2711"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其他支出</w:t>
            </w:r>
          </w:p>
        </w:tc>
        <w:tc>
          <w:tcPr>
            <w:tcW w:w="1594"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1028"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30307</w:t>
            </w:r>
          </w:p>
        </w:tc>
        <w:tc>
          <w:tcPr>
            <w:tcW w:w="2727"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医疗费补助</w:t>
            </w:r>
          </w:p>
        </w:tc>
        <w:tc>
          <w:tcPr>
            <w:tcW w:w="140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137"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30227</w:t>
            </w:r>
          </w:p>
        </w:tc>
        <w:tc>
          <w:tcPr>
            <w:tcW w:w="1534"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委托业务费</w:t>
            </w:r>
          </w:p>
        </w:tc>
        <w:tc>
          <w:tcPr>
            <w:tcW w:w="138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14.31</w:t>
            </w:r>
          </w:p>
        </w:tc>
        <w:tc>
          <w:tcPr>
            <w:tcW w:w="101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39906</w:t>
            </w:r>
          </w:p>
        </w:tc>
        <w:tc>
          <w:tcPr>
            <w:tcW w:w="2711"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赠与</w:t>
            </w:r>
          </w:p>
        </w:tc>
        <w:tc>
          <w:tcPr>
            <w:tcW w:w="1594"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1028"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30308</w:t>
            </w:r>
          </w:p>
        </w:tc>
        <w:tc>
          <w:tcPr>
            <w:tcW w:w="2727"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助学金</w:t>
            </w:r>
          </w:p>
        </w:tc>
        <w:tc>
          <w:tcPr>
            <w:tcW w:w="140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137"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30228</w:t>
            </w:r>
          </w:p>
        </w:tc>
        <w:tc>
          <w:tcPr>
            <w:tcW w:w="1534"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工会经费</w:t>
            </w:r>
          </w:p>
        </w:tc>
        <w:tc>
          <w:tcPr>
            <w:tcW w:w="1387"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0.58</w:t>
            </w:r>
          </w:p>
        </w:tc>
        <w:tc>
          <w:tcPr>
            <w:tcW w:w="101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39907</w:t>
            </w:r>
          </w:p>
        </w:tc>
        <w:tc>
          <w:tcPr>
            <w:tcW w:w="2711"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国家赔偿费用支出</w:t>
            </w:r>
          </w:p>
        </w:tc>
        <w:tc>
          <w:tcPr>
            <w:tcW w:w="1594"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1028"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30309</w:t>
            </w:r>
          </w:p>
        </w:tc>
        <w:tc>
          <w:tcPr>
            <w:tcW w:w="2727"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奖励金</w:t>
            </w:r>
          </w:p>
        </w:tc>
        <w:tc>
          <w:tcPr>
            <w:tcW w:w="140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137"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30229</w:t>
            </w:r>
          </w:p>
        </w:tc>
        <w:tc>
          <w:tcPr>
            <w:tcW w:w="1534"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福利费</w:t>
            </w:r>
          </w:p>
        </w:tc>
        <w:tc>
          <w:tcPr>
            <w:tcW w:w="138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1.61</w:t>
            </w:r>
          </w:p>
        </w:tc>
        <w:tc>
          <w:tcPr>
            <w:tcW w:w="101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39908</w:t>
            </w:r>
          </w:p>
        </w:tc>
        <w:tc>
          <w:tcPr>
            <w:tcW w:w="2711"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对民间非营利组织和群众性自治组织补贴</w:t>
            </w:r>
          </w:p>
        </w:tc>
        <w:tc>
          <w:tcPr>
            <w:tcW w:w="1594"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1028"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30310</w:t>
            </w:r>
          </w:p>
        </w:tc>
        <w:tc>
          <w:tcPr>
            <w:tcW w:w="2727"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个人农业生产补贴</w:t>
            </w:r>
          </w:p>
        </w:tc>
        <w:tc>
          <w:tcPr>
            <w:tcW w:w="140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137"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30231</w:t>
            </w:r>
          </w:p>
        </w:tc>
        <w:tc>
          <w:tcPr>
            <w:tcW w:w="1534"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公务用车运行维护费</w:t>
            </w:r>
          </w:p>
        </w:tc>
        <w:tc>
          <w:tcPr>
            <w:tcW w:w="138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244.27</w:t>
            </w:r>
          </w:p>
        </w:tc>
        <w:tc>
          <w:tcPr>
            <w:tcW w:w="101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39999</w:t>
            </w:r>
          </w:p>
        </w:tc>
        <w:tc>
          <w:tcPr>
            <w:tcW w:w="2711"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其他支出</w:t>
            </w:r>
          </w:p>
        </w:tc>
        <w:tc>
          <w:tcPr>
            <w:tcW w:w="1594"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1028"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30311</w:t>
            </w:r>
          </w:p>
        </w:tc>
        <w:tc>
          <w:tcPr>
            <w:tcW w:w="2727"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代缴社会保险费</w:t>
            </w:r>
          </w:p>
        </w:tc>
        <w:tc>
          <w:tcPr>
            <w:tcW w:w="140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137"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30239</w:t>
            </w:r>
          </w:p>
        </w:tc>
        <w:tc>
          <w:tcPr>
            <w:tcW w:w="1534"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其他交通费用</w:t>
            </w:r>
          </w:p>
        </w:tc>
        <w:tc>
          <w:tcPr>
            <w:tcW w:w="138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201.72</w:t>
            </w:r>
          </w:p>
        </w:tc>
        <w:tc>
          <w:tcPr>
            <w:tcW w:w="1016" w:type="dxa"/>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2711" w:type="dxa"/>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1594"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028"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30399</w:t>
            </w:r>
          </w:p>
        </w:tc>
        <w:tc>
          <w:tcPr>
            <w:tcW w:w="2727"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其他对个人和家庭的补助</w:t>
            </w:r>
          </w:p>
        </w:tc>
        <w:tc>
          <w:tcPr>
            <w:tcW w:w="140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137"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30240</w:t>
            </w:r>
          </w:p>
        </w:tc>
        <w:tc>
          <w:tcPr>
            <w:tcW w:w="1534"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税金及附加费用</w:t>
            </w:r>
          </w:p>
        </w:tc>
        <w:tc>
          <w:tcPr>
            <w:tcW w:w="1387"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016" w:type="dxa"/>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2711" w:type="dxa"/>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rPr>
            </w:pPr>
            <w:bookmarkStart w:id="0" w:name="_GoBack"/>
            <w:bookmarkEnd w:id="0"/>
          </w:p>
        </w:tc>
        <w:tc>
          <w:tcPr>
            <w:tcW w:w="1594"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02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2727" w:type="dxa"/>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1403"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137"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30299</w:t>
            </w:r>
          </w:p>
        </w:tc>
        <w:tc>
          <w:tcPr>
            <w:tcW w:w="1534"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其他商品和服务支出</w:t>
            </w:r>
          </w:p>
        </w:tc>
        <w:tc>
          <w:tcPr>
            <w:tcW w:w="138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0.00</w:t>
            </w:r>
          </w:p>
        </w:tc>
        <w:tc>
          <w:tcPr>
            <w:tcW w:w="1016" w:type="dxa"/>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2711" w:type="dxa"/>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1594"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755" w:type="dxa"/>
            <w:gridSpan w:val="2"/>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人员经费合计</w:t>
            </w:r>
          </w:p>
        </w:tc>
        <w:tc>
          <w:tcPr>
            <w:tcW w:w="140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162.57</w:t>
            </w:r>
          </w:p>
        </w:tc>
        <w:tc>
          <w:tcPr>
            <w:tcW w:w="7785" w:type="dxa"/>
            <w:gridSpan w:val="5"/>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公用经费合计</w:t>
            </w:r>
          </w:p>
        </w:tc>
        <w:tc>
          <w:tcPr>
            <w:tcW w:w="159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612.57</w:t>
            </w:r>
          </w:p>
        </w:tc>
      </w:tr>
      <w:tr>
        <w:tblPrEx>
          <w:tblCellMar>
            <w:top w:w="0" w:type="dxa"/>
            <w:left w:w="108" w:type="dxa"/>
            <w:bottom w:w="0" w:type="dxa"/>
            <w:right w:w="108" w:type="dxa"/>
          </w:tblCellMar>
        </w:tblPrEx>
        <w:trPr>
          <w:trHeight w:val="308" w:hRule="atLeast"/>
        </w:trPr>
        <w:tc>
          <w:tcPr>
            <w:tcW w:w="14537" w:type="dxa"/>
            <w:gridSpan w:val="9"/>
            <w:tcBorders>
              <w:top w:val="nil"/>
              <w:left w:val="nil"/>
              <w:bottom w:val="nil"/>
              <w:right w:val="nil"/>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注：本表反映</w:t>
            </w:r>
            <w:r>
              <w:rPr>
                <w:rFonts w:hint="eastAsia" w:ascii="宋体" w:hAnsi="宋体" w:cs="宋体"/>
                <w:color w:val="000000"/>
                <w:kern w:val="0"/>
                <w:sz w:val="22"/>
                <w:lang w:eastAsia="zh-CN" w:bidi="ar"/>
              </w:rPr>
              <w:t>单位</w:t>
            </w:r>
            <w:r>
              <w:rPr>
                <w:rFonts w:hint="eastAsia" w:ascii="宋体" w:hAnsi="宋体" w:cs="宋体"/>
                <w:color w:val="000000"/>
                <w:kern w:val="0"/>
                <w:sz w:val="22"/>
                <w:lang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9"/>
        <w:tblW w:w="14550" w:type="dxa"/>
        <w:tblInd w:w="93" w:type="dxa"/>
        <w:tblLayout w:type="autofit"/>
        <w:tblCellMar>
          <w:top w:w="0" w:type="dxa"/>
          <w:left w:w="108" w:type="dxa"/>
          <w:bottom w:w="0" w:type="dxa"/>
          <w:right w:w="108" w:type="dxa"/>
        </w:tblCellMar>
      </w:tblPr>
      <w:tblGrid>
        <w:gridCol w:w="1095"/>
        <w:gridCol w:w="1410"/>
        <w:gridCol w:w="993"/>
        <w:gridCol w:w="1392"/>
        <w:gridCol w:w="993"/>
        <w:gridCol w:w="1140"/>
        <w:gridCol w:w="1410"/>
        <w:gridCol w:w="1215"/>
        <w:gridCol w:w="1035"/>
        <w:gridCol w:w="1347"/>
        <w:gridCol w:w="1410"/>
        <w:gridCol w:w="1110"/>
      </w:tblGrid>
      <w:tr>
        <w:tblPrEx>
          <w:tblCellMar>
            <w:top w:w="0" w:type="dxa"/>
            <w:left w:w="108" w:type="dxa"/>
            <w:bottom w:w="0" w:type="dxa"/>
            <w:right w:w="108" w:type="dxa"/>
          </w:tblCellMar>
        </w:tblPrEx>
        <w:trPr>
          <w:trHeight w:val="540" w:hRule="atLeast"/>
        </w:trPr>
        <w:tc>
          <w:tcPr>
            <w:tcW w:w="14550" w:type="dxa"/>
            <w:gridSpan w:val="12"/>
            <w:tcBorders>
              <w:top w:val="nil"/>
              <w:left w:val="nil"/>
              <w:bottom w:val="nil"/>
              <w:right w:val="nil"/>
            </w:tcBorders>
            <w:noWrap/>
            <w:vAlign w:val="bottom"/>
          </w:tcPr>
          <w:p>
            <w:pPr>
              <w:widowControl/>
              <w:jc w:val="center"/>
              <w:textAlignment w:val="bottom"/>
              <w:rPr>
                <w:rFonts w:hint="eastAsia" w:ascii="宋体" w:hAnsi="宋体" w:cs="宋体"/>
                <w:color w:val="000000"/>
                <w:sz w:val="44"/>
                <w:szCs w:val="44"/>
              </w:rPr>
            </w:pPr>
            <w:r>
              <w:rPr>
                <w:rFonts w:hint="eastAsia" w:ascii="宋体" w:hAnsi="宋体" w:cs="宋体"/>
                <w:color w:val="000000"/>
                <w:kern w:val="0"/>
                <w:sz w:val="44"/>
                <w:szCs w:val="44"/>
                <w:lang w:bidi="ar"/>
              </w:rPr>
              <w:t>一般公共预算财政拨款“三公”经费支出决算表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945" w:type="dxa"/>
            <w:tcBorders>
              <w:top w:val="nil"/>
              <w:left w:val="nil"/>
              <w:bottom w:val="nil"/>
              <w:right w:val="nil"/>
            </w:tcBorders>
            <w:noWrap/>
            <w:vAlign w:val="bottom"/>
          </w:tcPr>
          <w:p>
            <w:pPr>
              <w:rPr>
                <w:rFonts w:ascii="Arial" w:hAnsi="Arial" w:cs="Arial"/>
                <w:color w:val="000000"/>
                <w:sz w:val="20"/>
                <w:szCs w:val="20"/>
              </w:rPr>
            </w:pPr>
          </w:p>
        </w:tc>
        <w:tc>
          <w:tcPr>
            <w:tcW w:w="1140" w:type="dxa"/>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gridSpan w:val="3"/>
            <w:tcBorders>
              <w:top w:val="nil"/>
              <w:left w:val="nil"/>
              <w:bottom w:val="nil"/>
              <w:right w:val="nil"/>
            </w:tcBorders>
            <w:noWrap/>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公开07表</w:t>
            </w:r>
          </w:p>
        </w:tc>
      </w:tr>
      <w:tr>
        <w:tblPrEx>
          <w:tblCellMar>
            <w:top w:w="0" w:type="dxa"/>
            <w:left w:w="108" w:type="dxa"/>
            <w:bottom w:w="0" w:type="dxa"/>
            <w:right w:w="108" w:type="dxa"/>
          </w:tblCellMar>
        </w:tblPrEx>
        <w:trPr>
          <w:trHeight w:val="255" w:hRule="atLeast"/>
        </w:trPr>
        <w:tc>
          <w:tcPr>
            <w:tcW w:w="0" w:type="auto"/>
            <w:gridSpan w:val="9"/>
            <w:tcBorders>
              <w:top w:val="nil"/>
              <w:left w:val="nil"/>
              <w:bottom w:val="nil"/>
              <w:right w:val="nil"/>
            </w:tcBorders>
            <w:noWrap/>
            <w:vAlign w:val="bottom"/>
          </w:tcPr>
          <w:p>
            <w:pPr>
              <w:widowControl/>
              <w:jc w:val="left"/>
              <w:textAlignment w:val="bottom"/>
              <w:rPr>
                <w:rFonts w:hint="eastAsia" w:ascii="宋体" w:hAnsi="宋体" w:cs="宋体"/>
                <w:color w:val="000000"/>
                <w:sz w:val="20"/>
                <w:szCs w:val="20"/>
              </w:rPr>
            </w:pPr>
            <w:r>
              <w:rPr>
                <w:rFonts w:hint="eastAsia" w:ascii="宋体" w:hAnsi="宋体" w:cs="宋体"/>
                <w:color w:val="000000"/>
                <w:kern w:val="0"/>
                <w:sz w:val="20"/>
                <w:szCs w:val="20"/>
                <w:lang w:eastAsia="zh-CN" w:bidi="ar"/>
              </w:rPr>
              <w:t>单位</w:t>
            </w:r>
            <w:r>
              <w:rPr>
                <w:rFonts w:hint="eastAsia" w:ascii="宋体" w:hAnsi="宋体" w:cs="宋体"/>
                <w:color w:val="000000"/>
                <w:kern w:val="0"/>
                <w:sz w:val="20"/>
                <w:szCs w:val="20"/>
                <w:lang w:bidi="ar"/>
              </w:rPr>
              <w:t>：许昌市机关公务用车服务中心</w:t>
            </w:r>
          </w:p>
        </w:tc>
        <w:tc>
          <w:tcPr>
            <w:tcW w:w="0" w:type="auto"/>
            <w:gridSpan w:val="3"/>
            <w:tcBorders>
              <w:top w:val="nil"/>
              <w:left w:val="nil"/>
              <w:bottom w:val="nil"/>
              <w:right w:val="nil"/>
            </w:tcBorders>
            <w:noWrap/>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108" w:type="dxa"/>
            <w:bottom w:w="0" w:type="dxa"/>
            <w:right w:w="108" w:type="dxa"/>
          </w:tblCellMar>
        </w:tblPrEx>
        <w:trPr>
          <w:trHeight w:val="308" w:hRule="atLeast"/>
        </w:trPr>
        <w:tc>
          <w:tcPr>
            <w:tcW w:w="6960"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预算数</w:t>
            </w:r>
          </w:p>
        </w:tc>
        <w:tc>
          <w:tcPr>
            <w:tcW w:w="7590" w:type="dxa"/>
            <w:gridSpan w:val="6"/>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决算数</w:t>
            </w:r>
          </w:p>
        </w:tc>
      </w:tr>
      <w:tr>
        <w:tblPrEx>
          <w:tblCellMar>
            <w:top w:w="0" w:type="dxa"/>
            <w:left w:w="108" w:type="dxa"/>
            <w:bottom w:w="0" w:type="dxa"/>
            <w:right w:w="108" w:type="dxa"/>
          </w:tblCellMar>
        </w:tblPrEx>
        <w:trPr>
          <w:trHeight w:val="308" w:hRule="atLeast"/>
        </w:trPr>
        <w:tc>
          <w:tcPr>
            <w:tcW w:w="1095" w:type="dxa"/>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1410"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因公出国（境）费</w:t>
            </w:r>
          </w:p>
        </w:tc>
        <w:tc>
          <w:tcPr>
            <w:tcW w:w="3315" w:type="dxa"/>
            <w:gridSpan w:val="3"/>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公务用车购置及运行费</w:t>
            </w:r>
          </w:p>
        </w:tc>
        <w:tc>
          <w:tcPr>
            <w:tcW w:w="1140"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公务接待费</w:t>
            </w:r>
          </w:p>
        </w:tc>
        <w:tc>
          <w:tcPr>
            <w:tcW w:w="1410"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1215"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因公出国（境）费</w:t>
            </w:r>
          </w:p>
        </w:tc>
        <w:tc>
          <w:tcPr>
            <w:tcW w:w="3855" w:type="dxa"/>
            <w:gridSpan w:val="3"/>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公务用车购置及运行费</w:t>
            </w:r>
          </w:p>
        </w:tc>
        <w:tc>
          <w:tcPr>
            <w:tcW w:w="1110"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公务接待费</w:t>
            </w:r>
          </w:p>
        </w:tc>
      </w:tr>
      <w:tr>
        <w:tblPrEx>
          <w:tblCellMar>
            <w:top w:w="0" w:type="dxa"/>
            <w:left w:w="108" w:type="dxa"/>
            <w:bottom w:w="0" w:type="dxa"/>
            <w:right w:w="108" w:type="dxa"/>
          </w:tblCellMar>
        </w:tblPrEx>
        <w:trPr>
          <w:trHeight w:val="615" w:hRule="atLeast"/>
        </w:trPr>
        <w:tc>
          <w:tcPr>
            <w:tcW w:w="109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4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96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小计</w:t>
            </w:r>
          </w:p>
        </w:tc>
        <w:tc>
          <w:tcPr>
            <w:tcW w:w="141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公务用车购置费</w:t>
            </w:r>
          </w:p>
        </w:tc>
        <w:tc>
          <w:tcPr>
            <w:tcW w:w="945"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公务用车运行费</w:t>
            </w:r>
          </w:p>
        </w:tc>
        <w:tc>
          <w:tcPr>
            <w:tcW w:w="11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4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21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035"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小计</w:t>
            </w:r>
          </w:p>
        </w:tc>
        <w:tc>
          <w:tcPr>
            <w:tcW w:w="141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公务用车购置费</w:t>
            </w:r>
          </w:p>
        </w:tc>
        <w:tc>
          <w:tcPr>
            <w:tcW w:w="141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公务用车运行费</w:t>
            </w:r>
          </w:p>
        </w:tc>
        <w:tc>
          <w:tcPr>
            <w:tcW w:w="11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095"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141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96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c>
          <w:tcPr>
            <w:tcW w:w="141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w:t>
            </w:r>
          </w:p>
        </w:tc>
        <w:tc>
          <w:tcPr>
            <w:tcW w:w="945"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114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w:t>
            </w:r>
          </w:p>
        </w:tc>
        <w:tc>
          <w:tcPr>
            <w:tcW w:w="141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7</w:t>
            </w:r>
          </w:p>
        </w:tc>
        <w:tc>
          <w:tcPr>
            <w:tcW w:w="1215"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8</w:t>
            </w:r>
          </w:p>
        </w:tc>
        <w:tc>
          <w:tcPr>
            <w:tcW w:w="1035"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9</w:t>
            </w:r>
          </w:p>
        </w:tc>
        <w:tc>
          <w:tcPr>
            <w:tcW w:w="141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10</w:t>
            </w:r>
          </w:p>
        </w:tc>
        <w:tc>
          <w:tcPr>
            <w:tcW w:w="141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11</w:t>
            </w:r>
          </w:p>
        </w:tc>
        <w:tc>
          <w:tcPr>
            <w:tcW w:w="111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12</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244.27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244.27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94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244.27</w:t>
            </w:r>
          </w:p>
        </w:tc>
        <w:tc>
          <w:tcPr>
            <w:tcW w:w="1140"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w:t>
            </w:r>
            <w:r>
              <w:rPr>
                <w:rFonts w:hint="eastAsia" w:ascii="宋体" w:hAnsi="宋体" w:cs="宋体"/>
                <w:color w:val="000000"/>
                <w:kern w:val="0"/>
                <w:sz w:val="22"/>
                <w:lang w:val="en-US" w:eastAsia="zh-CN" w:bidi="ar"/>
              </w:rPr>
              <w:t>0</w:t>
            </w:r>
            <w:r>
              <w:rPr>
                <w:rFonts w:hint="eastAsia" w:ascii="宋体" w:hAnsi="宋体" w:cs="宋体"/>
                <w:color w:val="000000"/>
                <w:kern w:val="0"/>
                <w:sz w:val="22"/>
                <w:lang w:bidi="ar"/>
              </w:rPr>
              <w:t>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244.27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244.27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244.27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615" w:hRule="atLeast"/>
        </w:trPr>
        <w:tc>
          <w:tcPr>
            <w:tcW w:w="14550" w:type="dxa"/>
            <w:gridSpan w:val="12"/>
            <w:tcBorders>
              <w:top w:val="nil"/>
              <w:left w:val="nil"/>
              <w:bottom w:val="nil"/>
              <w:right w:val="nil"/>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注：本表反映</w:t>
            </w:r>
            <w:r>
              <w:rPr>
                <w:rFonts w:hint="eastAsia" w:ascii="宋体" w:hAnsi="宋体" w:cs="宋体"/>
                <w:color w:val="000000"/>
                <w:kern w:val="0"/>
                <w:sz w:val="22"/>
                <w:lang w:eastAsia="zh-CN" w:bidi="ar"/>
              </w:rPr>
              <w:t>单位</w:t>
            </w:r>
            <w:r>
              <w:rPr>
                <w:rFonts w:hint="eastAsia" w:ascii="宋体" w:hAnsi="宋体" w:cs="宋体"/>
                <w:color w:val="000000"/>
                <w:kern w:val="0"/>
                <w:sz w:val="22"/>
                <w:lang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tbl>
      <w:tblPr>
        <w:tblStyle w:val="9"/>
        <w:tblW w:w="13710" w:type="dxa"/>
        <w:tblInd w:w="93" w:type="dxa"/>
        <w:tblLayout w:type="autofit"/>
        <w:tblCellMar>
          <w:top w:w="0" w:type="dxa"/>
          <w:left w:w="108" w:type="dxa"/>
          <w:bottom w:w="0" w:type="dxa"/>
          <w:right w:w="108" w:type="dxa"/>
        </w:tblCellMar>
      </w:tblPr>
      <w:tblGrid>
        <w:gridCol w:w="358"/>
        <w:gridCol w:w="358"/>
        <w:gridCol w:w="358"/>
        <w:gridCol w:w="1769"/>
        <w:gridCol w:w="1755"/>
        <w:gridCol w:w="1822"/>
        <w:gridCol w:w="1822"/>
        <w:gridCol w:w="1822"/>
        <w:gridCol w:w="1822"/>
        <w:gridCol w:w="1824"/>
      </w:tblGrid>
      <w:tr>
        <w:tblPrEx>
          <w:tblCellMar>
            <w:top w:w="0" w:type="dxa"/>
            <w:left w:w="108" w:type="dxa"/>
            <w:bottom w:w="0" w:type="dxa"/>
            <w:right w:w="108" w:type="dxa"/>
          </w:tblCellMar>
        </w:tblPrEx>
        <w:trPr>
          <w:trHeight w:val="390" w:hRule="atLeast"/>
        </w:trPr>
        <w:tc>
          <w:tcPr>
            <w:tcW w:w="13710" w:type="dxa"/>
            <w:gridSpan w:val="10"/>
            <w:tcBorders>
              <w:top w:val="nil"/>
              <w:left w:val="nil"/>
              <w:bottom w:val="nil"/>
              <w:right w:val="nil"/>
            </w:tcBorders>
            <w:noWrap/>
            <w:vAlign w:val="bottom"/>
          </w:tcPr>
          <w:p>
            <w:pPr>
              <w:widowControl/>
              <w:jc w:val="center"/>
              <w:textAlignment w:val="bottom"/>
              <w:rPr>
                <w:rFonts w:hint="eastAsia" w:ascii="宋体" w:hAnsi="宋体" w:cs="宋体"/>
                <w:color w:val="000000"/>
                <w:sz w:val="30"/>
                <w:szCs w:val="30"/>
              </w:rPr>
            </w:pPr>
            <w:r>
              <w:rPr>
                <w:rFonts w:hint="eastAsia" w:ascii="宋体" w:hAnsi="宋体" w:cs="宋体"/>
                <w:color w:val="000000"/>
                <w:kern w:val="0"/>
                <w:sz w:val="30"/>
                <w:szCs w:val="30"/>
                <w:lang w:bidi="ar"/>
              </w:rPr>
              <w:t>政府性基金预算财政拨款收入支出决算表</w:t>
            </w:r>
          </w:p>
        </w:tc>
      </w:tr>
      <w:tr>
        <w:trPr>
          <w:trHeight w:val="255" w:hRule="atLeast"/>
        </w:trPr>
        <w:tc>
          <w:tcPr>
            <w:tcW w:w="0" w:type="auto"/>
            <w:tcBorders>
              <w:top w:val="nil"/>
              <w:left w:val="nil"/>
              <w:bottom w:val="nil"/>
              <w:right w:val="nil"/>
            </w:tcBorders>
            <w:noWrap/>
            <w:vAlign w:val="bottom"/>
          </w:tcPr>
          <w:p>
            <w:pPr>
              <w:rPr>
                <w:rFonts w:hint="eastAsia"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gridSpan w:val="3"/>
            <w:tcBorders>
              <w:top w:val="nil"/>
              <w:left w:val="nil"/>
              <w:bottom w:val="nil"/>
              <w:right w:val="nil"/>
            </w:tcBorders>
            <w:noWrap/>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公开08表</w:t>
            </w:r>
          </w:p>
        </w:tc>
      </w:tr>
      <w:tr>
        <w:tblPrEx>
          <w:tblCellMar>
            <w:top w:w="0" w:type="dxa"/>
            <w:left w:w="108" w:type="dxa"/>
            <w:bottom w:w="0" w:type="dxa"/>
            <w:right w:w="108" w:type="dxa"/>
          </w:tblCellMar>
        </w:tblPrEx>
        <w:trPr>
          <w:trHeight w:val="255" w:hRule="atLeast"/>
        </w:trPr>
        <w:tc>
          <w:tcPr>
            <w:tcW w:w="0" w:type="auto"/>
            <w:gridSpan w:val="7"/>
            <w:tcBorders>
              <w:top w:val="nil"/>
              <w:left w:val="nil"/>
              <w:bottom w:val="nil"/>
              <w:right w:val="nil"/>
            </w:tcBorders>
            <w:noWrap/>
            <w:vAlign w:val="bottom"/>
          </w:tcPr>
          <w:p>
            <w:pPr>
              <w:widowControl/>
              <w:jc w:val="left"/>
              <w:textAlignment w:val="bottom"/>
              <w:rPr>
                <w:rFonts w:hint="eastAsia" w:ascii="宋体" w:hAnsi="宋体" w:cs="宋体"/>
                <w:color w:val="000000"/>
                <w:sz w:val="20"/>
                <w:szCs w:val="20"/>
              </w:rPr>
            </w:pPr>
            <w:r>
              <w:rPr>
                <w:rFonts w:hint="eastAsia" w:ascii="宋体" w:hAnsi="宋体" w:cs="宋体"/>
                <w:color w:val="000000"/>
                <w:kern w:val="0"/>
                <w:sz w:val="20"/>
                <w:szCs w:val="20"/>
                <w:lang w:eastAsia="zh-CN" w:bidi="ar"/>
              </w:rPr>
              <w:t>单位</w:t>
            </w:r>
            <w:r>
              <w:rPr>
                <w:rFonts w:hint="eastAsia" w:ascii="宋体" w:hAnsi="宋体" w:cs="宋体"/>
                <w:color w:val="000000"/>
                <w:kern w:val="0"/>
                <w:sz w:val="20"/>
                <w:szCs w:val="20"/>
                <w:lang w:bidi="ar"/>
              </w:rPr>
              <w:t>：许昌市机关公务用车服务中心</w:t>
            </w:r>
          </w:p>
        </w:tc>
        <w:tc>
          <w:tcPr>
            <w:tcW w:w="0" w:type="auto"/>
            <w:gridSpan w:val="3"/>
            <w:tcBorders>
              <w:top w:val="nil"/>
              <w:left w:val="nil"/>
              <w:bottom w:val="nil"/>
              <w:right w:val="nil"/>
            </w:tcBorders>
            <w:noWrap/>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w:t>
            </w:r>
          </w:p>
        </w:tc>
        <w:tc>
          <w:tcPr>
            <w:tcW w:w="1738"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年初结转和结余</w:t>
            </w:r>
          </w:p>
        </w:tc>
        <w:tc>
          <w:tcPr>
            <w:tcW w:w="1821"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本年收入</w:t>
            </w:r>
          </w:p>
        </w:tc>
        <w:tc>
          <w:tcPr>
            <w:tcW w:w="5463" w:type="dxa"/>
            <w:gridSpan w:val="3"/>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本年支出</w:t>
            </w:r>
          </w:p>
        </w:tc>
        <w:tc>
          <w:tcPr>
            <w:tcW w:w="1821"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年末结转和结余</w:t>
            </w:r>
          </w:p>
        </w:tc>
      </w:tr>
      <w:tr>
        <w:tblPrEx>
          <w:tblCellMar>
            <w:top w:w="0" w:type="dxa"/>
            <w:left w:w="108" w:type="dxa"/>
            <w:bottom w:w="0" w:type="dxa"/>
            <w:right w:w="108" w:type="dxa"/>
          </w:tblCellMar>
        </w:tblPrEx>
        <w:trPr>
          <w:trHeight w:val="312" w:hRule="atLeast"/>
        </w:trPr>
        <w:tc>
          <w:tcPr>
            <w:tcW w:w="1083" w:type="dxa"/>
            <w:gridSpan w:val="3"/>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173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82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821"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小计</w:t>
            </w:r>
          </w:p>
        </w:tc>
        <w:tc>
          <w:tcPr>
            <w:tcW w:w="1821"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基本支出</w:t>
            </w:r>
          </w:p>
        </w:tc>
        <w:tc>
          <w:tcPr>
            <w:tcW w:w="1821"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项目支出</w:t>
            </w:r>
          </w:p>
        </w:tc>
        <w:tc>
          <w:tcPr>
            <w:tcW w:w="182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r>
      <w:tr>
        <w:trPr>
          <w:trHeight w:val="312" w:hRule="atLeast"/>
        </w:trPr>
        <w:tc>
          <w:tcPr>
            <w:tcW w:w="1083"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cs="宋体"/>
                <w:color w:val="000000"/>
                <w:sz w:val="22"/>
              </w:rPr>
            </w:pPr>
          </w:p>
        </w:tc>
        <w:tc>
          <w:tcPr>
            <w:tcW w:w="173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82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82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82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82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82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r>
      <w:tr>
        <w:tblPrEx>
          <w:tblCellMar>
            <w:top w:w="0" w:type="dxa"/>
            <w:left w:w="108" w:type="dxa"/>
            <w:bottom w:w="0" w:type="dxa"/>
            <w:right w:w="108" w:type="dxa"/>
          </w:tblCellMar>
        </w:tblPrEx>
        <w:trPr>
          <w:trHeight w:val="312" w:hRule="atLeast"/>
        </w:trPr>
        <w:tc>
          <w:tcPr>
            <w:tcW w:w="1083"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cs="宋体"/>
                <w:color w:val="000000"/>
                <w:sz w:val="22"/>
              </w:rPr>
            </w:pPr>
          </w:p>
        </w:tc>
        <w:tc>
          <w:tcPr>
            <w:tcW w:w="173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82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82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82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82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82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r>
      <w:tr>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w:t>
            </w: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b/>
                <w:bCs/>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b/>
                <w:bCs/>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b/>
                <w:bCs/>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b/>
                <w:bCs/>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b/>
                <w:bCs/>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b/>
                <w:bCs/>
                <w:color w:val="000000"/>
                <w:sz w:val="22"/>
              </w:rPr>
            </w:pPr>
          </w:p>
        </w:tc>
      </w:tr>
      <w:tr>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注：本表反映</w:t>
            </w:r>
            <w:r>
              <w:rPr>
                <w:rFonts w:hint="eastAsia" w:ascii="宋体" w:hAnsi="宋体" w:cs="宋体"/>
                <w:color w:val="000000"/>
                <w:kern w:val="0"/>
                <w:sz w:val="22"/>
                <w:lang w:eastAsia="zh-CN" w:bidi="ar"/>
              </w:rPr>
              <w:t>单位</w:t>
            </w:r>
            <w:r>
              <w:rPr>
                <w:rFonts w:hint="eastAsia" w:ascii="宋体" w:hAnsi="宋体" w:cs="宋体"/>
                <w:color w:val="000000"/>
                <w:kern w:val="0"/>
                <w:sz w:val="22"/>
                <w:lang w:bidi="ar"/>
              </w:rPr>
              <w:t>本年度政府性基金预算财政拨款收入、支出及结转和结余情况。</w:t>
            </w:r>
          </w:p>
        </w:tc>
      </w:tr>
    </w:tbl>
    <w:p>
      <w:pPr>
        <w:jc w:val="both"/>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r>
        <w:rPr>
          <w:rFonts w:hint="eastAsia" w:ascii="宋体" w:hAnsi="宋体" w:eastAsia="宋体" w:cs="宋体"/>
          <w:color w:val="000000"/>
          <w:kern w:val="0"/>
          <w:sz w:val="22"/>
          <w:lang w:bidi="ar"/>
        </w:rPr>
        <w:t>说明：我</w:t>
      </w:r>
      <w:r>
        <w:rPr>
          <w:rFonts w:hint="eastAsia" w:ascii="宋体" w:hAnsi="宋体" w:cs="宋体"/>
          <w:color w:val="000000"/>
          <w:kern w:val="0"/>
          <w:sz w:val="22"/>
          <w:lang w:eastAsia="zh-CN" w:bidi="ar"/>
        </w:rPr>
        <w:t>单位</w:t>
      </w:r>
      <w:r>
        <w:rPr>
          <w:rFonts w:hint="eastAsia" w:ascii="宋体" w:hAnsi="宋体" w:eastAsia="宋体" w:cs="宋体"/>
          <w:color w:val="000000"/>
          <w:kern w:val="0"/>
          <w:sz w:val="22"/>
          <w:lang w:bidi="ar"/>
        </w:rPr>
        <w:t>没有政府性基金收入，也没有使用政府性基金安排的支出，故本表无数据</w:t>
      </w:r>
      <w:r>
        <w:rPr>
          <w:rFonts w:hint="eastAsia" w:ascii="仿宋_GB2312" w:hAnsi="仿宋_GB2312" w:eastAsia="仿宋_GB2312" w:cs="仿宋_GB2312"/>
          <w:sz w:val="32"/>
          <w:szCs w:val="32"/>
        </w:rPr>
        <w:t>。</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both"/>
        <w:outlineLvl w:val="0"/>
        <w:rPr>
          <w:rFonts w:hint="eastAsia" w:ascii="黑体" w:hAnsi="黑体" w:eastAsia="黑体" w:cs="黑体"/>
          <w:sz w:val="48"/>
          <w:szCs w:val="48"/>
        </w:rPr>
      </w:pPr>
    </w:p>
    <w:p>
      <w:pPr>
        <w:jc w:val="both"/>
        <w:outlineLvl w:val="0"/>
        <w:rPr>
          <w:rFonts w:hint="eastAsia" w:ascii="黑体" w:hAnsi="黑体" w:eastAsia="黑体" w:cs="黑体"/>
          <w:sz w:val="48"/>
          <w:szCs w:val="48"/>
        </w:rPr>
      </w:pPr>
    </w:p>
    <w:p>
      <w:pPr>
        <w:jc w:val="both"/>
        <w:outlineLvl w:val="0"/>
        <w:rPr>
          <w:rFonts w:hint="eastAsia" w:ascii="黑体" w:hAnsi="黑体" w:eastAsia="黑体" w:cs="黑体"/>
          <w:sz w:val="48"/>
          <w:szCs w:val="48"/>
        </w:rPr>
      </w:pPr>
    </w:p>
    <w:p>
      <w:pPr>
        <w:jc w:val="both"/>
        <w:outlineLvl w:val="0"/>
        <w:rPr>
          <w:rFonts w:hint="eastAsia" w:ascii="黑体" w:hAnsi="黑体" w:eastAsia="黑体" w:cs="黑体"/>
          <w:sz w:val="48"/>
          <w:szCs w:val="48"/>
        </w:rPr>
      </w:pPr>
    </w:p>
    <w:p>
      <w:pPr>
        <w:jc w:val="both"/>
        <w:outlineLvl w:val="0"/>
        <w:rPr>
          <w:rFonts w:hint="eastAsia" w:ascii="黑体" w:hAnsi="黑体" w:eastAsia="黑体" w:cs="黑体"/>
          <w:sz w:val="52"/>
          <w:szCs w:val="52"/>
        </w:rPr>
      </w:pPr>
      <w:r>
        <w:rPr>
          <w:rFonts w:hint="eastAsia" w:ascii="黑体" w:hAnsi="黑体" w:eastAsia="黑体" w:cs="黑体"/>
          <w:sz w:val="48"/>
          <w:szCs w:val="48"/>
        </w:rPr>
        <w:t>第三部分 2021年度</w:t>
      </w:r>
      <w:r>
        <w:rPr>
          <w:rFonts w:hint="eastAsia" w:ascii="黑体" w:hAnsi="黑体" w:eastAsia="黑体" w:cs="黑体"/>
          <w:sz w:val="48"/>
          <w:szCs w:val="48"/>
          <w:lang w:eastAsia="zh-CN"/>
        </w:rPr>
        <w:t>单位</w:t>
      </w:r>
      <w:r>
        <w:rPr>
          <w:rFonts w:hint="eastAsia" w:ascii="黑体" w:hAnsi="黑体" w:eastAsia="黑体" w:cs="黑体"/>
          <w:sz w:val="48"/>
          <w:szCs w:val="48"/>
        </w:rPr>
        <w:t>决算情况说明</w:t>
      </w:r>
    </w:p>
    <w:p>
      <w:pPr>
        <w:widowControl/>
        <w:jc w:val="center"/>
        <w:rPr>
          <w:rFonts w:hint="eastAsia"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2021年度收、支总计均为</w:t>
      </w:r>
      <w:r>
        <w:rPr>
          <w:rFonts w:hint="eastAsia" w:ascii="仿宋_GB2312" w:hAnsi="仿宋_GB2312" w:eastAsia="仿宋_GB2312" w:cs="仿宋_GB2312"/>
          <w:sz w:val="32"/>
          <w:szCs w:val="32"/>
          <w:lang w:val="zh-CN"/>
        </w:rPr>
        <w:t>8</w:t>
      </w:r>
      <w:r>
        <w:rPr>
          <w:rFonts w:hint="eastAsia" w:ascii="仿宋_GB2312" w:hAnsi="仿宋_GB2312" w:eastAsia="仿宋_GB2312" w:cs="仿宋_GB2312"/>
          <w:sz w:val="32"/>
          <w:szCs w:val="32"/>
        </w:rPr>
        <w:t>35</w:t>
      </w:r>
      <w:r>
        <w:rPr>
          <w:rFonts w:hint="eastAsia" w:ascii="仿宋_GB2312" w:hAnsi="仿宋_GB2312" w:eastAsia="仿宋_GB2312" w:cs="仿宋_GB2312"/>
          <w:sz w:val="32"/>
          <w:szCs w:val="32"/>
          <w:lang w:val="zh-CN"/>
        </w:rPr>
        <w:t>.0</w:t>
      </w:r>
      <w:r>
        <w:rPr>
          <w:rFonts w:hint="eastAsia" w:ascii="仿宋_GB2312" w:hAnsi="仿宋_GB2312" w:eastAsia="仿宋_GB2312" w:cs="仿宋_GB2312"/>
          <w:sz w:val="32"/>
          <w:szCs w:val="32"/>
        </w:rPr>
        <w:t>8万元。与上年度相比，收、支总计各增加26.05万元，增长3.22%。主要原因是2021年本单位人员增加</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val="en" w:eastAsia="zh-CN"/>
        </w:rPr>
        <w:t>人，工资收支增长较大</w:t>
      </w:r>
      <w:r>
        <w:rPr>
          <w:rFonts w:hint="eastAsia" w:ascii="仿宋_GB2312" w:hAnsi="仿宋_GB2312" w:eastAsia="仿宋_GB2312" w:cs="仿宋_GB2312"/>
          <w:sz w:val="32"/>
          <w:szCs w:val="32"/>
        </w:rPr>
        <w:t>。</w:t>
      </w:r>
    </w:p>
    <w:p>
      <w:pPr>
        <w:widowControl/>
        <w:spacing w:line="59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zh-CN"/>
        </w:rPr>
        <w:t>年度收入合计7</w:t>
      </w:r>
      <w:r>
        <w:rPr>
          <w:rFonts w:hint="eastAsia" w:ascii="仿宋_GB2312" w:hAnsi="仿宋_GB2312" w:eastAsia="仿宋_GB2312" w:cs="仿宋_GB2312"/>
          <w:sz w:val="32"/>
          <w:szCs w:val="32"/>
        </w:rPr>
        <w:t>16.05</w:t>
      </w:r>
      <w:r>
        <w:rPr>
          <w:rFonts w:hint="eastAsia" w:ascii="仿宋_GB2312" w:hAnsi="仿宋_GB2312" w:eastAsia="仿宋_GB2312" w:cs="仿宋_GB2312"/>
          <w:sz w:val="32"/>
          <w:szCs w:val="32"/>
          <w:lang w:val="zh-CN"/>
        </w:rPr>
        <w:t>万元，其中：财政拨款收入7</w:t>
      </w:r>
      <w:r>
        <w:rPr>
          <w:rFonts w:hint="eastAsia" w:ascii="仿宋_GB2312" w:hAnsi="仿宋_GB2312" w:eastAsia="仿宋_GB2312" w:cs="仿宋_GB2312"/>
          <w:sz w:val="32"/>
          <w:szCs w:val="32"/>
        </w:rPr>
        <w:t>16.05</w:t>
      </w:r>
      <w:r>
        <w:rPr>
          <w:rFonts w:hint="eastAsia" w:ascii="仿宋_GB2312" w:hAnsi="仿宋_GB2312" w:eastAsia="仿宋_GB2312" w:cs="仿宋_GB2312"/>
          <w:sz w:val="32"/>
          <w:szCs w:val="32"/>
          <w:lang w:val="zh-CN"/>
        </w:rPr>
        <w:t>万元，占100%；上级补助收入0.00万元；事业收入0.00万元；经营收入0.00万元；附属单位上缴收入0.00万元；其他收入0.00万元。</w:t>
      </w:r>
    </w:p>
    <w:p>
      <w:pPr>
        <w:widowControl/>
        <w:spacing w:line="59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三、支出决算情况说明</w:t>
      </w:r>
    </w:p>
    <w:p>
      <w:pPr>
        <w:widowControl/>
        <w:spacing w:line="59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zh-CN"/>
        </w:rPr>
        <w:t>年度支出合计</w:t>
      </w:r>
      <w:r>
        <w:rPr>
          <w:rFonts w:hint="eastAsia" w:ascii="仿宋_GB2312" w:hAnsi="仿宋_GB2312" w:eastAsia="仿宋_GB2312" w:cs="仿宋_GB2312"/>
          <w:sz w:val="32"/>
          <w:szCs w:val="32"/>
        </w:rPr>
        <w:t>835.08</w:t>
      </w:r>
      <w:r>
        <w:rPr>
          <w:rFonts w:hint="eastAsia" w:ascii="仿宋_GB2312" w:hAnsi="仿宋_GB2312" w:eastAsia="仿宋_GB2312" w:cs="仿宋_GB2312"/>
          <w:sz w:val="32"/>
          <w:szCs w:val="32"/>
          <w:lang w:val="zh-CN"/>
        </w:rPr>
        <w:t>万元，其中：基本支出</w:t>
      </w:r>
      <w:r>
        <w:rPr>
          <w:rFonts w:hint="eastAsia" w:ascii="仿宋_GB2312" w:hAnsi="仿宋_GB2312" w:eastAsia="仿宋_GB2312" w:cs="仿宋_GB2312"/>
          <w:sz w:val="32"/>
          <w:szCs w:val="32"/>
        </w:rPr>
        <w:t>775.14</w:t>
      </w:r>
      <w:r>
        <w:rPr>
          <w:rFonts w:hint="eastAsia" w:ascii="仿宋_GB2312" w:hAnsi="仿宋_GB2312" w:eastAsia="仿宋_GB2312" w:cs="仿宋_GB2312"/>
          <w:sz w:val="32"/>
          <w:szCs w:val="32"/>
          <w:lang w:val="zh-CN"/>
        </w:rPr>
        <w:t>万元，占</w:t>
      </w:r>
      <w:r>
        <w:rPr>
          <w:rFonts w:hint="eastAsia" w:ascii="仿宋_GB2312" w:hAnsi="仿宋_GB2312" w:eastAsia="仿宋_GB2312" w:cs="仿宋_GB2312"/>
          <w:sz w:val="32"/>
          <w:szCs w:val="32"/>
        </w:rPr>
        <w:t>92.82</w:t>
      </w:r>
      <w:r>
        <w:rPr>
          <w:rFonts w:hint="eastAsia" w:ascii="仿宋_GB2312" w:hAnsi="仿宋_GB2312" w:eastAsia="仿宋_GB2312" w:cs="仿宋_GB2312"/>
          <w:sz w:val="32"/>
          <w:szCs w:val="32"/>
          <w:lang w:val="zh-CN"/>
        </w:rPr>
        <w:t>%；项目支出</w:t>
      </w:r>
      <w:r>
        <w:rPr>
          <w:rFonts w:hint="eastAsia" w:ascii="仿宋_GB2312" w:hAnsi="仿宋_GB2312" w:eastAsia="仿宋_GB2312" w:cs="仿宋_GB2312"/>
          <w:sz w:val="32"/>
          <w:szCs w:val="32"/>
        </w:rPr>
        <w:t>59.94</w:t>
      </w:r>
      <w:r>
        <w:rPr>
          <w:rFonts w:hint="eastAsia" w:ascii="仿宋_GB2312" w:hAnsi="仿宋_GB2312" w:eastAsia="仿宋_GB2312" w:cs="仿宋_GB2312"/>
          <w:sz w:val="32"/>
          <w:szCs w:val="32"/>
          <w:lang w:val="zh-CN"/>
        </w:rPr>
        <w:t>万元，占</w:t>
      </w:r>
      <w:r>
        <w:rPr>
          <w:rFonts w:hint="eastAsia" w:ascii="仿宋_GB2312" w:hAnsi="仿宋_GB2312" w:eastAsia="仿宋_GB2312" w:cs="仿宋_GB2312"/>
          <w:sz w:val="32"/>
          <w:szCs w:val="32"/>
        </w:rPr>
        <w:t>7.18</w:t>
      </w:r>
      <w:r>
        <w:rPr>
          <w:rFonts w:hint="eastAsia" w:ascii="仿宋_GB2312" w:hAnsi="仿宋_GB2312" w:eastAsia="仿宋_GB2312" w:cs="仿宋_GB2312"/>
          <w:sz w:val="32"/>
          <w:szCs w:val="32"/>
          <w:lang w:val="zh-CN"/>
        </w:rPr>
        <w:t>%；上缴上级支出0.00万元；经营支出0.00万元；对附属单位补助支出0.00万元。</w:t>
      </w:r>
    </w:p>
    <w:p>
      <w:pPr>
        <w:widowControl/>
        <w:spacing w:line="59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202</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zh-CN"/>
        </w:rPr>
        <w:t>年度财政拨款收、支总计均为8</w:t>
      </w:r>
      <w:r>
        <w:rPr>
          <w:rFonts w:hint="eastAsia" w:ascii="仿宋_GB2312" w:hAnsi="仿宋_GB2312" w:eastAsia="仿宋_GB2312" w:cs="仿宋_GB2312"/>
          <w:sz w:val="32"/>
          <w:szCs w:val="32"/>
        </w:rPr>
        <w:t>35.08</w:t>
      </w:r>
      <w:r>
        <w:rPr>
          <w:rFonts w:hint="eastAsia" w:ascii="仿宋_GB2312" w:hAnsi="仿宋_GB2312" w:eastAsia="仿宋_GB2312" w:cs="仿宋_GB2312"/>
          <w:sz w:val="32"/>
          <w:szCs w:val="32"/>
          <w:lang w:val="zh-CN"/>
        </w:rPr>
        <w:t>万元。与上年度相比，财政拨款收、支总计各</w:t>
      </w:r>
      <w:r>
        <w:rPr>
          <w:rFonts w:hint="eastAsia" w:ascii="仿宋_GB2312" w:hAnsi="仿宋_GB2312" w:eastAsia="仿宋_GB2312" w:cs="仿宋_GB2312"/>
          <w:sz w:val="32"/>
          <w:szCs w:val="32"/>
        </w:rPr>
        <w:t>增加26.05</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增长3.22</w:t>
      </w:r>
      <w:r>
        <w:rPr>
          <w:rFonts w:hint="eastAsia" w:ascii="仿宋_GB2312" w:hAnsi="仿宋_GB2312" w:eastAsia="仿宋_GB2312" w:cs="仿宋_GB2312"/>
          <w:sz w:val="32"/>
          <w:szCs w:val="32"/>
          <w:lang w:val="zh-CN"/>
        </w:rPr>
        <w:t>%。主要原因是</w:t>
      </w:r>
      <w:r>
        <w:rPr>
          <w:rFonts w:hint="eastAsia" w:ascii="仿宋_GB2312" w:hAnsi="仿宋_GB2312" w:eastAsia="仿宋_GB2312" w:cs="仿宋_GB2312"/>
          <w:sz w:val="32"/>
          <w:szCs w:val="32"/>
        </w:rPr>
        <w:t>2021年本单位人员增加</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val="en" w:eastAsia="zh-CN"/>
        </w:rPr>
        <w:t>人，工资收支增长较大</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2"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spacing w:line="59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zh-CN"/>
        </w:rPr>
        <w:t>年度一般公共预算财政拨款支出8</w:t>
      </w:r>
      <w:r>
        <w:rPr>
          <w:rFonts w:hint="eastAsia" w:ascii="仿宋_GB2312" w:hAnsi="仿宋_GB2312" w:eastAsia="仿宋_GB2312" w:cs="仿宋_GB2312"/>
          <w:sz w:val="32"/>
          <w:szCs w:val="32"/>
        </w:rPr>
        <w:t>35.08</w:t>
      </w:r>
      <w:r>
        <w:rPr>
          <w:rFonts w:hint="eastAsia" w:ascii="仿宋_GB2312" w:hAnsi="仿宋_GB2312" w:eastAsia="仿宋_GB2312" w:cs="仿宋_GB2312"/>
          <w:sz w:val="32"/>
          <w:szCs w:val="32"/>
          <w:lang w:val="zh-CN"/>
        </w:rPr>
        <w:t>万元，占支出合计的100%。与上年度相比，一般公共预算财政拨款支出</w:t>
      </w:r>
      <w:r>
        <w:rPr>
          <w:rFonts w:hint="eastAsia" w:ascii="仿宋_GB2312" w:hAnsi="仿宋_GB2312" w:eastAsia="仿宋_GB2312" w:cs="仿宋_GB2312"/>
          <w:sz w:val="32"/>
          <w:szCs w:val="32"/>
        </w:rPr>
        <w:t>增加</w:t>
      </w:r>
      <w:r>
        <w:rPr>
          <w:rFonts w:hint="eastAsia" w:ascii="仿宋_GB2312" w:hAnsi="仿宋_GB2312" w:eastAsia="仿宋_GB2312"/>
          <w:sz w:val="32"/>
          <w:szCs w:val="24"/>
        </w:rPr>
        <w:t>143.63</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增长</w:t>
      </w:r>
      <w:r>
        <w:rPr>
          <w:rFonts w:hint="eastAsia" w:ascii="仿宋_GB2312" w:hAnsi="仿宋_GB2312" w:eastAsia="仿宋_GB2312"/>
          <w:sz w:val="32"/>
          <w:szCs w:val="24"/>
        </w:rPr>
        <w:t>20.77</w:t>
      </w:r>
      <w:r>
        <w:rPr>
          <w:rFonts w:hint="eastAsia" w:ascii="仿宋_GB2312" w:hAnsi="仿宋_GB2312" w:eastAsia="仿宋_GB2312" w:cs="仿宋_GB2312"/>
          <w:sz w:val="32"/>
          <w:szCs w:val="32"/>
          <w:lang w:val="zh-CN"/>
        </w:rPr>
        <w:t>%。主要原因是</w:t>
      </w:r>
      <w:r>
        <w:rPr>
          <w:rFonts w:hint="eastAsia" w:ascii="仿宋_GB2312" w:hAnsi="仿宋_GB2312" w:eastAsia="仿宋_GB2312" w:cs="仿宋_GB2312"/>
          <w:sz w:val="32"/>
          <w:szCs w:val="32"/>
        </w:rPr>
        <w:t>2021年本单位人员增加</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val="en" w:eastAsia="zh-CN"/>
        </w:rPr>
        <w:t>人，工资收支增长较大。</w:t>
      </w:r>
    </w:p>
    <w:p>
      <w:pPr>
        <w:widowControl/>
        <w:spacing w:line="590" w:lineRule="exact"/>
        <w:ind w:firstLine="642"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zh-CN"/>
        </w:rPr>
        <w:t>年度一般公共预算财政拨款支出</w:t>
      </w:r>
      <w:r>
        <w:rPr>
          <w:rFonts w:hint="eastAsia" w:ascii="仿宋_GB2312" w:hAnsi="仿宋_GB2312" w:eastAsia="仿宋_GB2312" w:cs="仿宋_GB2312"/>
          <w:sz w:val="32"/>
          <w:szCs w:val="32"/>
        </w:rPr>
        <w:t>835.08</w:t>
      </w:r>
      <w:r>
        <w:rPr>
          <w:rFonts w:hint="eastAsia" w:ascii="仿宋_GB2312" w:hAnsi="仿宋_GB2312" w:eastAsia="仿宋_GB2312" w:cs="仿宋_GB2312"/>
          <w:sz w:val="32"/>
          <w:szCs w:val="32"/>
          <w:lang w:val="zh-CN"/>
        </w:rPr>
        <w:t>万元，主要用于以下方面：一般公共服务（类）支出</w:t>
      </w:r>
      <w:r>
        <w:rPr>
          <w:rFonts w:hint="eastAsia" w:ascii="仿宋_GB2312" w:hAnsi="仿宋_GB2312" w:eastAsia="仿宋_GB2312" w:cs="仿宋_GB2312"/>
          <w:sz w:val="32"/>
          <w:szCs w:val="32"/>
        </w:rPr>
        <w:t>780.51</w:t>
      </w:r>
      <w:r>
        <w:rPr>
          <w:rFonts w:hint="eastAsia" w:ascii="仿宋_GB2312" w:hAnsi="仿宋_GB2312" w:eastAsia="仿宋_GB2312" w:cs="仿宋_GB2312"/>
          <w:sz w:val="32"/>
          <w:szCs w:val="32"/>
          <w:lang w:val="zh-CN"/>
        </w:rPr>
        <w:t>万元，占</w:t>
      </w:r>
      <w:r>
        <w:rPr>
          <w:rFonts w:hint="eastAsia" w:ascii="仿宋_GB2312" w:hAnsi="仿宋_GB2312" w:eastAsia="仿宋_GB2312" w:cs="仿宋_GB2312"/>
          <w:sz w:val="32"/>
          <w:szCs w:val="32"/>
        </w:rPr>
        <w:t>93.47</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社会保障和就业</w:t>
      </w:r>
      <w:r>
        <w:rPr>
          <w:rFonts w:hint="eastAsia" w:ascii="仿宋_GB2312" w:hAnsi="仿宋_GB2312" w:eastAsia="仿宋_GB2312" w:cs="仿宋_GB2312"/>
          <w:sz w:val="32"/>
          <w:szCs w:val="32"/>
          <w:lang w:val="zh-CN"/>
        </w:rPr>
        <w:t>（类）支出</w:t>
      </w:r>
      <w:r>
        <w:rPr>
          <w:rFonts w:hint="eastAsia" w:ascii="仿宋_GB2312" w:hAnsi="仿宋_GB2312" w:eastAsia="仿宋_GB2312" w:cs="仿宋_GB2312"/>
          <w:sz w:val="32"/>
          <w:szCs w:val="32"/>
        </w:rPr>
        <w:t>6.34</w:t>
      </w:r>
      <w:r>
        <w:rPr>
          <w:rFonts w:hint="eastAsia" w:ascii="仿宋_GB2312" w:hAnsi="仿宋_GB2312" w:eastAsia="仿宋_GB2312" w:cs="仿宋_GB2312"/>
          <w:sz w:val="32"/>
          <w:szCs w:val="32"/>
          <w:lang w:val="zh-CN"/>
        </w:rPr>
        <w:t>万元，占</w:t>
      </w:r>
      <w:r>
        <w:rPr>
          <w:rFonts w:hint="eastAsia" w:ascii="仿宋_GB2312" w:hAnsi="仿宋_GB2312" w:eastAsia="仿宋_GB2312" w:cs="仿宋_GB2312"/>
          <w:sz w:val="32"/>
          <w:szCs w:val="32"/>
        </w:rPr>
        <w:t>0.76</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卫生健康</w:t>
      </w:r>
      <w:r>
        <w:rPr>
          <w:rFonts w:hint="eastAsia" w:ascii="仿宋_GB2312" w:hAnsi="仿宋_GB2312" w:eastAsia="仿宋_GB2312" w:cs="仿宋_GB2312"/>
          <w:sz w:val="32"/>
          <w:szCs w:val="32"/>
          <w:lang w:val="zh-CN"/>
        </w:rPr>
        <w:t>（类）支出</w:t>
      </w:r>
      <w:r>
        <w:rPr>
          <w:rFonts w:hint="eastAsia" w:ascii="仿宋_GB2312" w:hAnsi="仿宋_GB2312" w:eastAsia="仿宋_GB2312" w:cs="仿宋_GB2312"/>
          <w:sz w:val="32"/>
          <w:szCs w:val="32"/>
        </w:rPr>
        <w:t>3.02</w:t>
      </w:r>
      <w:r>
        <w:rPr>
          <w:rFonts w:hint="eastAsia" w:ascii="仿宋_GB2312" w:hAnsi="仿宋_GB2312" w:eastAsia="仿宋_GB2312" w:cs="仿宋_GB2312"/>
          <w:sz w:val="32"/>
          <w:szCs w:val="32"/>
          <w:lang w:val="zh-CN"/>
        </w:rPr>
        <w:t>万元，占</w:t>
      </w:r>
      <w:r>
        <w:rPr>
          <w:rFonts w:hint="eastAsia" w:ascii="仿宋_GB2312" w:hAnsi="仿宋_GB2312" w:eastAsia="仿宋_GB2312" w:cs="仿宋_GB2312"/>
          <w:sz w:val="32"/>
          <w:szCs w:val="32"/>
        </w:rPr>
        <w:t>0.36</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节能环保</w:t>
      </w:r>
      <w:r>
        <w:rPr>
          <w:rFonts w:hint="eastAsia" w:ascii="仿宋_GB2312" w:hAnsi="仿宋_GB2312" w:eastAsia="仿宋_GB2312" w:cs="仿宋_GB2312"/>
          <w:sz w:val="32"/>
          <w:szCs w:val="32"/>
          <w:lang w:val="zh-CN"/>
        </w:rPr>
        <w:t>（类）支出</w:t>
      </w:r>
      <w:r>
        <w:rPr>
          <w:rFonts w:hint="eastAsia" w:ascii="仿宋_GB2312" w:hAnsi="仿宋_GB2312" w:eastAsia="仿宋_GB2312" w:cs="仿宋_GB2312"/>
          <w:sz w:val="32"/>
          <w:szCs w:val="32"/>
        </w:rPr>
        <w:t>45.20</w:t>
      </w:r>
      <w:r>
        <w:rPr>
          <w:rFonts w:hint="eastAsia" w:ascii="仿宋_GB2312" w:hAnsi="仿宋_GB2312" w:eastAsia="仿宋_GB2312" w:cs="仿宋_GB2312"/>
          <w:sz w:val="32"/>
          <w:szCs w:val="32"/>
          <w:lang w:val="zh-CN"/>
        </w:rPr>
        <w:t>万元，占</w:t>
      </w:r>
      <w:r>
        <w:rPr>
          <w:rFonts w:hint="eastAsia" w:ascii="仿宋_GB2312" w:hAnsi="仿宋_GB2312" w:eastAsia="仿宋_GB2312" w:cs="仿宋_GB2312"/>
          <w:sz w:val="32"/>
          <w:szCs w:val="32"/>
        </w:rPr>
        <w:t>5.41</w:t>
      </w:r>
      <w:r>
        <w:rPr>
          <w:rFonts w:hint="eastAsia" w:ascii="仿宋_GB2312" w:hAnsi="仿宋_GB2312" w:eastAsia="仿宋_GB2312" w:cs="仿宋_GB2312"/>
          <w:sz w:val="32"/>
          <w:szCs w:val="32"/>
          <w:lang w:val="zh-CN"/>
        </w:rPr>
        <w:t>%。</w:t>
      </w:r>
    </w:p>
    <w:p>
      <w:pPr>
        <w:widowControl/>
        <w:spacing w:line="590" w:lineRule="exact"/>
        <w:ind w:firstLine="642"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2021年度一般公共预算财政拨款支出预算为835.08万元，支出决算为835.08万元，完成预算的</w:t>
      </w:r>
      <w:r>
        <w:rPr>
          <w:rFonts w:hint="eastAsia" w:ascii="仿宋_GB2312" w:hAnsi="仿宋_GB2312" w:eastAsia="仿宋_GB2312"/>
          <w:sz w:val="32"/>
          <w:szCs w:val="24"/>
        </w:rPr>
        <w:t>1</w:t>
      </w:r>
      <w:r>
        <w:rPr>
          <w:rFonts w:hint="eastAsia" w:ascii="仿宋_GB2312" w:hAnsi="仿宋_GB2312" w:eastAsia="仿宋_GB2312"/>
          <w:sz w:val="32"/>
          <w:szCs w:val="24"/>
          <w:lang w:val="en-US" w:eastAsia="zh-CN"/>
        </w:rPr>
        <w:t>00</w:t>
      </w:r>
      <w:r>
        <w:rPr>
          <w:rFonts w:hint="eastAsia" w:ascii="仿宋_GB2312" w:hAnsi="仿宋_GB2312" w:eastAsia="仿宋_GB2312" w:cs="仿宋_GB2312"/>
          <w:sz w:val="32"/>
          <w:szCs w:val="32"/>
        </w:rPr>
        <w:t>%。其中：</w:t>
      </w:r>
    </w:p>
    <w:p>
      <w:pPr>
        <w:widowControl/>
        <w:numPr>
          <w:ilvl w:val="0"/>
          <w:numId w:val="0"/>
        </w:numPr>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一般公共服务</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人大事务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事业运行</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25.00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25.00</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p>
    <w:p>
      <w:pPr>
        <w:widowControl/>
        <w:spacing w:line="590" w:lineRule="exact"/>
        <w:ind w:firstLine="642" w:firstLineChars="20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一般公共服务</w:t>
      </w:r>
      <w:r>
        <w:rPr>
          <w:rFonts w:hint="eastAsia" w:ascii="仿宋_GB2312" w:hAnsi="仿宋_GB2312" w:eastAsia="仿宋_GB2312" w:cs="仿宋_GB2312"/>
          <w:b/>
          <w:bCs/>
          <w:sz w:val="32"/>
          <w:szCs w:val="32"/>
          <w:lang w:val="zh-CN"/>
        </w:rPr>
        <w:t>（类）</w:t>
      </w:r>
      <w:r>
        <w:rPr>
          <w:rFonts w:hint="eastAsia" w:ascii="仿宋_GB2312" w:hAnsi="仿宋_GB2312" w:eastAsia="仿宋_GB2312" w:cs="仿宋_GB2312"/>
          <w:b/>
          <w:bCs/>
          <w:sz w:val="32"/>
          <w:szCs w:val="32"/>
        </w:rPr>
        <w:t>政府办公厅（室）及相关机构事务</w:t>
      </w:r>
      <w:r>
        <w:rPr>
          <w:rFonts w:hint="eastAsia" w:ascii="仿宋_GB2312" w:hAnsi="仿宋_GB2312" w:eastAsia="仿宋_GB2312" w:cs="仿宋_GB2312"/>
          <w:b/>
          <w:bCs/>
          <w:sz w:val="32"/>
          <w:szCs w:val="32"/>
          <w:lang w:val="zh-CN"/>
        </w:rPr>
        <w:t>（款）</w:t>
      </w:r>
      <w:r>
        <w:rPr>
          <w:rFonts w:hint="eastAsia" w:ascii="仿宋_GB2312" w:hAnsi="仿宋_GB2312" w:eastAsia="仿宋_GB2312" w:cs="仿宋_GB2312"/>
          <w:b/>
          <w:bCs/>
          <w:sz w:val="32"/>
          <w:szCs w:val="32"/>
          <w:lang w:eastAsia="zh-CN"/>
        </w:rPr>
        <w:t>机关服务</w:t>
      </w:r>
      <w:r>
        <w:rPr>
          <w:rFonts w:hint="eastAsia" w:ascii="仿宋_GB2312" w:hAnsi="仿宋_GB2312" w:eastAsia="仿宋_GB2312" w:cs="仿宋_GB2312"/>
          <w:b/>
          <w:bCs/>
          <w:sz w:val="32"/>
          <w:szCs w:val="32"/>
          <w:lang w:val="zh-CN"/>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44.92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44.92</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p>
    <w:p>
      <w:pPr>
        <w:widowControl/>
        <w:spacing w:line="590" w:lineRule="exact"/>
        <w:ind w:firstLine="642"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lang w:val="zh-CN"/>
        </w:rPr>
        <w:t>．</w:t>
      </w:r>
      <w:r>
        <w:rPr>
          <w:rFonts w:hint="eastAsia" w:ascii="仿宋_GB2312" w:hAnsi="仿宋_GB2312" w:eastAsia="仿宋_GB2312" w:cs="仿宋_GB2312"/>
          <w:b/>
          <w:bCs/>
          <w:sz w:val="32"/>
          <w:szCs w:val="32"/>
        </w:rPr>
        <w:t>一般公共服务</w:t>
      </w:r>
      <w:r>
        <w:rPr>
          <w:rFonts w:hint="eastAsia" w:ascii="仿宋_GB2312" w:hAnsi="仿宋_GB2312" w:eastAsia="仿宋_GB2312" w:cs="仿宋_GB2312"/>
          <w:b/>
          <w:bCs/>
          <w:sz w:val="32"/>
          <w:szCs w:val="32"/>
          <w:lang w:val="zh-CN"/>
        </w:rPr>
        <w:t>（类）</w:t>
      </w:r>
      <w:r>
        <w:rPr>
          <w:rFonts w:hint="eastAsia" w:ascii="仿宋_GB2312" w:hAnsi="仿宋_GB2312" w:eastAsia="仿宋_GB2312" w:cs="仿宋_GB2312"/>
          <w:b/>
          <w:bCs/>
          <w:sz w:val="32"/>
          <w:szCs w:val="32"/>
        </w:rPr>
        <w:t>政府办公厅（室）及相关机构事务</w:t>
      </w:r>
      <w:r>
        <w:rPr>
          <w:rFonts w:hint="eastAsia" w:ascii="仿宋_GB2312" w:hAnsi="仿宋_GB2312" w:eastAsia="仿宋_GB2312" w:cs="仿宋_GB2312"/>
          <w:b/>
          <w:bCs/>
          <w:sz w:val="32"/>
          <w:szCs w:val="32"/>
          <w:lang w:val="zh-CN"/>
        </w:rPr>
        <w:t>（款）</w:t>
      </w:r>
      <w:r>
        <w:rPr>
          <w:rFonts w:hint="eastAsia" w:ascii="仿宋_GB2312" w:hAnsi="仿宋_GB2312" w:eastAsia="仿宋_GB2312" w:cs="仿宋_GB2312"/>
          <w:b/>
          <w:bCs/>
          <w:sz w:val="32"/>
          <w:szCs w:val="32"/>
        </w:rPr>
        <w:t>事业运行</w:t>
      </w:r>
      <w:r>
        <w:rPr>
          <w:rFonts w:hint="eastAsia" w:ascii="仿宋_GB2312" w:hAnsi="仿宋_GB2312" w:eastAsia="仿宋_GB2312" w:cs="仿宋_GB2312"/>
          <w:b/>
          <w:bCs/>
          <w:sz w:val="32"/>
          <w:szCs w:val="32"/>
          <w:lang w:val="zh-CN"/>
        </w:rPr>
        <w:t>（项）。</w:t>
      </w:r>
      <w:r>
        <w:rPr>
          <w:rFonts w:hint="eastAsia" w:ascii="仿宋_GB2312" w:hAnsi="仿宋_GB2312" w:eastAsia="仿宋_GB2312" w:cs="仿宋_GB2312"/>
          <w:sz w:val="32"/>
          <w:szCs w:val="32"/>
          <w:lang w:val="zh-CN"/>
        </w:rPr>
        <w:t>年初预算为</w:t>
      </w:r>
      <w:r>
        <w:rPr>
          <w:rFonts w:hint="eastAsia" w:ascii="仿宋_GB2312" w:hAnsi="仿宋_GB2312" w:eastAsia="仿宋_GB2312" w:cs="仿宋_GB2312"/>
          <w:sz w:val="32"/>
          <w:szCs w:val="32"/>
          <w:lang w:val="en-US" w:eastAsia="zh-CN"/>
        </w:rPr>
        <w:t>705.90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705.90</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%。决算数与年初预算数不存在差异。</w:t>
      </w:r>
    </w:p>
    <w:p>
      <w:pPr>
        <w:widowControl/>
        <w:spacing w:line="590" w:lineRule="exact"/>
        <w:ind w:firstLine="642"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.一般公共服务</w:t>
      </w:r>
      <w:r>
        <w:rPr>
          <w:rFonts w:hint="eastAsia" w:ascii="仿宋_GB2312" w:hAnsi="仿宋_GB2312" w:eastAsia="仿宋_GB2312" w:cs="仿宋_GB2312"/>
          <w:b/>
          <w:bCs/>
          <w:sz w:val="32"/>
          <w:szCs w:val="32"/>
          <w:lang w:val="zh-CN"/>
        </w:rPr>
        <w:t>（类）</w:t>
      </w:r>
      <w:r>
        <w:rPr>
          <w:rFonts w:hint="eastAsia" w:ascii="仿宋_GB2312" w:hAnsi="仿宋_GB2312" w:eastAsia="仿宋_GB2312" w:cs="仿宋_GB2312"/>
          <w:b/>
          <w:bCs/>
          <w:sz w:val="32"/>
          <w:szCs w:val="32"/>
        </w:rPr>
        <w:t>群众团体事务</w:t>
      </w:r>
      <w:r>
        <w:rPr>
          <w:rFonts w:hint="eastAsia" w:ascii="仿宋_GB2312" w:hAnsi="仿宋_GB2312" w:eastAsia="仿宋_GB2312" w:cs="仿宋_GB2312"/>
          <w:b/>
          <w:bCs/>
          <w:sz w:val="32"/>
          <w:szCs w:val="32"/>
          <w:lang w:val="zh-CN"/>
        </w:rPr>
        <w:t>（款）</w:t>
      </w:r>
      <w:r>
        <w:rPr>
          <w:rFonts w:hint="eastAsia" w:ascii="仿宋_GB2312" w:hAnsi="仿宋_GB2312" w:eastAsia="仿宋_GB2312" w:cs="仿宋_GB2312"/>
          <w:b/>
          <w:bCs/>
          <w:sz w:val="32"/>
          <w:szCs w:val="32"/>
        </w:rPr>
        <w:t>工会事务</w:t>
      </w:r>
      <w:r>
        <w:rPr>
          <w:rFonts w:hint="eastAsia" w:ascii="仿宋_GB2312" w:hAnsi="仿宋_GB2312" w:eastAsia="仿宋_GB2312" w:cs="仿宋_GB2312"/>
          <w:b/>
          <w:bCs/>
          <w:sz w:val="32"/>
          <w:szCs w:val="32"/>
          <w:lang w:val="zh-CN"/>
        </w:rPr>
        <w:t>（项）。</w:t>
      </w:r>
      <w:r>
        <w:rPr>
          <w:rFonts w:hint="eastAsia" w:ascii="仿宋_GB2312" w:hAnsi="仿宋_GB2312" w:eastAsia="仿宋_GB2312" w:cs="仿宋_GB2312"/>
          <w:sz w:val="32"/>
          <w:szCs w:val="32"/>
          <w:lang w:val="zh-CN"/>
        </w:rPr>
        <w:t>年初预算为</w:t>
      </w:r>
      <w:r>
        <w:rPr>
          <w:rFonts w:hint="eastAsia" w:ascii="仿宋_GB2312" w:hAnsi="仿宋_GB2312" w:eastAsia="仿宋_GB2312" w:cs="仿宋_GB2312"/>
          <w:sz w:val="32"/>
          <w:szCs w:val="32"/>
        </w:rPr>
        <w:t>0.58</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0.58</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rPr>
        <w:t>100</w:t>
      </w:r>
      <w:r>
        <w:rPr>
          <w:rFonts w:hint="eastAsia" w:ascii="仿宋_GB2312" w:hAnsi="仿宋_GB2312" w:eastAsia="仿宋_GB2312" w:cs="仿宋_GB2312"/>
          <w:sz w:val="32"/>
          <w:szCs w:val="32"/>
          <w:lang w:val="zh-CN"/>
        </w:rPr>
        <w:t>%。决算数与年初预算数不存在差异。</w:t>
      </w:r>
    </w:p>
    <w:p>
      <w:pPr>
        <w:widowControl/>
        <w:spacing w:line="590" w:lineRule="exact"/>
        <w:ind w:firstLine="642" w:firstLineChars="20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一般公共服务</w:t>
      </w:r>
      <w:r>
        <w:rPr>
          <w:rFonts w:hint="eastAsia" w:ascii="仿宋_GB2312" w:hAnsi="仿宋_GB2312" w:eastAsia="仿宋_GB2312" w:cs="仿宋_GB2312"/>
          <w:b/>
          <w:bCs/>
          <w:sz w:val="32"/>
          <w:szCs w:val="32"/>
          <w:lang w:val="zh-CN"/>
        </w:rPr>
        <w:t>（类）</w:t>
      </w:r>
      <w:r>
        <w:rPr>
          <w:rFonts w:hint="eastAsia" w:ascii="仿宋_GB2312" w:hAnsi="仿宋_GB2312" w:eastAsia="仿宋_GB2312" w:cs="仿宋_GB2312"/>
          <w:b/>
          <w:bCs/>
          <w:sz w:val="32"/>
          <w:szCs w:val="32"/>
          <w:lang w:eastAsia="zh-CN"/>
        </w:rPr>
        <w:t>组织事务</w:t>
      </w:r>
      <w:r>
        <w:rPr>
          <w:rFonts w:hint="eastAsia" w:ascii="仿宋_GB2312" w:hAnsi="仿宋_GB2312" w:eastAsia="仿宋_GB2312" w:cs="仿宋_GB2312"/>
          <w:b/>
          <w:bCs/>
          <w:sz w:val="32"/>
          <w:szCs w:val="32"/>
          <w:lang w:val="zh-CN"/>
        </w:rPr>
        <w:t>（款）</w:t>
      </w:r>
      <w:r>
        <w:rPr>
          <w:rFonts w:hint="eastAsia" w:ascii="仿宋_GB2312" w:hAnsi="仿宋_GB2312" w:eastAsia="仿宋_GB2312" w:cs="仿宋_GB2312"/>
          <w:b/>
          <w:bCs/>
          <w:sz w:val="32"/>
          <w:szCs w:val="32"/>
          <w:lang w:eastAsia="zh-CN"/>
        </w:rPr>
        <w:t>事业运行</w:t>
      </w:r>
      <w:r>
        <w:rPr>
          <w:rFonts w:hint="eastAsia" w:ascii="仿宋_GB2312" w:hAnsi="仿宋_GB2312" w:eastAsia="仿宋_GB2312" w:cs="仿宋_GB2312"/>
          <w:b/>
          <w:bCs/>
          <w:sz w:val="32"/>
          <w:szCs w:val="32"/>
          <w:lang w:val="zh-CN"/>
        </w:rPr>
        <w:t>（项）。</w:t>
      </w:r>
      <w:r>
        <w:rPr>
          <w:rFonts w:hint="eastAsia" w:ascii="仿宋_GB2312" w:hAnsi="仿宋_GB2312" w:eastAsia="仿宋_GB2312" w:cs="仿宋_GB2312"/>
          <w:sz w:val="32"/>
          <w:szCs w:val="32"/>
          <w:lang w:val="zh-CN"/>
        </w:rPr>
        <w:t>年初预算为</w:t>
      </w:r>
      <w:r>
        <w:rPr>
          <w:rFonts w:hint="eastAsia" w:ascii="仿宋_GB2312" w:hAnsi="仿宋_GB2312" w:eastAsia="仿宋_GB2312" w:cs="仿宋_GB2312"/>
          <w:sz w:val="32"/>
          <w:szCs w:val="32"/>
          <w:lang w:val="en-US" w:eastAsia="zh-CN"/>
        </w:rPr>
        <w:t>4.11</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lang w:val="en-US" w:eastAsia="zh-CN"/>
        </w:rPr>
        <w:t>4.11</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rPr>
        <w:t>100</w:t>
      </w:r>
      <w:r>
        <w:rPr>
          <w:rFonts w:hint="eastAsia" w:ascii="仿宋_GB2312" w:hAnsi="仿宋_GB2312" w:eastAsia="仿宋_GB2312" w:cs="仿宋_GB2312"/>
          <w:sz w:val="32"/>
          <w:szCs w:val="32"/>
          <w:lang w:val="zh-CN"/>
        </w:rPr>
        <w:t>%。决算数与年初预算数不存在差异。</w:t>
      </w:r>
    </w:p>
    <w:p>
      <w:pPr>
        <w:widowControl/>
        <w:spacing w:line="590" w:lineRule="exact"/>
        <w:ind w:firstLine="642"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.社会保障和就业支出</w:t>
      </w:r>
      <w:r>
        <w:rPr>
          <w:rFonts w:hint="eastAsia" w:ascii="仿宋_GB2312" w:hAnsi="仿宋_GB2312" w:eastAsia="仿宋_GB2312" w:cs="仿宋_GB2312"/>
          <w:b/>
          <w:bCs/>
          <w:sz w:val="32"/>
          <w:szCs w:val="32"/>
          <w:lang w:val="zh-CN"/>
        </w:rPr>
        <w:t>（类）</w:t>
      </w:r>
      <w:r>
        <w:rPr>
          <w:rFonts w:hint="eastAsia" w:ascii="仿宋_GB2312" w:hAnsi="仿宋_GB2312" w:eastAsia="仿宋_GB2312" w:cs="仿宋_GB2312"/>
          <w:b/>
          <w:bCs/>
          <w:sz w:val="32"/>
          <w:szCs w:val="32"/>
        </w:rPr>
        <w:t>行政事业单位养老支出</w:t>
      </w:r>
      <w:r>
        <w:rPr>
          <w:rFonts w:hint="eastAsia" w:ascii="仿宋_GB2312" w:hAnsi="仿宋_GB2312" w:eastAsia="仿宋_GB2312" w:cs="仿宋_GB2312"/>
          <w:b/>
          <w:bCs/>
          <w:sz w:val="32"/>
          <w:szCs w:val="32"/>
          <w:lang w:val="zh-CN"/>
        </w:rPr>
        <w:t>（款）</w:t>
      </w:r>
      <w:r>
        <w:rPr>
          <w:rFonts w:hint="eastAsia" w:ascii="仿宋_GB2312" w:hAnsi="仿宋_GB2312" w:eastAsia="仿宋_GB2312" w:cs="仿宋_GB2312"/>
          <w:b/>
          <w:bCs/>
          <w:sz w:val="32"/>
          <w:szCs w:val="32"/>
        </w:rPr>
        <w:t>机关事业单位基本养老保险缴费支出</w:t>
      </w:r>
      <w:r>
        <w:rPr>
          <w:rFonts w:hint="eastAsia" w:ascii="仿宋_GB2312" w:hAnsi="仿宋_GB2312" w:eastAsia="仿宋_GB2312" w:cs="仿宋_GB2312"/>
          <w:b/>
          <w:bCs/>
          <w:sz w:val="32"/>
          <w:szCs w:val="32"/>
          <w:lang w:val="zh-CN"/>
        </w:rPr>
        <w:t>（项）。</w:t>
      </w:r>
      <w:r>
        <w:rPr>
          <w:rFonts w:hint="eastAsia" w:ascii="仿宋_GB2312" w:hAnsi="仿宋_GB2312" w:eastAsia="仿宋_GB2312" w:cs="仿宋_GB2312"/>
          <w:sz w:val="32"/>
          <w:szCs w:val="32"/>
          <w:lang w:val="zh-CN"/>
        </w:rPr>
        <w:t>年初预算为</w:t>
      </w:r>
      <w:r>
        <w:rPr>
          <w:rFonts w:hint="eastAsia" w:ascii="仿宋_GB2312" w:hAnsi="仿宋_GB2312" w:eastAsia="仿宋_GB2312" w:cs="仿宋_GB2312"/>
          <w:sz w:val="32"/>
          <w:szCs w:val="32"/>
        </w:rPr>
        <w:t>6.34</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6.34</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rPr>
        <w:t>100</w:t>
      </w:r>
      <w:r>
        <w:rPr>
          <w:rFonts w:hint="eastAsia" w:ascii="仿宋_GB2312" w:hAnsi="仿宋_GB2312" w:eastAsia="仿宋_GB2312" w:cs="仿宋_GB2312"/>
          <w:sz w:val="32"/>
          <w:szCs w:val="32"/>
          <w:lang w:val="zh-CN"/>
        </w:rPr>
        <w:t>%。决算数与年初预算数不存在差异。</w:t>
      </w:r>
    </w:p>
    <w:p>
      <w:pPr>
        <w:widowControl/>
        <w:spacing w:line="590" w:lineRule="exact"/>
        <w:ind w:firstLine="642"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.卫生健康支出</w:t>
      </w:r>
      <w:r>
        <w:rPr>
          <w:rFonts w:hint="eastAsia" w:ascii="仿宋_GB2312" w:hAnsi="仿宋_GB2312" w:eastAsia="仿宋_GB2312" w:cs="仿宋_GB2312"/>
          <w:b/>
          <w:bCs/>
          <w:sz w:val="32"/>
          <w:szCs w:val="32"/>
          <w:lang w:val="zh-CN"/>
        </w:rPr>
        <w:t>（类）</w:t>
      </w:r>
      <w:r>
        <w:rPr>
          <w:rFonts w:hint="eastAsia" w:ascii="仿宋_GB2312" w:hAnsi="仿宋_GB2312" w:eastAsia="仿宋_GB2312" w:cs="仿宋_GB2312"/>
          <w:b/>
          <w:bCs/>
          <w:sz w:val="32"/>
          <w:szCs w:val="32"/>
        </w:rPr>
        <w:t>行政事业单位医疗</w:t>
      </w:r>
      <w:r>
        <w:rPr>
          <w:rFonts w:hint="eastAsia" w:ascii="仿宋_GB2312" w:hAnsi="仿宋_GB2312" w:eastAsia="仿宋_GB2312" w:cs="仿宋_GB2312"/>
          <w:b/>
          <w:bCs/>
          <w:sz w:val="32"/>
          <w:szCs w:val="32"/>
          <w:lang w:val="zh-CN"/>
        </w:rPr>
        <w:t>（款）</w:t>
      </w:r>
      <w:r>
        <w:rPr>
          <w:rFonts w:hint="eastAsia" w:ascii="仿宋_GB2312" w:hAnsi="仿宋_GB2312" w:eastAsia="仿宋_GB2312" w:cs="仿宋_GB2312"/>
          <w:b/>
          <w:bCs/>
          <w:sz w:val="32"/>
          <w:szCs w:val="32"/>
        </w:rPr>
        <w:t>事业单位医疗</w:t>
      </w:r>
      <w:r>
        <w:rPr>
          <w:rFonts w:hint="eastAsia" w:ascii="仿宋_GB2312" w:hAnsi="仿宋_GB2312" w:eastAsia="仿宋_GB2312" w:cs="仿宋_GB2312"/>
          <w:b/>
          <w:bCs/>
          <w:sz w:val="32"/>
          <w:szCs w:val="32"/>
          <w:lang w:val="zh-CN"/>
        </w:rPr>
        <w:t>（项）。</w:t>
      </w:r>
      <w:r>
        <w:rPr>
          <w:rFonts w:hint="eastAsia" w:ascii="仿宋_GB2312" w:hAnsi="仿宋_GB2312" w:eastAsia="仿宋_GB2312" w:cs="仿宋_GB2312"/>
          <w:sz w:val="32"/>
          <w:szCs w:val="32"/>
          <w:lang w:val="zh-CN"/>
        </w:rPr>
        <w:t>年初预算为</w:t>
      </w:r>
      <w:r>
        <w:rPr>
          <w:rFonts w:hint="eastAsia" w:ascii="仿宋_GB2312" w:hAnsi="仿宋_GB2312" w:eastAsia="仿宋_GB2312" w:cs="仿宋_GB2312"/>
          <w:sz w:val="32"/>
          <w:szCs w:val="32"/>
        </w:rPr>
        <w:t>3.02</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3.02</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rPr>
        <w:t>100</w:t>
      </w:r>
      <w:r>
        <w:rPr>
          <w:rFonts w:hint="eastAsia" w:ascii="仿宋_GB2312" w:hAnsi="仿宋_GB2312" w:eastAsia="仿宋_GB2312" w:cs="仿宋_GB2312"/>
          <w:sz w:val="32"/>
          <w:szCs w:val="32"/>
          <w:lang w:val="zh-CN"/>
        </w:rPr>
        <w:t>%。决算数与年初预算数不存在差异。</w:t>
      </w:r>
    </w:p>
    <w:p>
      <w:pPr>
        <w:widowControl/>
        <w:spacing w:line="590" w:lineRule="exact"/>
        <w:ind w:firstLine="642"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rPr>
        <w:t>.节能环保支出</w:t>
      </w:r>
      <w:r>
        <w:rPr>
          <w:rFonts w:hint="eastAsia" w:ascii="仿宋_GB2312" w:hAnsi="仿宋_GB2312" w:eastAsia="仿宋_GB2312" w:cs="仿宋_GB2312"/>
          <w:b/>
          <w:bCs/>
          <w:sz w:val="32"/>
          <w:szCs w:val="32"/>
          <w:lang w:val="zh-CN"/>
        </w:rPr>
        <w:t>（类）</w:t>
      </w:r>
      <w:r>
        <w:rPr>
          <w:rFonts w:hint="eastAsia" w:ascii="仿宋_GB2312" w:hAnsi="仿宋_GB2312" w:eastAsia="仿宋_GB2312" w:cs="仿宋_GB2312"/>
          <w:b/>
          <w:bCs/>
          <w:sz w:val="32"/>
          <w:szCs w:val="32"/>
        </w:rPr>
        <w:t>污染防治</w:t>
      </w:r>
      <w:r>
        <w:rPr>
          <w:rFonts w:hint="eastAsia" w:ascii="仿宋_GB2312" w:hAnsi="仿宋_GB2312" w:eastAsia="仿宋_GB2312" w:cs="仿宋_GB2312"/>
          <w:b/>
          <w:bCs/>
          <w:sz w:val="32"/>
          <w:szCs w:val="32"/>
          <w:lang w:val="zh-CN"/>
        </w:rPr>
        <w:t>（款）</w:t>
      </w:r>
      <w:r>
        <w:rPr>
          <w:rFonts w:hint="eastAsia" w:ascii="仿宋_GB2312" w:hAnsi="仿宋_GB2312" w:eastAsia="仿宋_GB2312" w:cs="仿宋_GB2312"/>
          <w:b/>
          <w:bCs/>
          <w:sz w:val="32"/>
          <w:szCs w:val="32"/>
        </w:rPr>
        <w:t>其他污染防治支出</w:t>
      </w:r>
      <w:r>
        <w:rPr>
          <w:rFonts w:hint="eastAsia" w:ascii="仿宋_GB2312" w:hAnsi="仿宋_GB2312" w:eastAsia="仿宋_GB2312" w:cs="仿宋_GB2312"/>
          <w:b/>
          <w:bCs/>
          <w:sz w:val="32"/>
          <w:szCs w:val="32"/>
          <w:lang w:val="zh-CN"/>
        </w:rPr>
        <w:t>（项）。</w:t>
      </w:r>
      <w:r>
        <w:rPr>
          <w:rFonts w:hint="eastAsia" w:ascii="仿宋_GB2312" w:hAnsi="仿宋_GB2312" w:eastAsia="仿宋_GB2312" w:cs="仿宋_GB2312"/>
          <w:sz w:val="32"/>
          <w:szCs w:val="32"/>
          <w:lang w:val="zh-CN"/>
        </w:rPr>
        <w:t>年初预算为</w:t>
      </w:r>
      <w:r>
        <w:rPr>
          <w:rFonts w:hint="eastAsia" w:ascii="仿宋_GB2312" w:hAnsi="仿宋_GB2312" w:eastAsia="仿宋_GB2312" w:cs="仿宋_GB2312"/>
          <w:sz w:val="32"/>
          <w:szCs w:val="32"/>
          <w:lang w:val="en-US" w:eastAsia="zh-CN"/>
        </w:rPr>
        <w:t>45.20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45.20</w:t>
      </w:r>
      <w:r>
        <w:rPr>
          <w:rFonts w:hint="eastAsia" w:ascii="仿宋_GB2312" w:hAnsi="仿宋_GB2312" w:eastAsia="仿宋_GB2312" w:cs="仿宋_GB2312"/>
          <w:sz w:val="32"/>
          <w:szCs w:val="32"/>
          <w:lang w:val="zh-CN"/>
        </w:rPr>
        <w:t>万元。决算数与年初预算数不存在差异。</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zh-CN"/>
        </w:rPr>
        <w:t>年度一般公共预算财政拨款基本支出</w:t>
      </w:r>
      <w:r>
        <w:rPr>
          <w:rFonts w:hint="eastAsia" w:ascii="仿宋_GB2312" w:hAnsi="仿宋_GB2312" w:eastAsia="仿宋_GB2312" w:cs="仿宋_GB2312"/>
          <w:sz w:val="32"/>
          <w:szCs w:val="32"/>
        </w:rPr>
        <w:t>775.14</w:t>
      </w:r>
      <w:r>
        <w:rPr>
          <w:rFonts w:hint="eastAsia" w:ascii="仿宋_GB2312" w:hAnsi="仿宋_GB2312" w:eastAsia="仿宋_GB2312" w:cs="仿宋_GB2312"/>
          <w:sz w:val="32"/>
          <w:szCs w:val="32"/>
          <w:lang w:val="zh-CN"/>
        </w:rPr>
        <w:t>万元。其中：人员经费</w:t>
      </w:r>
      <w:r>
        <w:rPr>
          <w:rFonts w:hint="eastAsia" w:ascii="仿宋_GB2312" w:hAnsi="仿宋_GB2312" w:eastAsia="仿宋_GB2312" w:cs="仿宋_GB2312"/>
          <w:sz w:val="32"/>
          <w:szCs w:val="32"/>
        </w:rPr>
        <w:t>162.57</w:t>
      </w:r>
      <w:r>
        <w:rPr>
          <w:rFonts w:hint="eastAsia" w:ascii="仿宋_GB2312" w:hAnsi="仿宋_GB2312" w:eastAsia="仿宋_GB2312" w:cs="仿宋_GB2312"/>
          <w:sz w:val="32"/>
          <w:szCs w:val="32"/>
          <w:lang w:val="zh-CN"/>
        </w:rPr>
        <w:t>万元，主要包括：基本工资、津贴补贴、奖金、绩效工资、机关事业单位基本养老保险缴费、职工基本医疗保险缴费、</w:t>
      </w:r>
      <w:r>
        <w:rPr>
          <w:rFonts w:hint="eastAsia" w:ascii="仿宋_GB2312" w:hAnsi="仿宋_GB2312" w:eastAsia="仿宋_GB2312" w:cs="仿宋_GB2312"/>
          <w:sz w:val="32"/>
          <w:szCs w:val="32"/>
        </w:rPr>
        <w:t>其他社会保障缴费、</w:t>
      </w:r>
      <w:r>
        <w:rPr>
          <w:rFonts w:hint="eastAsia" w:ascii="仿宋_GB2312" w:hAnsi="仿宋_GB2312" w:eastAsia="仿宋_GB2312" w:cs="仿宋_GB2312"/>
          <w:sz w:val="32"/>
          <w:szCs w:val="32"/>
          <w:lang w:val="zh-CN"/>
        </w:rPr>
        <w:t>住房公积金；公用经费</w:t>
      </w:r>
      <w:r>
        <w:rPr>
          <w:rFonts w:hint="eastAsia" w:ascii="仿宋_GB2312" w:hAnsi="仿宋_GB2312" w:eastAsia="仿宋_GB2312" w:cs="仿宋_GB2312"/>
          <w:sz w:val="32"/>
          <w:szCs w:val="32"/>
        </w:rPr>
        <w:t>612.57</w:t>
      </w:r>
      <w:r>
        <w:rPr>
          <w:rFonts w:hint="eastAsia" w:ascii="仿宋_GB2312" w:hAnsi="仿宋_GB2312" w:eastAsia="仿宋_GB2312" w:cs="仿宋_GB2312"/>
          <w:sz w:val="32"/>
          <w:szCs w:val="32"/>
          <w:lang w:val="zh-CN"/>
        </w:rPr>
        <w:t>万元，主要包括：办公费、</w:t>
      </w:r>
      <w:r>
        <w:rPr>
          <w:rFonts w:hint="eastAsia" w:ascii="仿宋_GB2312" w:hAnsi="仿宋_GB2312" w:eastAsia="仿宋_GB2312" w:cs="仿宋_GB2312"/>
          <w:sz w:val="32"/>
          <w:szCs w:val="32"/>
        </w:rPr>
        <w:t>邮电费、</w:t>
      </w:r>
      <w:r>
        <w:rPr>
          <w:rFonts w:hint="eastAsia" w:ascii="仿宋_GB2312" w:hAnsi="仿宋_GB2312" w:eastAsia="仿宋_GB2312" w:cs="仿宋_GB2312"/>
          <w:sz w:val="32"/>
          <w:szCs w:val="32"/>
          <w:lang w:val="zh-CN"/>
        </w:rPr>
        <w:t>差旅费、</w:t>
      </w:r>
      <w:r>
        <w:rPr>
          <w:rFonts w:hint="eastAsia" w:ascii="仿宋_GB2312" w:hAnsi="仿宋_GB2312" w:eastAsia="仿宋_GB2312" w:cs="仿宋_GB2312"/>
          <w:sz w:val="32"/>
          <w:szCs w:val="32"/>
        </w:rPr>
        <w:t>租赁费、培训费、专用材料费、</w:t>
      </w:r>
      <w:r>
        <w:rPr>
          <w:rFonts w:hint="eastAsia" w:ascii="仿宋_GB2312" w:hAnsi="仿宋_GB2312" w:eastAsia="仿宋_GB2312" w:cs="仿宋_GB2312"/>
          <w:sz w:val="32"/>
          <w:szCs w:val="32"/>
          <w:lang w:val="zh-CN"/>
        </w:rPr>
        <w:t>劳务费、</w:t>
      </w:r>
      <w:r>
        <w:rPr>
          <w:rFonts w:hint="eastAsia" w:ascii="仿宋_GB2312" w:hAnsi="仿宋_GB2312" w:eastAsia="仿宋_GB2312" w:cs="仿宋_GB2312"/>
          <w:sz w:val="32"/>
          <w:szCs w:val="32"/>
        </w:rPr>
        <w:t>委托业务费、</w:t>
      </w:r>
      <w:r>
        <w:rPr>
          <w:rFonts w:hint="eastAsia" w:ascii="仿宋_GB2312" w:hAnsi="仿宋_GB2312" w:eastAsia="仿宋_GB2312" w:cs="仿宋_GB2312"/>
          <w:sz w:val="32"/>
          <w:szCs w:val="32"/>
          <w:lang w:val="zh-CN"/>
        </w:rPr>
        <w:t>工会经费、福利费、公务用车运行维护费、</w:t>
      </w:r>
      <w:r>
        <w:rPr>
          <w:rFonts w:hint="eastAsia" w:ascii="仿宋_GB2312" w:hAnsi="仿宋_GB2312" w:eastAsia="仿宋_GB2312" w:cs="仿宋_GB2312"/>
          <w:sz w:val="32"/>
          <w:szCs w:val="32"/>
        </w:rPr>
        <w:t>其他交通费用</w:t>
      </w:r>
      <w:r>
        <w:rPr>
          <w:rFonts w:hint="eastAsia" w:ascii="仿宋_GB2312" w:hAnsi="仿宋_GB2312" w:eastAsia="仿宋_GB2312" w:cs="仿宋_GB2312"/>
          <w:sz w:val="32"/>
          <w:szCs w:val="32"/>
          <w:lang w:eastAsia="zh-CN"/>
        </w:rPr>
        <w:t>、办公设备购置</w:t>
      </w:r>
      <w:r>
        <w:rPr>
          <w:rFonts w:hint="eastAsia" w:ascii="仿宋_GB2312" w:hAnsi="仿宋_GB2312" w:eastAsia="仿宋_GB2312" w:cs="仿宋_GB2312"/>
          <w:sz w:val="32"/>
          <w:szCs w:val="32"/>
          <w:lang w:val="zh-CN"/>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2"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202</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zh-CN"/>
        </w:rPr>
        <w:t>年度“三公”经费财政拨款支出预算为</w:t>
      </w:r>
      <w:r>
        <w:rPr>
          <w:rFonts w:hint="eastAsia" w:ascii="仿宋_GB2312" w:hAnsi="仿宋_GB2312" w:eastAsia="仿宋_GB2312" w:cs="仿宋_GB2312"/>
          <w:sz w:val="32"/>
          <w:szCs w:val="32"/>
          <w:lang w:val="en-US" w:eastAsia="zh-CN"/>
        </w:rPr>
        <w:t>244.27</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lang w:val="en-US" w:eastAsia="zh-CN"/>
        </w:rPr>
        <w:t>244.27</w:t>
      </w:r>
      <w:r>
        <w:rPr>
          <w:rFonts w:hint="eastAsia" w:ascii="仿宋_GB2312" w:hAnsi="仿宋_GB2312" w:eastAsia="仿宋_GB2312" w:cs="仿宋_GB2312"/>
          <w:sz w:val="32"/>
          <w:szCs w:val="32"/>
          <w:lang w:val="zh-CN"/>
        </w:rPr>
        <w:t>万元，完成预算数的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2021年度“三公”经费支出决算数与预算数</w:t>
      </w:r>
      <w:r>
        <w:rPr>
          <w:rFonts w:hint="eastAsia" w:ascii="仿宋_GB2312" w:hAnsi="仿宋_GB2312" w:eastAsia="仿宋_GB2312" w:cs="仿宋_GB2312"/>
          <w:sz w:val="32"/>
          <w:szCs w:val="32"/>
          <w:lang w:eastAsia="zh-CN"/>
        </w:rPr>
        <w:t>不</w:t>
      </w:r>
      <w:r>
        <w:rPr>
          <w:rFonts w:hint="eastAsia" w:ascii="仿宋_GB2312" w:hAnsi="仿宋_GB2312" w:eastAsia="仿宋_GB2312" w:cs="仿宋_GB2312"/>
          <w:sz w:val="32"/>
          <w:szCs w:val="32"/>
        </w:rPr>
        <w:t>存在差异。</w:t>
      </w:r>
    </w:p>
    <w:p>
      <w:pPr>
        <w:widowControl/>
        <w:spacing w:line="590" w:lineRule="exact"/>
        <w:ind w:firstLine="642"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zh-CN"/>
        </w:rPr>
        <w:t>年度“三公”经费财政拨款支出决算中，因公出国（境）费支出决算0.00万元；公务用车购置及运行费支出决算</w:t>
      </w:r>
      <w:r>
        <w:rPr>
          <w:rFonts w:hint="eastAsia" w:ascii="仿宋_GB2312" w:hAnsi="仿宋_GB2312" w:eastAsia="仿宋_GB2312" w:cs="仿宋_GB2312"/>
          <w:sz w:val="32"/>
          <w:szCs w:val="32"/>
          <w:lang w:val="en-US" w:eastAsia="zh-CN"/>
        </w:rPr>
        <w:t>244.27</w:t>
      </w:r>
      <w:r>
        <w:rPr>
          <w:rFonts w:hint="eastAsia" w:ascii="仿宋_GB2312" w:hAnsi="仿宋_GB2312" w:eastAsia="仿宋_GB2312" w:cs="仿宋_GB2312"/>
          <w:sz w:val="32"/>
          <w:szCs w:val="32"/>
          <w:lang w:val="zh-CN"/>
        </w:rPr>
        <w:t>万元，完成预算数的</w:t>
      </w:r>
      <w:r>
        <w:rPr>
          <w:rFonts w:hint="eastAsia" w:ascii="仿宋_GB2312" w:hAnsi="仿宋_GB2312" w:eastAsia="仿宋_GB2312" w:cs="仿宋_GB2312"/>
          <w:sz w:val="32"/>
          <w:szCs w:val="32"/>
        </w:rPr>
        <w:t>100</w:t>
      </w:r>
      <w:r>
        <w:rPr>
          <w:rFonts w:hint="eastAsia" w:ascii="仿宋_GB2312" w:hAnsi="仿宋_GB2312" w:eastAsia="仿宋_GB2312" w:cs="仿宋_GB2312"/>
          <w:sz w:val="32"/>
          <w:szCs w:val="32"/>
          <w:lang w:val="zh-CN"/>
        </w:rPr>
        <w:t>%，占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%；公务接待费支出决算0.00万元；具体情况如下：</w:t>
      </w:r>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1．因公出国（境）费</w:t>
      </w:r>
      <w:r>
        <w:rPr>
          <w:rFonts w:hint="eastAsia" w:ascii="仿宋_GB2312" w:hAnsi="仿宋_GB2312" w:eastAsia="仿宋_GB2312" w:cs="仿宋_GB2312"/>
          <w:sz w:val="32"/>
          <w:szCs w:val="32"/>
        </w:rPr>
        <w:t>预算为0.00万元，支出决算为0.00万元。决算数与预算数不存在差异。全年因公出国（境）团组0个，累计0人次。</w:t>
      </w:r>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lang w:val="en-US" w:eastAsia="zh-CN"/>
        </w:rPr>
        <w:t>244.27</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lang w:val="en-US" w:eastAsia="zh-CN"/>
        </w:rPr>
        <w:t>244.27</w:t>
      </w:r>
      <w:r>
        <w:rPr>
          <w:rFonts w:hint="eastAsia" w:ascii="仿宋_GB2312" w:hAnsi="仿宋_GB2312" w:eastAsia="仿宋_GB2312" w:cs="仿宋_GB2312"/>
          <w:sz w:val="32"/>
          <w:szCs w:val="32"/>
          <w:lang w:val="zh-CN"/>
        </w:rPr>
        <w:t>万元，完成预算数的</w:t>
      </w:r>
      <w:r>
        <w:rPr>
          <w:rFonts w:hint="eastAsia" w:ascii="仿宋_GB2312" w:hAnsi="仿宋_GB2312" w:eastAsia="仿宋_GB2312" w:cs="仿宋_GB2312"/>
          <w:sz w:val="32"/>
          <w:szCs w:val="32"/>
        </w:rPr>
        <w:t>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决算数与预算数不存在差异。其中：</w:t>
      </w:r>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0.00万元，购置车辆0辆。</w:t>
      </w:r>
    </w:p>
    <w:p>
      <w:pPr>
        <w:widowControl/>
        <w:spacing w:line="590" w:lineRule="exact"/>
        <w:ind w:firstLine="642"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lang w:val="en-US" w:eastAsia="zh-CN"/>
        </w:rPr>
        <w:t>244.27</w:t>
      </w:r>
      <w:r>
        <w:rPr>
          <w:rFonts w:hint="eastAsia" w:ascii="仿宋_GB2312" w:hAnsi="仿宋_GB2312" w:eastAsia="仿宋_GB2312" w:cs="仿宋_GB2312"/>
          <w:sz w:val="32"/>
          <w:szCs w:val="32"/>
        </w:rPr>
        <w:t>万元。主要用于公务用车运行维护费。2021年期末，</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开支财政拨款的公务用车保有</w:t>
      </w:r>
      <w:r>
        <w:rPr>
          <w:rFonts w:hint="eastAsia" w:ascii="仿宋_GB2312" w:hAnsi="仿宋_GB2312" w:eastAsia="仿宋_GB2312" w:cs="仿宋_GB2312"/>
          <w:color w:val="000000" w:themeColor="text1"/>
          <w:sz w:val="32"/>
          <w:szCs w:val="32"/>
          <w14:textFill>
            <w14:solidFill>
              <w14:schemeClr w14:val="tx1"/>
            </w14:solidFill>
          </w14:textFill>
        </w:rPr>
        <w:t>量为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64</w:t>
      </w:r>
      <w:r>
        <w:rPr>
          <w:rFonts w:hint="eastAsia" w:ascii="仿宋_GB2312" w:hAnsi="仿宋_GB2312" w:eastAsia="仿宋_GB2312" w:cs="仿宋_GB2312"/>
          <w:color w:val="000000" w:themeColor="text1"/>
          <w:sz w:val="32"/>
          <w:szCs w:val="32"/>
          <w14:textFill>
            <w14:solidFill>
              <w14:schemeClr w14:val="tx1"/>
            </w14:solidFill>
          </w14:textFill>
        </w:rPr>
        <w:t>辆。</w:t>
      </w:r>
    </w:p>
    <w:p>
      <w:pPr>
        <w:widowControl/>
        <w:numPr>
          <w:ilvl w:val="0"/>
          <w:numId w:val="3"/>
        </w:numPr>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公务接待费</w:t>
      </w:r>
      <w:r>
        <w:rPr>
          <w:rFonts w:hint="eastAsia" w:ascii="仿宋_GB2312" w:hAnsi="仿宋_GB2312" w:eastAsia="仿宋_GB2312" w:cs="仿宋_GB2312"/>
          <w:sz w:val="32"/>
          <w:szCs w:val="32"/>
        </w:rPr>
        <w:t>预算为0.</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0万元，支出决算为0.00万元。决算数与预算数</w:t>
      </w:r>
      <w:r>
        <w:rPr>
          <w:rFonts w:hint="eastAsia" w:ascii="仿宋_GB2312" w:hAnsi="仿宋_GB2312" w:eastAsia="仿宋_GB2312" w:cs="仿宋_GB2312"/>
          <w:sz w:val="32"/>
          <w:szCs w:val="32"/>
          <w:lang w:eastAsia="zh-CN"/>
        </w:rPr>
        <w:t>不</w:t>
      </w:r>
      <w:r>
        <w:rPr>
          <w:rFonts w:hint="eastAsia" w:ascii="仿宋_GB2312" w:hAnsi="仿宋_GB2312" w:eastAsia="仿宋_GB2312" w:cs="仿宋_GB2312"/>
          <w:sz w:val="32"/>
          <w:szCs w:val="32"/>
        </w:rPr>
        <w:t>存在差异。其中：</w:t>
      </w:r>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rPr>
        <w:t>0.00万元。202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年共接待国（境）外来访团组0个、来访外宾0人次（不包括陪同人员）。</w:t>
      </w:r>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rPr>
        <w:t>0.00万元。2021年共接待国内来访团组0个、来宾0人次（不包括陪同人员）。</w:t>
      </w:r>
    </w:p>
    <w:p>
      <w:pPr>
        <w:widowControl/>
        <w:numPr>
          <w:ilvl w:val="0"/>
          <w:numId w:val="0"/>
        </w:numPr>
        <w:spacing w:line="59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八、</w:t>
      </w:r>
      <w:r>
        <w:rPr>
          <w:rFonts w:hint="eastAsia" w:ascii="黑体" w:hAnsi="黑体" w:eastAsia="黑体" w:cs="黑体"/>
          <w:sz w:val="32"/>
          <w:szCs w:val="32"/>
        </w:rPr>
        <w:t>政府性基金预算财政拨款支出决算情况说明</w:t>
      </w:r>
    </w:p>
    <w:p>
      <w:pPr>
        <w:widowControl/>
        <w:numPr>
          <w:ilvl w:val="0"/>
          <w:numId w:val="0"/>
        </w:numPr>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2021年度政府性基金预算财政拨款支出年初预算为0.00万元，支出决算为0.00万元。主要原因：我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2021年度没有政府性基金收入，也没有使用政府性基金安排的支出。</w:t>
      </w:r>
    </w:p>
    <w:p>
      <w:pPr>
        <w:widowControl/>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九</w:t>
      </w:r>
      <w:r>
        <w:rPr>
          <w:rFonts w:hint="eastAsia" w:ascii="黑体" w:hAnsi="黑体" w:eastAsia="黑体" w:cs="黑体"/>
          <w:sz w:val="32"/>
          <w:szCs w:val="32"/>
        </w:rPr>
        <w:t>、机关运行经费支出情况说明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lang w:eastAsia="zh-CN"/>
        </w:rPr>
        <w:t>十、</w:t>
      </w:r>
      <w:r>
        <w:rPr>
          <w:rFonts w:hint="eastAsia" w:ascii="黑体" w:hAnsi="黑体" w:eastAsia="黑体" w:cs="黑体"/>
          <w:sz w:val="32"/>
          <w:szCs w:val="32"/>
        </w:rPr>
        <w:t>政府采购支出情况说明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年度政府采购支出总额0.00万元，其中：政府采购货物支出0.00万元、政府采购工程支出0.00万元、政府采购服务支出0.00万元。授予中小企业合同金额0.00万元，其中：授予小微企业合同金额0.00万元。</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w:t>
      </w:r>
      <w:r>
        <w:rPr>
          <w:rFonts w:hint="eastAsia" w:ascii="黑体" w:hAnsi="黑体" w:eastAsia="黑体" w:cs="黑体"/>
          <w:sz w:val="32"/>
          <w:szCs w:val="32"/>
          <w:lang w:eastAsia="zh-CN"/>
        </w:rPr>
        <w:t>一</w:t>
      </w:r>
      <w:r>
        <w:rPr>
          <w:rFonts w:hint="eastAsia" w:ascii="黑体" w:hAnsi="黑体" w:eastAsia="黑体" w:cs="黑体"/>
          <w:sz w:val="32"/>
          <w:szCs w:val="32"/>
        </w:rPr>
        <w:t>、国有资产占用情况说明</w:t>
      </w:r>
    </w:p>
    <w:p>
      <w:pPr>
        <w:widowControl/>
        <w:spacing w:line="590" w:lineRule="exact"/>
        <w:ind w:firstLine="640" w:firstLineChars="200"/>
        <w:rPr>
          <w:rFonts w:hint="eastAsia"/>
        </w:rPr>
      </w:pPr>
      <w:r>
        <w:rPr>
          <w:rFonts w:hint="eastAsia" w:ascii="仿宋_GB2312" w:hAnsi="仿宋_GB2312" w:eastAsia="仿宋_GB2312" w:cs="仿宋_GB2312"/>
          <w:sz w:val="32"/>
          <w:szCs w:val="32"/>
        </w:rPr>
        <w:t>2021年期末，我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共有车辆64辆，其中：省级领导干部用车0辆、主要领导干部用车0辆、机要通信用车0辆、应急保障车0辆、执法执勤用车0辆、特种专业技术用车0辆、离退休干部用车0辆、其他用车64辆；单位价值50万元以上通用设备0台（套），单位价值100万元以上专用设备0台（套）。</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lang w:eastAsia="zh-CN"/>
        </w:rPr>
        <w:t>十二</w:t>
      </w:r>
      <w:r>
        <w:rPr>
          <w:rFonts w:hint="eastAsia" w:ascii="黑体" w:hAnsi="黑体" w:eastAsia="黑体" w:cs="黑体"/>
          <w:sz w:val="32"/>
          <w:szCs w:val="32"/>
        </w:rPr>
        <w:t>、预算绩效情况说明</w:t>
      </w:r>
    </w:p>
    <w:p>
      <w:pPr>
        <w:widowControl/>
        <w:spacing w:line="590" w:lineRule="exact"/>
        <w:ind w:firstLine="642"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我单位按照《中共许昌市委 许昌市人民政府关于全面实施预算绩效管理的实施意见》（许发〔2021〕13号）文件要求，对本单位整体支出和项目支出开展全过程预算绩效管理。2021年我单位纳入预算绩效管理的支出总额为835.08万元，其中：基本支出775.14万元；支出项目4个，支出金额59.94万元。开展项目绩效自评项目4个，自评金额59.94万元；纳入重点绩效评价</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个，评价金额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numPr>
          <w:ilvl w:val="0"/>
          <w:numId w:val="4"/>
        </w:numPr>
        <w:adjustRightInd w:val="0"/>
        <w:snapToGrid w:val="0"/>
        <w:spacing w:line="360" w:lineRule="auto"/>
        <w:ind w:firstLine="642"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单位整体和项目绩效自评结果。</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按照《许昌市财政局关于开展2021年度市级预算绩效自评工作的通知》（许财效）〔202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〕1号）等文件精神，我单位对整体绩效目标和项目支出绩效目标进行了自评。一是单位整体绩效自评情况较好，各项工作取得较好成效，依据整体绩效目标所设定的绩效指标清晰、细化、可衡量，与</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年度的任务数或计划数相对应，与本年度</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预算资金相匹配。二是项目绩效自评情况。我单位共有4个项目批复了绩效目标。</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于项目预期目标的实现程度，对2021年度项目支出绩效进行自评，绩效自评平均得分为98分。其中：4个项目评价等级为“优”、0个项目评价等级为“良”、0个项目评价等级为“中”、0个项目评价等级为“差”。</w:t>
      </w:r>
    </w:p>
    <w:p>
      <w:pPr>
        <w:widowControl/>
        <w:spacing w:line="360" w:lineRule="auto"/>
        <w:ind w:firstLine="642"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（三）重点绩效评价结果。</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2021年度我单位没有开展财政重点评价项目。    </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第四部分  名词解释</w:t>
      </w:r>
    </w:p>
    <w:p>
      <w:pPr>
        <w:jc w:val="center"/>
        <w:rPr>
          <w:rFonts w:hint="eastAsia" w:ascii="黑体" w:hAnsi="黑体" w:eastAsia="黑体" w:cs="黑体"/>
          <w:sz w:val="48"/>
          <w:szCs w:val="48"/>
        </w:rPr>
      </w:pPr>
    </w:p>
    <w:p>
      <w:pPr>
        <w:jc w:val="center"/>
        <w:outlineLvl w:val="0"/>
        <w:rPr>
          <w:rFonts w:hint="eastAsia"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panose1 w:val="02010600090101010101"/>
    <w:charset w:val="7A"/>
    <w:family w:val="auto"/>
    <w:pitch w:val="default"/>
    <w:sig w:usb0="800002BF" w:usb1="38CF7CFA" w:usb2="00000016" w:usb3="00000000" w:csb0="6016019D" w:csb1="D3F7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altName w:val="宋体"/>
    <w:panose1 w:val="02010609030101010101"/>
    <w:charset w:val="86"/>
    <w:family w:val="modern"/>
    <w:pitch w:val="default"/>
    <w:sig w:usb0="00000000" w:usb1="00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05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- 27 -</w:t>
                          </w:r>
                          <w:r>
                            <w:rPr>
                              <w:rFonts w:hint="eastAsia"/>
                              <w:sz w:val="18"/>
                            </w:rPr>
                            <w:fldChar w:fldCharType="end"/>
                          </w:r>
                        </w:p>
                      </w:txbxContent>
                    </wps:txbx>
                    <wps:bodyPr wrap="none" lIns="0" tIns="0" rIns="0" bIns="0" upright="false">
                      <a:spAutoFit/>
                    </wps:bodyPr>
                  </wps:wsp>
                </a:graphicData>
              </a:graphic>
            </wp:anchor>
          </w:drawing>
        </mc:Choice>
        <mc:Fallback>
          <w:pict>
            <v:shape id="文本框 205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Bs7oFBtgEAAFUDAAAOAAAAAAAAAAEAIAAAADQBAABkcnMvZTJv&#10;RG9jLnhtbFBLBQYAAAAABgAGAFkBAABc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- 27 -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rPr>
                              <w:rFonts w:hint="eastAsia"/>
                            </w:rPr>
                          </w:pPr>
                        </w:p>
                      </w:txbxContent>
                    </wps:txbx>
                    <wps:bodyPr wrap="none" lIns="0" tIns="0" rIns="0" bIns="0" upright="false">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CXMAcHtgEAAFUDAAAOAAAAAAAAAAEAIAAAADQBAABkcnMvZTJv&#10;RG9jLnhtbFBLBQYAAAAABgAGAFkBAABcBQ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05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false">
                      <a:spAutoFit/>
                    </wps:bodyPr>
                  </wps:wsp>
                </a:graphicData>
              </a:graphic>
            </wp:anchor>
          </w:drawing>
        </mc:Choice>
        <mc:Fallback>
          <w:pict>
            <v:shape id="文本框 205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DOqXm5zwAAAAUBAAAPAAAAAAAAAAEAIAAAADgAAABkcnMvZG93bnJl&#10;di54bWxQSwECFAAUAAAACACHTuJAMDq9C7cBAABVAwAADgAAAAAAAAABACAAAAA0AQAAZHJzL2Uy&#10;b0RvYy54bWxQSwUGAAAAAAYABgBZAQAAXQ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8679F5"/>
    <w:multiLevelType w:val="singleLevel"/>
    <w:tmpl w:val="A28679F5"/>
    <w:lvl w:ilvl="0" w:tentative="0">
      <w:start w:val="2"/>
      <w:numFmt w:val="chineseCounting"/>
      <w:suff w:val="nothing"/>
      <w:lvlText w:val="（%1）"/>
      <w:lvlJc w:val="left"/>
      <w:rPr>
        <w:rFonts w:hint="eastAsia"/>
      </w:rPr>
    </w:lvl>
  </w:abstractNum>
  <w:abstractNum w:abstractNumId="1">
    <w:nsid w:val="B2842938"/>
    <w:multiLevelType w:val="singleLevel"/>
    <w:tmpl w:val="B2842938"/>
    <w:lvl w:ilvl="0" w:tentative="0">
      <w:start w:val="3"/>
      <w:numFmt w:val="decimal"/>
      <w:lvlText w:val="%1."/>
      <w:lvlJc w:val="left"/>
      <w:pPr>
        <w:tabs>
          <w:tab w:val="left" w:pos="312"/>
        </w:tabs>
      </w:pPr>
    </w:lvl>
  </w:abstractNum>
  <w:abstractNum w:abstractNumId="2">
    <w:nsid w:val="00000006"/>
    <w:multiLevelType w:val="singleLevel"/>
    <w:tmpl w:val="00000006"/>
    <w:lvl w:ilvl="0" w:tentative="0">
      <w:start w:val="1"/>
      <w:numFmt w:val="chineseCounting"/>
      <w:suff w:val="nothing"/>
      <w:lvlText w:val="%1、"/>
      <w:lvlJc w:val="left"/>
    </w:lvl>
  </w:abstractNum>
  <w:abstractNum w:abstractNumId="3">
    <w:nsid w:val="77E7B384"/>
    <w:multiLevelType w:val="singleLevel"/>
    <w:tmpl w:val="77E7B384"/>
    <w:lvl w:ilvl="0" w:tentative="0">
      <w:start w:val="1"/>
      <w:numFmt w:val="chineseCounting"/>
      <w:suff w:val="space"/>
      <w:lvlText w:val="第%1部分"/>
      <w:lvlJc w:val="left"/>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true"/>
  <w:drawingGridHorizontalSpacing w:val="105"/>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4N2NiNDk1ZDJlNzE1ZGQ4ZGZmOTc1NjYwNTQyOWEifQ=="/>
  </w:docVars>
  <w:rsids>
    <w:rsidRoot w:val="00172A27"/>
    <w:rsid w:val="00181AED"/>
    <w:rsid w:val="00187F2B"/>
    <w:rsid w:val="001B589F"/>
    <w:rsid w:val="004C0693"/>
    <w:rsid w:val="004C335C"/>
    <w:rsid w:val="00530CD1"/>
    <w:rsid w:val="007336CD"/>
    <w:rsid w:val="008D7C1C"/>
    <w:rsid w:val="008E093F"/>
    <w:rsid w:val="009160E3"/>
    <w:rsid w:val="00963ADF"/>
    <w:rsid w:val="00AA4BBC"/>
    <w:rsid w:val="00D9733E"/>
    <w:rsid w:val="00E169EA"/>
    <w:rsid w:val="00E41429"/>
    <w:rsid w:val="00F154D7"/>
    <w:rsid w:val="00FB2419"/>
    <w:rsid w:val="00FE10E9"/>
    <w:rsid w:val="034D1C17"/>
    <w:rsid w:val="040E5F01"/>
    <w:rsid w:val="04B8254A"/>
    <w:rsid w:val="05BE744A"/>
    <w:rsid w:val="086B20C7"/>
    <w:rsid w:val="09834655"/>
    <w:rsid w:val="0CED6208"/>
    <w:rsid w:val="12022F80"/>
    <w:rsid w:val="137D2BB3"/>
    <w:rsid w:val="13847075"/>
    <w:rsid w:val="142A3087"/>
    <w:rsid w:val="15197BCF"/>
    <w:rsid w:val="164655B7"/>
    <w:rsid w:val="1ABC4F81"/>
    <w:rsid w:val="1E945484"/>
    <w:rsid w:val="1F5ABAB5"/>
    <w:rsid w:val="1F7432FA"/>
    <w:rsid w:val="229118F1"/>
    <w:rsid w:val="24763D81"/>
    <w:rsid w:val="24F15196"/>
    <w:rsid w:val="27160512"/>
    <w:rsid w:val="28A55B3A"/>
    <w:rsid w:val="2A19748D"/>
    <w:rsid w:val="2AF22A8A"/>
    <w:rsid w:val="2BA3E3CD"/>
    <w:rsid w:val="2BF11A27"/>
    <w:rsid w:val="2D1C7470"/>
    <w:rsid w:val="2EAFC285"/>
    <w:rsid w:val="2EFD31B4"/>
    <w:rsid w:val="340A153F"/>
    <w:rsid w:val="37E7CDDB"/>
    <w:rsid w:val="37FABDF9"/>
    <w:rsid w:val="3AEFFA50"/>
    <w:rsid w:val="3BDFBFA3"/>
    <w:rsid w:val="3EF70A0F"/>
    <w:rsid w:val="3F7D5FC7"/>
    <w:rsid w:val="3FEF286E"/>
    <w:rsid w:val="3FF7ABF5"/>
    <w:rsid w:val="4072077B"/>
    <w:rsid w:val="40C8026B"/>
    <w:rsid w:val="413E6C22"/>
    <w:rsid w:val="4183128C"/>
    <w:rsid w:val="46E7E7E5"/>
    <w:rsid w:val="46F137CA"/>
    <w:rsid w:val="4D011DA6"/>
    <w:rsid w:val="4D3622B8"/>
    <w:rsid w:val="4F9A2394"/>
    <w:rsid w:val="4FBF0AD2"/>
    <w:rsid w:val="518BB7BB"/>
    <w:rsid w:val="55C24D4F"/>
    <w:rsid w:val="55EC3BFB"/>
    <w:rsid w:val="56DE3118"/>
    <w:rsid w:val="57551757"/>
    <w:rsid w:val="5C067012"/>
    <w:rsid w:val="5C8C694B"/>
    <w:rsid w:val="5CAD67D4"/>
    <w:rsid w:val="5D4A276C"/>
    <w:rsid w:val="5D8B1FE0"/>
    <w:rsid w:val="5F3F218B"/>
    <w:rsid w:val="5FADC6B2"/>
    <w:rsid w:val="5FBF5A7A"/>
    <w:rsid w:val="5FF63E93"/>
    <w:rsid w:val="5FFD3F89"/>
    <w:rsid w:val="626B762E"/>
    <w:rsid w:val="655D0BF1"/>
    <w:rsid w:val="65BF3763"/>
    <w:rsid w:val="671124E4"/>
    <w:rsid w:val="69AD06F3"/>
    <w:rsid w:val="6AF3483E"/>
    <w:rsid w:val="6B6C44E9"/>
    <w:rsid w:val="6BF7447E"/>
    <w:rsid w:val="6C9208D2"/>
    <w:rsid w:val="6F776802"/>
    <w:rsid w:val="6FAC2338"/>
    <w:rsid w:val="6FFD6795"/>
    <w:rsid w:val="6FFF615F"/>
    <w:rsid w:val="716815DA"/>
    <w:rsid w:val="73E64DCF"/>
    <w:rsid w:val="73F7D68B"/>
    <w:rsid w:val="78476E0E"/>
    <w:rsid w:val="797A3E37"/>
    <w:rsid w:val="7BAFAB3B"/>
    <w:rsid w:val="7BC41D5F"/>
    <w:rsid w:val="7BDA3589"/>
    <w:rsid w:val="7C1764EE"/>
    <w:rsid w:val="7CFB79A3"/>
    <w:rsid w:val="7DD099AF"/>
    <w:rsid w:val="7E7B331E"/>
    <w:rsid w:val="7EF5EA63"/>
    <w:rsid w:val="7EF6EBD1"/>
    <w:rsid w:val="7EF9A914"/>
    <w:rsid w:val="7F1FBB80"/>
    <w:rsid w:val="7FBD9959"/>
    <w:rsid w:val="7FDF91FB"/>
    <w:rsid w:val="7FEF28D1"/>
    <w:rsid w:val="9F7F4016"/>
    <w:rsid w:val="BFBF78CD"/>
    <w:rsid w:val="C4B9EA5F"/>
    <w:rsid w:val="CDCF1DAA"/>
    <w:rsid w:val="D5C78B7B"/>
    <w:rsid w:val="D6EFD9D5"/>
    <w:rsid w:val="DDB47756"/>
    <w:rsid w:val="DE58F1B0"/>
    <w:rsid w:val="DEE79F1A"/>
    <w:rsid w:val="DF7F94F5"/>
    <w:rsid w:val="DFFF1F9B"/>
    <w:rsid w:val="EEFDD3EE"/>
    <w:rsid w:val="EFAFD905"/>
    <w:rsid w:val="EFBB5979"/>
    <w:rsid w:val="F2FA2475"/>
    <w:rsid w:val="F8AD4A07"/>
    <w:rsid w:val="FBE3C841"/>
    <w:rsid w:val="FBFFF7FB"/>
    <w:rsid w:val="FCF6B318"/>
    <w:rsid w:val="FF6FDC3A"/>
    <w:rsid w:val="FF7FDF71"/>
    <w:rsid w:val="FF836050"/>
    <w:rsid w:val="FFEFE787"/>
    <w:rsid w:val="FFF42B9A"/>
    <w:rsid w:val="FFFDFD5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spacing w:before="340" w:beforeLines="0" w:after="330" w:afterLines="0" w:line="576" w:lineRule="auto"/>
      <w:outlineLvl w:val="0"/>
    </w:pPr>
    <w:rPr>
      <w:b/>
      <w:bCs/>
      <w:kern w:val="44"/>
      <w:sz w:val="44"/>
      <w:szCs w:val="44"/>
    </w:rPr>
  </w:style>
  <w:style w:type="character" w:default="1" w:styleId="10">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4">
    <w:name w:val="annotation text"/>
    <w:basedOn w:val="1"/>
    <w:qFormat/>
    <w:uiPriority w:val="0"/>
    <w:pPr>
      <w:jc w:val="left"/>
    </w:pPr>
  </w:style>
  <w:style w:type="paragraph" w:styleId="5">
    <w:name w:val="Body Text"/>
    <w:basedOn w:val="1"/>
    <w:unhideWhenUsed/>
    <w:qFormat/>
    <w:uiPriority w:val="99"/>
    <w:pPr>
      <w:spacing w:after="120" w:afterLines="0"/>
    </w:pPr>
    <w:rPr>
      <w:rFonts w:ascii="Calibri" w:hAnsi="Calibri"/>
      <w:szCs w:val="24"/>
    </w:rPr>
  </w:style>
  <w:style w:type="paragraph" w:styleId="6">
    <w:name w:val="Balloon Text"/>
    <w:basedOn w:val="1"/>
    <w:link w:val="14"/>
    <w:qFormat/>
    <w:uiPriority w:val="0"/>
    <w:rPr>
      <w:kern w:val="2"/>
      <w:sz w:val="18"/>
      <w:szCs w:val="18"/>
    </w:rPr>
  </w:style>
  <w:style w:type="paragraph" w:styleId="7">
    <w:name w:val="footer"/>
    <w:basedOn w:val="1"/>
    <w:link w:val="15"/>
    <w:qFormat/>
    <w:uiPriority w:val="0"/>
    <w:pPr>
      <w:tabs>
        <w:tab w:val="center" w:pos="4153"/>
        <w:tab w:val="right" w:pos="8306"/>
      </w:tabs>
      <w:snapToGrid w:val="0"/>
      <w:jc w:val="left"/>
    </w:pPr>
    <w:rPr>
      <w:sz w:val="18"/>
      <w:szCs w:val="18"/>
    </w:rPr>
  </w:style>
  <w:style w:type="paragraph" w:styleId="8">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character" w:styleId="11">
    <w:name w:val="FollowedHyperlink"/>
    <w:qFormat/>
    <w:uiPriority w:val="0"/>
    <w:rPr>
      <w:color w:val="800080"/>
      <w:u w:val="single"/>
    </w:rPr>
  </w:style>
  <w:style w:type="character" w:styleId="12">
    <w:name w:val="Hyperlink"/>
    <w:qFormat/>
    <w:uiPriority w:val="0"/>
    <w:rPr>
      <w:color w:val="0000FF"/>
      <w:u w:val="single"/>
    </w:rPr>
  </w:style>
  <w:style w:type="character" w:styleId="13">
    <w:name w:val="footnote reference"/>
    <w:basedOn w:val="10"/>
    <w:qFormat/>
    <w:uiPriority w:val="0"/>
    <w:rPr>
      <w:vertAlign w:val="superscript"/>
    </w:rPr>
  </w:style>
  <w:style w:type="character" w:customStyle="1" w:styleId="14">
    <w:name w:val="批注框文本 Char"/>
    <w:basedOn w:val="10"/>
    <w:link w:val="6"/>
    <w:qFormat/>
    <w:uiPriority w:val="0"/>
    <w:rPr>
      <w:kern w:val="2"/>
      <w:sz w:val="18"/>
      <w:szCs w:val="18"/>
    </w:rPr>
  </w:style>
  <w:style w:type="character" w:customStyle="1" w:styleId="15">
    <w:name w:val="页脚 Char"/>
    <w:link w:val="7"/>
    <w:qFormat/>
    <w:uiPriority w:val="0"/>
    <w:rPr>
      <w:kern w:val="2"/>
      <w:sz w:val="18"/>
      <w:szCs w:val="18"/>
    </w:rPr>
  </w:style>
  <w:style w:type="character" w:customStyle="1" w:styleId="16">
    <w:name w:val="页眉 Char"/>
    <w:link w:val="8"/>
    <w:qFormat/>
    <w:uiPriority w:val="0"/>
    <w:rPr>
      <w:kern w:val="2"/>
      <w:sz w:val="18"/>
      <w:szCs w:val="18"/>
    </w:rPr>
  </w:style>
  <w:style w:type="character" w:customStyle="1" w:styleId="17">
    <w:name w:val="font01"/>
    <w:basedOn w:val="10"/>
    <w:qFormat/>
    <w:uiPriority w:val="0"/>
    <w:rPr>
      <w:rFonts w:hint="eastAsia" w:ascii="宋体" w:hAnsi="宋体" w:eastAsia="宋体" w:cs="宋体"/>
      <w:color w:val="000000"/>
      <w:sz w:val="22"/>
      <w:szCs w:val="22"/>
      <w:u w:val="none"/>
    </w:rPr>
  </w:style>
  <w:style w:type="character" w:customStyle="1" w:styleId="18">
    <w:name w:val="font51"/>
    <w:basedOn w:val="10"/>
    <w:qFormat/>
    <w:uiPriority w:val="0"/>
    <w:rPr>
      <w:rFonts w:hint="eastAsia" w:ascii="宋体" w:hAnsi="宋体" w:eastAsia="宋体" w:cs="宋体"/>
      <w:color w:val="000000"/>
      <w:sz w:val="24"/>
      <w:szCs w:val="24"/>
      <w:u w:val="none"/>
    </w:rPr>
  </w:style>
  <w:style w:type="character" w:customStyle="1" w:styleId="19">
    <w:name w:val="font41"/>
    <w:basedOn w:val="10"/>
    <w:qFormat/>
    <w:uiPriority w:val="0"/>
    <w:rPr>
      <w:rFonts w:hint="eastAsia" w:ascii="宋体" w:hAnsi="宋体" w:eastAsia="宋体" w:cs="宋体"/>
      <w:color w:val="000000"/>
      <w:sz w:val="24"/>
      <w:szCs w:val="24"/>
      <w:u w:val="none"/>
    </w:rPr>
  </w:style>
  <w:style w:type="character" w:customStyle="1" w:styleId="20">
    <w:name w:val="font11"/>
    <w:basedOn w:val="10"/>
    <w:qFormat/>
    <w:uiPriority w:val="0"/>
    <w:rPr>
      <w:rFonts w:hint="eastAsia" w:ascii="宋体" w:hAnsi="宋体" w:eastAsia="宋体" w:cs="宋体"/>
      <w:color w:val="000000"/>
      <w:sz w:val="20"/>
      <w:szCs w:val="20"/>
      <w:u w:val="none"/>
    </w:rPr>
  </w:style>
  <w:style w:type="character" w:customStyle="1" w:styleId="21">
    <w:name w:val="font21"/>
    <w:basedOn w:val="10"/>
    <w:qFormat/>
    <w:uiPriority w:val="0"/>
    <w:rPr>
      <w:rFonts w:hint="eastAsia" w:ascii="宋体" w:hAnsi="宋体" w:eastAsia="宋体" w:cs="宋体"/>
      <w:color w:val="000000"/>
      <w:sz w:val="22"/>
      <w:szCs w:val="22"/>
      <w:u w:val="none"/>
    </w:rPr>
  </w:style>
  <w:style w:type="paragraph" w:customStyle="1" w:styleId="22">
    <w:name w:val="标题1"/>
    <w:basedOn w:val="3"/>
    <w:qFormat/>
    <w:uiPriority w:val="0"/>
    <w:pPr>
      <w:spacing w:before="0" w:beforeLines="0" w:after="0" w:afterLines="0" w:line="240" w:lineRule="auto"/>
      <w:jc w:val="center"/>
    </w:pPr>
    <w:rPr>
      <w:rFonts w:ascii="华文中宋" w:hAnsi="华文中宋" w:eastAsia="华文中宋"/>
      <w:sz w:val="36"/>
      <w:szCs w:val="3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 User</Company>
  <Pages>33</Pages>
  <Words>8201</Words>
  <Characters>11175</Characters>
  <Lines>93</Lines>
  <Paragraphs>26</Paragraphs>
  <TotalTime>81</TotalTime>
  <ScaleCrop>false</ScaleCrop>
  <LinksUpToDate>false</LinksUpToDate>
  <CharactersWithSpaces>11467</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2022-09-16T19:58:00Z</dcterms:created>
  <dc:creator>管理者</dc:creator>
  <cp:lastModifiedBy>huanghe</cp:lastModifiedBy>
  <cp:lastPrinted>2018-07-28T10:50:00Z</cp:lastPrinted>
  <dcterms:modified xsi:type="dcterms:W3CDTF">2023-05-22T09:09:37Z</dcterms:modified>
  <dc:title>2020年度</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0E70E68A64074731A87EE1B1E7C64F6A_13</vt:lpwstr>
  </property>
</Properties>
</file>