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许昌市机关事务中心后勤二处</w:t>
      </w:r>
    </w:p>
    <w:p>
      <w:pPr>
        <w:jc w:val="center"/>
        <w:rPr>
          <w:rFonts w:hint="eastAsia" w:ascii="黑体" w:hAnsi="黑体" w:eastAsia="黑体" w:cs="黑体"/>
          <w:sz w:val="52"/>
          <w:szCs w:val="52"/>
        </w:rPr>
      </w:pP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许昌市机关事务中心后勤二处</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0"/>
        </w:numPr>
        <w:jc w:val="center"/>
        <w:outlineLvl w:val="0"/>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第一部分</w:t>
      </w:r>
    </w:p>
    <w:p>
      <w:pPr>
        <w:widowControl/>
        <w:numPr>
          <w:ilvl w:val="0"/>
          <w:numId w:val="0"/>
        </w:numPr>
        <w:jc w:val="center"/>
        <w:outlineLvl w:val="0"/>
        <w:rPr>
          <w:rFonts w:hint="eastAsia" w:ascii="黑体" w:hAnsi="宋体" w:eastAsia="黑体" w:cs="宋体"/>
          <w:kern w:val="0"/>
          <w:sz w:val="28"/>
          <w:szCs w:val="28"/>
        </w:rPr>
      </w:pPr>
      <w:r>
        <w:rPr>
          <w:rFonts w:hint="eastAsia" w:ascii="黑体" w:hAnsi="黑体" w:eastAsia="黑体" w:cs="黑体"/>
          <w:sz w:val="48"/>
          <w:szCs w:val="48"/>
        </w:rPr>
        <w:t>许昌市机关事务中心后勤二处概况</w:t>
      </w:r>
    </w:p>
    <w:p>
      <w:pPr>
        <w:widowControl/>
        <w:jc w:val="center"/>
        <w:outlineLvl w:val="0"/>
        <w:rPr>
          <w:rFonts w:hint="eastAsia" w:ascii="黑体" w:hAnsi="宋体" w:eastAsia="黑体" w:cs="宋体"/>
          <w:kern w:val="0"/>
          <w:sz w:val="28"/>
          <w:szCs w:val="28"/>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spacing w:line="360" w:lineRule="auto"/>
        <w:ind w:firstLine="640" w:firstLineChars="200"/>
        <w:jc w:val="left"/>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许昌市机关事务中心后勤二处的</w:t>
      </w:r>
      <w:r>
        <w:rPr>
          <w:rFonts w:hint="eastAsia" w:ascii="仿宋_GB2312" w:hAnsi="仿宋_GB2312" w:eastAsia="仿宋_GB2312" w:cs="仿宋_GB2312"/>
          <w:sz w:val="32"/>
          <w:szCs w:val="32"/>
          <w:lang w:val="en-US" w:eastAsia="zh-CN"/>
        </w:rPr>
        <w:t>主要职能</w:t>
      </w:r>
      <w:r>
        <w:rPr>
          <w:rFonts w:hint="eastAsia" w:ascii="仿宋_GB2312" w:hAnsi="仿宋_GB2312" w:eastAsia="仿宋_GB2312" w:cs="仿宋_GB2312"/>
          <w:sz w:val="32"/>
          <w:szCs w:val="32"/>
        </w:rPr>
        <w:t>是对文博馆、创业服务中心、老城区综合办公楼、两办老干部活动室的公共设施设备和基础设施进行管理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维护相关场所的安全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消防、保洁、绿化进行管理，为机关提供后勤保障服务</w:t>
      </w:r>
      <w:r>
        <w:rPr>
          <w:rFonts w:hint="eastAsia" w:ascii="仿宋_GB2312" w:hAnsi="仿宋_GB2312" w:eastAsia="仿宋_GB2312" w:cs="仿宋_GB2312"/>
          <w:sz w:val="32"/>
          <w:szCs w:val="32"/>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许昌市机关事务中心后勤二处内设机构7个，包括：</w:t>
      </w:r>
      <w:r>
        <w:rPr>
          <w:rFonts w:hint="eastAsia" w:ascii="仿宋_GB2312" w:hAnsi="仿宋_GB2312" w:eastAsia="仿宋_GB2312" w:cs="仿宋_GB2312"/>
          <w:bCs/>
          <w:sz w:val="32"/>
          <w:szCs w:val="32"/>
        </w:rPr>
        <w:t>办公室、运维科、膳食科、保卫科、综合科、财务科、房产科</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从决算单位构成看，许昌市机关事务中心后勤二处</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kern w:val="0"/>
          <w:sz w:val="32"/>
          <w:szCs w:val="32"/>
          <w:lang w:val="en-US" w:eastAsia="zh-CN"/>
        </w:rPr>
        <w:t>1.</w:t>
      </w:r>
      <w:bookmarkStart w:id="0" w:name="_GoBack"/>
      <w:bookmarkEnd w:id="0"/>
      <w:r>
        <w:rPr>
          <w:rFonts w:hint="eastAsia" w:ascii="仿宋_GB2312" w:hAnsi="仿宋_GB2312" w:eastAsia="仿宋_GB2312" w:cs="仿宋_GB2312"/>
          <w:kern w:val="0"/>
          <w:sz w:val="32"/>
          <w:szCs w:val="32"/>
        </w:rPr>
        <w:t>许昌市机关事务中心后勤二处</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6868"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20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1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1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3536.50</w:t>
            </w:r>
          </w:p>
        </w:tc>
      </w:tr>
      <w:tr>
        <w:tblPrEx>
          <w:tblCellMar>
            <w:top w:w="0" w:type="dxa"/>
            <w:left w:w="0" w:type="dxa"/>
            <w:bottom w:w="0" w:type="dxa"/>
            <w:right w:w="0" w:type="dxa"/>
          </w:tblCellMar>
        </w:tblPrEx>
        <w:trPr>
          <w:trHeight w:val="1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20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7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21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7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1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1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1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1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1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3646.89</w:t>
            </w:r>
          </w:p>
        </w:tc>
      </w:tr>
      <w:tr>
        <w:tblPrEx>
          <w:tblCellMar>
            <w:top w:w="0" w:type="dxa"/>
            <w:left w:w="0" w:type="dxa"/>
            <w:bottom w:w="0" w:type="dxa"/>
            <w:right w:w="0" w:type="dxa"/>
          </w:tblCellMar>
        </w:tblPrEx>
        <w:trPr>
          <w:trHeight w:val="20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1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1278.78</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14"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114"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3646.89</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6" w:type="dxa"/>
        <w:tblInd w:w="0" w:type="dxa"/>
        <w:tblLayout w:type="fixed"/>
        <w:tblCellMar>
          <w:top w:w="0" w:type="dxa"/>
          <w:left w:w="0" w:type="dxa"/>
          <w:bottom w:w="0" w:type="dxa"/>
          <w:right w:w="0" w:type="dxa"/>
        </w:tblCellMar>
      </w:tblPr>
      <w:tblGrid>
        <w:gridCol w:w="1027"/>
        <w:gridCol w:w="59"/>
        <w:gridCol w:w="3501"/>
        <w:gridCol w:w="90"/>
        <w:gridCol w:w="1252"/>
        <w:gridCol w:w="301"/>
        <w:gridCol w:w="786"/>
        <w:gridCol w:w="255"/>
        <w:gridCol w:w="512"/>
        <w:gridCol w:w="786"/>
        <w:gridCol w:w="44"/>
        <w:gridCol w:w="723"/>
        <w:gridCol w:w="619"/>
        <w:gridCol w:w="167"/>
        <w:gridCol w:w="767"/>
        <w:gridCol w:w="408"/>
        <w:gridCol w:w="1342"/>
        <w:gridCol w:w="1347"/>
      </w:tblGrid>
      <w:tr>
        <w:tblPrEx>
          <w:tblCellMar>
            <w:top w:w="0" w:type="dxa"/>
            <w:left w:w="0" w:type="dxa"/>
            <w:bottom w:w="0" w:type="dxa"/>
            <w:right w:w="0" w:type="dxa"/>
          </w:tblCellMar>
        </w:tblPrEx>
        <w:trPr>
          <w:trHeight w:val="435" w:hRule="atLeast"/>
        </w:trPr>
        <w:tc>
          <w:tcPr>
            <w:tcW w:w="13986"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5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97" w:type="dxa"/>
            <w:gridSpan w:val="3"/>
            <w:tcBorders>
              <w:top w:val="nil"/>
              <w:left w:val="nil"/>
              <w:bottom w:val="nil"/>
              <w:right w:val="nil"/>
            </w:tcBorders>
            <w:shd w:val="clear" w:color="auto" w:fill="FFFFFF"/>
            <w:noWrap/>
            <w:tcMar>
              <w:top w:w="15" w:type="dxa"/>
              <w:left w:w="15" w:type="dxa"/>
              <w:right w:w="15" w:type="dxa"/>
            </w:tcMar>
            <w:vAlign w:val="top"/>
          </w:tcPr>
          <w:p>
            <w:pPr>
              <w:widowControl/>
              <w:ind w:firstLine="400" w:firstLineChars="200"/>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7016" w:type="dxa"/>
            <w:gridSpan w:val="7"/>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864"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90" w:hRule="atLeast"/>
        </w:trPr>
        <w:tc>
          <w:tcPr>
            <w:tcW w:w="458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34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342" w:type="dxa"/>
            <w:gridSpan w:val="3"/>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342"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34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342"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34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347"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50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34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0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458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34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120" w:hRule="atLeast"/>
        </w:trPr>
        <w:tc>
          <w:tcPr>
            <w:tcW w:w="458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w:t>
            </w:r>
          </w:p>
        </w:tc>
        <w:tc>
          <w:tcPr>
            <w:tcW w:w="35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Arial"/>
                <w:color w:val="000000"/>
                <w:kern w:val="0"/>
                <w:sz w:val="20"/>
                <w:szCs w:val="20"/>
              </w:rPr>
              <w:t>一般公共服务支出</w:t>
            </w: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2320.12</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2320.12</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0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w:t>
            </w:r>
          </w:p>
        </w:tc>
        <w:tc>
          <w:tcPr>
            <w:tcW w:w="35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政府办公厅（室）及相关机构事务</w:t>
            </w: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华文中宋" w:hAnsi="华文中宋" w:eastAsia="华文中宋" w:cs="华文中宋"/>
                <w:color w:val="000000"/>
                <w:sz w:val="20"/>
                <w:szCs w:val="20"/>
                <w:highlight w:val="none"/>
                <w:lang w:val="en-US" w:eastAsia="zh-CN"/>
              </w:rPr>
            </w:pPr>
            <w:r>
              <w:rPr>
                <w:rFonts w:hint="eastAsia" w:ascii="华文中宋" w:hAnsi="华文中宋" w:eastAsia="华文中宋" w:cs="华文中宋"/>
                <w:color w:val="000000"/>
                <w:sz w:val="20"/>
                <w:szCs w:val="20"/>
                <w:highlight w:val="none"/>
                <w:lang w:val="en-US" w:eastAsia="zh-CN"/>
              </w:rPr>
              <w:t>2317.79</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华文中宋" w:hAnsi="华文中宋" w:eastAsia="华文中宋" w:cs="华文中宋"/>
                <w:color w:val="000000"/>
                <w:kern w:val="2"/>
                <w:sz w:val="20"/>
                <w:szCs w:val="20"/>
                <w:highlight w:val="none"/>
                <w:lang w:val="en-US" w:eastAsia="zh-CN" w:bidi="ar-SA"/>
              </w:rPr>
            </w:pPr>
            <w:r>
              <w:rPr>
                <w:rFonts w:hint="eastAsia" w:ascii="华文中宋" w:hAnsi="华文中宋" w:eastAsia="华文中宋" w:cs="华文中宋"/>
                <w:color w:val="000000"/>
                <w:sz w:val="20"/>
                <w:szCs w:val="20"/>
                <w:highlight w:val="none"/>
                <w:lang w:val="en-US" w:eastAsia="zh-CN"/>
              </w:rPr>
              <w:t>2317.79</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5"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2010350</w:t>
            </w:r>
          </w:p>
        </w:tc>
        <w:tc>
          <w:tcPr>
            <w:tcW w:w="35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事业运行</w:t>
            </w: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2317.79</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2317.79</w:t>
            </w: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20129</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群众团体事务</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2.33</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2.33</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2012906</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工会事务</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2.33</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2.33</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社会保障和就业支出</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40.04</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40.04</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0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行政事业单位养老支出</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40.04</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40.04</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45"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2080502</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事业单位离退休</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19.41</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19.41</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0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2080505</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机关事业单位基本养老保险缴费支出</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9.98</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9.98</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0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2080506</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机关事业单位职业年金缴费支出</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10.66</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10.66</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6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卫生健康支出</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行政事业单位医疗</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2101102</w:t>
            </w:r>
          </w:p>
        </w:tc>
        <w:tc>
          <w:tcPr>
            <w:tcW w:w="350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事业单位医疗</w:t>
            </w: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7.95</w:t>
            </w: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4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615" w:hRule="atLeast"/>
        </w:trPr>
        <w:tc>
          <w:tcPr>
            <w:tcW w:w="13986" w:type="dxa"/>
            <w:gridSpan w:val="1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c>
      </w:tr>
    </w:tbl>
    <w:tbl>
      <w:tblPr>
        <w:tblStyle w:val="6"/>
        <w:tblpPr w:leftFromText="180" w:rightFromText="180" w:vertAnchor="text" w:horzAnchor="page" w:tblpX="1558" w:tblpY="-130"/>
        <w:tblOverlap w:val="never"/>
        <w:tblW w:w="15790" w:type="dxa"/>
        <w:tblInd w:w="0" w:type="dxa"/>
        <w:tblLayout w:type="fixed"/>
        <w:tblCellMar>
          <w:top w:w="0" w:type="dxa"/>
          <w:left w:w="0" w:type="dxa"/>
          <w:bottom w:w="0" w:type="dxa"/>
          <w:right w:w="0" w:type="dxa"/>
        </w:tblCellMar>
      </w:tblPr>
      <w:tblGrid>
        <w:gridCol w:w="1183"/>
        <w:gridCol w:w="4862"/>
        <w:gridCol w:w="90"/>
        <w:gridCol w:w="1216"/>
        <w:gridCol w:w="1306"/>
        <w:gridCol w:w="1306"/>
        <w:gridCol w:w="1306"/>
        <w:gridCol w:w="1306"/>
        <w:gridCol w:w="1311"/>
        <w:gridCol w:w="1904"/>
      </w:tblGrid>
      <w:tr>
        <w:tblPrEx>
          <w:tblCellMar>
            <w:top w:w="0" w:type="dxa"/>
            <w:left w:w="0" w:type="dxa"/>
            <w:bottom w:w="0" w:type="dxa"/>
            <w:right w:w="0" w:type="dxa"/>
          </w:tblCellMar>
        </w:tblPrEx>
        <w:trPr>
          <w:gridAfter w:val="1"/>
          <w:wAfter w:w="1904" w:type="dxa"/>
          <w:trHeight w:val="435" w:hRule="atLeast"/>
        </w:trPr>
        <w:tc>
          <w:tcPr>
            <w:tcW w:w="13886"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604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655" w:type="dxa"/>
            <w:gridSpan w:val="7"/>
            <w:tcBorders>
              <w:top w:val="nil"/>
              <w:left w:val="nil"/>
              <w:bottom w:val="nil"/>
              <w:right w:val="nil"/>
            </w:tcBorders>
            <w:shd w:val="clear" w:color="auto" w:fill="FFFFFF"/>
            <w:noWrap/>
            <w:tcMar>
              <w:top w:w="15" w:type="dxa"/>
              <w:left w:w="15" w:type="dxa"/>
              <w:right w:w="15" w:type="dxa"/>
            </w:tcMar>
            <w:vAlign w:val="center"/>
          </w:tcPr>
          <w:p>
            <w:pPr>
              <w:widowControl/>
              <w:ind w:firstLine="1400" w:firstLineChars="700"/>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 xml:space="preserve">                                   </w:t>
            </w:r>
            <w:r>
              <w:rPr>
                <w:rFonts w:hint="eastAsia" w:ascii="宋体" w:hAnsi="宋体" w:cs="宋体"/>
                <w:color w:val="000000"/>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604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655" w:type="dxa"/>
            <w:gridSpan w:val="7"/>
            <w:tcBorders>
              <w:top w:val="nil"/>
              <w:left w:val="nil"/>
              <w:bottom w:val="nil"/>
              <w:right w:val="nil"/>
            </w:tcBorders>
            <w:shd w:val="clear" w:color="auto" w:fill="FFFFFF"/>
            <w:noWrap/>
            <w:tcMar>
              <w:top w:w="15" w:type="dxa"/>
              <w:left w:w="15" w:type="dxa"/>
              <w:right w:w="15" w:type="dxa"/>
            </w:tcMar>
            <w:vAlign w:val="center"/>
          </w:tcPr>
          <w:p>
            <w:pPr>
              <w:widowControl/>
              <w:ind w:firstLine="1400" w:firstLineChars="700"/>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 xml:space="preserve">                                  </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1904" w:type="dxa"/>
          <w:trHeight w:val="170" w:hRule="atLeast"/>
        </w:trPr>
        <w:tc>
          <w:tcPr>
            <w:tcW w:w="6045" w:type="dxa"/>
            <w:gridSpan w:val="2"/>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30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130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30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30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130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1311"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tblCellMar>
            <w:top w:w="0" w:type="dxa"/>
            <w:left w:w="0" w:type="dxa"/>
            <w:bottom w:w="0" w:type="dxa"/>
            <w:right w:w="0" w:type="dxa"/>
          </w:tblCellMar>
        </w:tblPrEx>
        <w:trPr>
          <w:gridAfter w:val="1"/>
          <w:wAfter w:w="1904" w:type="dxa"/>
          <w:trHeight w:val="450" w:hRule="atLeast"/>
        </w:trPr>
        <w:tc>
          <w:tcPr>
            <w:tcW w:w="1183"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48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30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1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904" w:type="dxa"/>
          <w:trHeight w:val="312" w:hRule="atLeast"/>
        </w:trPr>
        <w:tc>
          <w:tcPr>
            <w:tcW w:w="1183"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1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904" w:type="dxa"/>
          <w:trHeight w:val="90" w:hRule="atLeast"/>
        </w:trPr>
        <w:tc>
          <w:tcPr>
            <w:tcW w:w="604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3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3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311"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1904" w:type="dxa"/>
          <w:trHeight w:val="105" w:hRule="atLeast"/>
        </w:trPr>
        <w:tc>
          <w:tcPr>
            <w:tcW w:w="6045" w:type="dxa"/>
            <w:gridSpan w:val="2"/>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1428.67</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2218.22</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1904" w:type="dxa"/>
          <w:trHeight w:val="20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一般公共服务支出</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3536.50</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1318.28</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2218.22</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55"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政府办公厅（室）及相关机构事务</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3529.26</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1313.68</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2215.58</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2010303</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机关服务</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19.04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19.04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55"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2010350</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事业运行</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3510.22</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1313.68</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2196.54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10" w:hRule="atLeast"/>
        </w:trPr>
        <w:tc>
          <w:tcPr>
            <w:tcW w:w="1183"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20104</w:t>
            </w:r>
          </w:p>
        </w:tc>
        <w:tc>
          <w:tcPr>
            <w:tcW w:w="48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发展与改革事务</w:t>
            </w:r>
          </w:p>
        </w:tc>
        <w:tc>
          <w:tcPr>
            <w:tcW w:w="13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0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2010450</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事业运行</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0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20129</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群众团体事务</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0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2012906</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工会事务</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15"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社会保障和就业支出</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13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行政事业单位养老支出</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2080502</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事业单位离退休</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46.28</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46.28</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2080505</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机关事业单位基本养老保险缴费支出</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29.41</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29.41</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2080506</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机关事业单位职业年金缴费支出</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19.43</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19.43</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卫生健康支出</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行政事业单位医疗</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gridAfter w:val="1"/>
          <w:wAfter w:w="1904" w:type="dxa"/>
          <w:trHeight w:val="90" w:hRule="atLeast"/>
        </w:trPr>
        <w:tc>
          <w:tcPr>
            <w:tcW w:w="1183"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2101102</w:t>
            </w:r>
          </w:p>
        </w:tc>
        <w:tc>
          <w:tcPr>
            <w:tcW w:w="486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事业单位医疗</w:t>
            </w:r>
          </w:p>
        </w:tc>
        <w:tc>
          <w:tcPr>
            <w:tcW w:w="130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31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gridAfter w:val="1"/>
          <w:wAfter w:w="1904" w:type="dxa"/>
          <w:trHeight w:val="630" w:hRule="atLeast"/>
        </w:trPr>
        <w:tc>
          <w:tcPr>
            <w:tcW w:w="13886"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468" w:tblpY="118"/>
        <w:tblOverlap w:val="never"/>
        <w:tblW w:w="13926" w:type="dxa"/>
        <w:tblInd w:w="0" w:type="dxa"/>
        <w:tblLayout w:type="fixed"/>
        <w:tblCellMar>
          <w:top w:w="0" w:type="dxa"/>
          <w:left w:w="0" w:type="dxa"/>
          <w:bottom w:w="0" w:type="dxa"/>
          <w:right w:w="0" w:type="dxa"/>
        </w:tblCellMar>
      </w:tblPr>
      <w:tblGrid>
        <w:gridCol w:w="3417"/>
        <w:gridCol w:w="609"/>
        <w:gridCol w:w="1200"/>
        <w:gridCol w:w="3200"/>
        <w:gridCol w:w="619"/>
        <w:gridCol w:w="1220"/>
        <w:gridCol w:w="1220"/>
        <w:gridCol w:w="1220"/>
        <w:gridCol w:w="1221"/>
      </w:tblGrid>
      <w:tr>
        <w:tblPrEx>
          <w:tblCellMar>
            <w:top w:w="0" w:type="dxa"/>
            <w:left w:w="0" w:type="dxa"/>
            <w:bottom w:w="0" w:type="dxa"/>
            <w:right w:w="0" w:type="dxa"/>
          </w:tblCellMar>
        </w:tblPrEx>
        <w:trPr>
          <w:trHeight w:val="360" w:hRule="atLeast"/>
        </w:trPr>
        <w:tc>
          <w:tcPr>
            <w:tcW w:w="13926"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财政拨款收入支出决算总表</w:t>
            </w: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0" w:type="dxa"/>
            <w:gridSpan w:val="6"/>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5226"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8700" w:type="dxa"/>
            <w:gridSpan w:val="6"/>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单位：万元</w:t>
            </w:r>
          </w:p>
        </w:tc>
      </w:tr>
      <w:tr>
        <w:trPr>
          <w:trHeight w:val="90" w:hRule="atLeast"/>
        </w:trPr>
        <w:tc>
          <w:tcPr>
            <w:tcW w:w="5226"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700"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rPr>
          <w:trHeight w:val="611"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2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trHeight w:val="12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2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21"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33</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3536.50</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3536.50</w:t>
            </w: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34</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35</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36</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37</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38</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2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39</w:t>
            </w: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40</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九、卫生健康支出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41</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十、节能环保支出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十一、城乡社区支出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十二、农林水支出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十三、交通运输支出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十六、金融支出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十九、住房保障支出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二十三、其他支出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58</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2368.10</w:t>
            </w: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59</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1278.78</w:t>
            </w: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60</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rPr>
          <w:trHeight w:val="9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1278.78</w:t>
            </w:r>
          </w:p>
        </w:tc>
        <w:tc>
          <w:tcPr>
            <w:tcW w:w="32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61</w:t>
            </w:r>
          </w:p>
        </w:tc>
        <w:tc>
          <w:tcPr>
            <w:tcW w:w="122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single" w:color="000000" w:sz="4" w:space="0"/>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30</w:t>
            </w:r>
          </w:p>
        </w:tc>
        <w:tc>
          <w:tcPr>
            <w:tcW w:w="12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32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62</w:t>
            </w:r>
          </w:p>
        </w:tc>
        <w:tc>
          <w:tcPr>
            <w:tcW w:w="122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c>
          <w:tcPr>
            <w:tcW w:w="1221" w:type="dxa"/>
            <w:tcBorders>
              <w:top w:val="single" w:color="000000" w:sz="4" w:space="0"/>
              <w:left w:val="nil"/>
              <w:bottom w:val="nil"/>
              <w:right w:val="single" w:color="000000" w:sz="8" w:space="0"/>
            </w:tcBorders>
            <w:noWrap w:val="0"/>
            <w:vAlign w:val="center"/>
          </w:tcPr>
          <w:p>
            <w:pPr>
              <w:jc w:val="right"/>
              <w:rPr>
                <w:rFonts w:hint="eastAsia" w:ascii="宋体" w:hAnsi="宋体" w:eastAsia="宋体" w:cs="宋体"/>
                <w:color w:val="000000"/>
                <w:kern w:val="2"/>
                <w:sz w:val="20"/>
                <w:szCs w:val="20"/>
                <w:highlight w:val="none"/>
                <w:lang w:val="en-US" w:eastAsia="zh-CN" w:bidi="ar-SA"/>
              </w:rPr>
            </w:pPr>
          </w:p>
        </w:tc>
      </w:tr>
      <w:tr>
        <w:trPr>
          <w:trHeight w:val="90"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国有资本经营预算财政拨款</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31</w:t>
            </w:r>
          </w:p>
        </w:tc>
        <w:tc>
          <w:tcPr>
            <w:tcW w:w="12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32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63</w:t>
            </w:r>
          </w:p>
        </w:tc>
        <w:tc>
          <w:tcPr>
            <w:tcW w:w="122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0"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221" w:type="dxa"/>
            <w:tcBorders>
              <w:top w:val="single" w:color="000000" w:sz="4" w:space="0"/>
              <w:left w:val="nil"/>
              <w:bottom w:val="nil"/>
              <w:right w:val="single" w:color="000000" w:sz="8" w:space="0"/>
            </w:tcBorders>
            <w:noWrap w:val="0"/>
            <w:vAlign w:val="top"/>
          </w:tcPr>
          <w:p>
            <w:pPr>
              <w:jc w:val="right"/>
              <w:rPr>
                <w:rFonts w:hint="default" w:ascii="宋体" w:hAnsi="宋体" w:eastAsia="宋体" w:cs="宋体"/>
                <w:color w:val="000000"/>
                <w:sz w:val="20"/>
                <w:szCs w:val="20"/>
                <w:highlight w:val="none"/>
                <w:lang w:val="en-US" w:eastAsia="zh-CN"/>
              </w:rPr>
            </w:pPr>
          </w:p>
        </w:tc>
      </w:tr>
      <w:tr>
        <w:trPr>
          <w:trHeight w:val="90"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32</w:t>
            </w:r>
          </w:p>
        </w:tc>
        <w:tc>
          <w:tcPr>
            <w:tcW w:w="120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32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val="en-US" w:eastAsia="zh-CN" w:bidi="ar"/>
              </w:rPr>
              <w:t>64</w:t>
            </w:r>
          </w:p>
        </w:tc>
        <w:tc>
          <w:tcPr>
            <w:tcW w:w="122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122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122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000000"/>
                <w:sz w:val="20"/>
                <w:szCs w:val="20"/>
                <w:highlight w:val="none"/>
                <w:lang w:val="en-US" w:eastAsia="zh-CN"/>
              </w:rPr>
            </w:pPr>
          </w:p>
        </w:tc>
        <w:tc>
          <w:tcPr>
            <w:tcW w:w="1221" w:type="dxa"/>
            <w:tcBorders>
              <w:top w:val="single" w:color="000000" w:sz="4" w:space="0"/>
              <w:left w:val="nil"/>
              <w:bottom w:val="single" w:color="000000" w:sz="8" w:space="0"/>
              <w:right w:val="single" w:color="000000" w:sz="8" w:space="0"/>
            </w:tcBorders>
            <w:noWrap w:val="0"/>
            <w:vAlign w:val="top"/>
          </w:tcPr>
          <w:p>
            <w:pPr>
              <w:jc w:val="right"/>
              <w:rPr>
                <w:rFonts w:hint="default" w:ascii="宋体" w:hAnsi="宋体" w:eastAsia="宋体" w:cs="宋体"/>
                <w:b w:val="0"/>
                <w:bCs/>
                <w:color w:val="000000"/>
                <w:sz w:val="20"/>
                <w:szCs w:val="20"/>
                <w:highlight w:val="none"/>
                <w:lang w:val="en-US" w:eastAsia="zh-CN"/>
              </w:rPr>
            </w:pPr>
          </w:p>
        </w:tc>
      </w:tr>
      <w:tr>
        <w:tblPrEx>
          <w:tblCellMar>
            <w:top w:w="0" w:type="dxa"/>
            <w:left w:w="0" w:type="dxa"/>
            <w:bottom w:w="0" w:type="dxa"/>
            <w:right w:w="0" w:type="dxa"/>
          </w:tblCellMar>
        </w:tblPrEx>
        <w:trPr>
          <w:trHeight w:val="585" w:hRule="atLeast"/>
        </w:trPr>
        <w:tc>
          <w:tcPr>
            <w:tcW w:w="13926"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528" w:tblpY="-26"/>
        <w:tblOverlap w:val="never"/>
        <w:tblW w:w="0" w:type="auto"/>
        <w:tblInd w:w="0" w:type="dxa"/>
        <w:tblLayout w:type="fixed"/>
        <w:tblCellMar>
          <w:top w:w="0" w:type="dxa"/>
          <w:left w:w="0" w:type="dxa"/>
          <w:bottom w:w="0" w:type="dxa"/>
          <w:right w:w="0" w:type="dxa"/>
        </w:tblCellMar>
      </w:tblPr>
      <w:tblGrid>
        <w:gridCol w:w="1414"/>
        <w:gridCol w:w="4736"/>
        <w:gridCol w:w="2577"/>
        <w:gridCol w:w="228"/>
        <w:gridCol w:w="2349"/>
        <w:gridCol w:w="2578"/>
      </w:tblGrid>
      <w:tr>
        <w:tblPrEx>
          <w:tblCellMar>
            <w:top w:w="0" w:type="dxa"/>
            <w:left w:w="0" w:type="dxa"/>
            <w:bottom w:w="0" w:type="dxa"/>
            <w:right w:w="0" w:type="dxa"/>
          </w:tblCellMar>
        </w:tblPrEx>
        <w:trPr>
          <w:trHeight w:val="600" w:hRule="atLeast"/>
        </w:trPr>
        <w:tc>
          <w:tcPr>
            <w:tcW w:w="13882"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6150"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0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492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7"/>
                <w:rFonts w:hint="default"/>
                <w:highlight w:val="none"/>
                <w:lang w:bidi="ar"/>
              </w:rPr>
              <w:t>5表</w:t>
            </w:r>
          </w:p>
        </w:tc>
      </w:tr>
      <w:tr>
        <w:tblPrEx>
          <w:tblCellMar>
            <w:top w:w="0" w:type="dxa"/>
            <w:left w:w="0" w:type="dxa"/>
            <w:bottom w:w="0" w:type="dxa"/>
            <w:right w:w="0" w:type="dxa"/>
          </w:tblCellMar>
        </w:tblPrEx>
        <w:trPr>
          <w:trHeight w:val="300" w:hRule="atLeast"/>
        </w:trPr>
        <w:tc>
          <w:tcPr>
            <w:tcW w:w="8955" w:type="dxa"/>
            <w:gridSpan w:val="4"/>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492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95" w:hRule="atLeast"/>
        </w:trPr>
        <w:tc>
          <w:tcPr>
            <w:tcW w:w="6150"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4"/>
                <w:rFonts w:hint="default"/>
                <w:sz w:val="20"/>
                <w:szCs w:val="20"/>
                <w:highlight w:val="none"/>
                <w:lang w:bidi="ar"/>
              </w:rPr>
              <w:t xml:space="preserve">   </w:t>
            </w:r>
            <w:r>
              <w:rPr>
                <w:rStyle w:val="16"/>
                <w:rFonts w:hint="default"/>
                <w:sz w:val="20"/>
                <w:szCs w:val="20"/>
                <w:highlight w:val="none"/>
                <w:lang w:bidi="ar"/>
              </w:rPr>
              <w:t>目</w:t>
            </w:r>
          </w:p>
        </w:tc>
        <w:tc>
          <w:tcPr>
            <w:tcW w:w="7732"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4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257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257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2578"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7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7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615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tblCellMar>
            <w:top w:w="0" w:type="dxa"/>
            <w:left w:w="0" w:type="dxa"/>
            <w:bottom w:w="0" w:type="dxa"/>
            <w:right w:w="0" w:type="dxa"/>
          </w:tblCellMar>
        </w:tblPrEx>
        <w:trPr>
          <w:trHeight w:val="90" w:hRule="atLeast"/>
        </w:trPr>
        <w:tc>
          <w:tcPr>
            <w:tcW w:w="615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3646.89</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1428.67</w:t>
            </w: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2218.22</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w:t>
            </w:r>
          </w:p>
        </w:tc>
        <w:tc>
          <w:tcPr>
            <w:tcW w:w="4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一般公共服务支出</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3536.50</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1318.28</w:t>
            </w: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2218.22</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w:t>
            </w:r>
          </w:p>
        </w:tc>
        <w:tc>
          <w:tcPr>
            <w:tcW w:w="4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政府办公厅（室）及相关机构事务</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3529.26</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1313.68</w:t>
            </w: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2215.58</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2010303</w:t>
            </w:r>
          </w:p>
        </w:tc>
        <w:tc>
          <w:tcPr>
            <w:tcW w:w="4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机关服务</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19.04</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19.04</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2010350</w:t>
            </w:r>
          </w:p>
        </w:tc>
        <w:tc>
          <w:tcPr>
            <w:tcW w:w="4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事业运行</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3510.22</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1313.68</w:t>
            </w: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2196.54</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20104</w:t>
            </w:r>
          </w:p>
        </w:tc>
        <w:tc>
          <w:tcPr>
            <w:tcW w:w="4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发展与改革事务</w:t>
            </w:r>
          </w:p>
        </w:tc>
        <w:tc>
          <w:tcPr>
            <w:tcW w:w="2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25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25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2010450</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事业运行</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20129</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群众团体事务</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4.60</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2012906</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 xml:space="preserve">  工会事务</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4.60</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社会保障和就业支出</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95.12</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行政事业单位养老支出</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95.12</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95.12</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2080502</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事业单位离退休</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46.28</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46.28</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2080505</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机关事业单位基本养老保险缴费支出</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29.41</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29.41</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2080506</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机关事业单位职业年金缴费支出</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19.43</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19.43</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卫生健康支出</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15.27</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行政事业单位医疗</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2101102</w:t>
            </w:r>
          </w:p>
        </w:tc>
        <w:tc>
          <w:tcPr>
            <w:tcW w:w="473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rPr>
                <w:rFonts w:hint="eastAsia" w:ascii="宋体" w:hAnsi="宋体" w:cs="Arial"/>
                <w:color w:val="000000"/>
                <w:kern w:val="0"/>
                <w:sz w:val="20"/>
                <w:szCs w:val="20"/>
                <w:lang w:val="en-US" w:eastAsia="zh-CN" w:bidi="ar-SA"/>
              </w:rPr>
            </w:pPr>
            <w:r>
              <w:rPr>
                <w:rFonts w:hint="eastAsia" w:ascii="宋体" w:hAnsi="宋体" w:cs="Arial"/>
                <w:color w:val="000000"/>
                <w:kern w:val="0"/>
                <w:sz w:val="20"/>
                <w:szCs w:val="20"/>
              </w:rPr>
              <w:t xml:space="preserve">  事业单位医疗</w:t>
            </w:r>
          </w:p>
        </w:tc>
        <w:tc>
          <w:tcPr>
            <w:tcW w:w="25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257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25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645" w:hRule="atLeast"/>
        </w:trPr>
        <w:tc>
          <w:tcPr>
            <w:tcW w:w="13882"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453" w:tblpY="-24"/>
        <w:tblOverlap w:val="never"/>
        <w:tblW w:w="0" w:type="auto"/>
        <w:tblInd w:w="0" w:type="dxa"/>
        <w:tblLayout w:type="fixed"/>
        <w:tblCellMar>
          <w:top w:w="0" w:type="dxa"/>
          <w:left w:w="0" w:type="dxa"/>
          <w:bottom w:w="0" w:type="dxa"/>
          <w:right w:w="0" w:type="dxa"/>
        </w:tblCellMar>
      </w:tblPr>
      <w:tblGrid>
        <w:gridCol w:w="941"/>
        <w:gridCol w:w="2852"/>
        <w:gridCol w:w="938"/>
        <w:gridCol w:w="870"/>
        <w:gridCol w:w="2066"/>
        <w:gridCol w:w="938"/>
        <w:gridCol w:w="902"/>
        <w:gridCol w:w="3550"/>
        <w:gridCol w:w="931"/>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7667" w:type="dxa"/>
            <w:gridSpan w:val="5"/>
            <w:tcBorders>
              <w:top w:val="nil"/>
              <w:left w:val="nil"/>
              <w:bottom w:val="nil"/>
              <w:right w:val="nil"/>
            </w:tcBorders>
            <w:noWrap/>
            <w:tcMar>
              <w:top w:w="15" w:type="dxa"/>
              <w:left w:w="15" w:type="dxa"/>
              <w:right w:w="15" w:type="dxa"/>
            </w:tcMar>
            <w:vAlign w:val="center"/>
          </w:tcPr>
          <w:p>
            <w:pPr>
              <w:rPr>
                <w:rFonts w:hint="default" w:ascii="Arial" w:hAnsi="Arial" w:eastAsia="宋体" w:cs="Arial"/>
                <w:color w:val="000000"/>
                <w:sz w:val="20"/>
                <w:szCs w:val="20"/>
                <w:highlight w:val="none"/>
                <w:lang w:val="en-US" w:eastAsia="zh-CN"/>
              </w:rPr>
            </w:pPr>
            <w:r>
              <w:rPr>
                <w:rFonts w:hint="eastAsia" w:ascii="Arial" w:hAnsi="Arial" w:cs="Arial"/>
                <w:color w:val="000000"/>
                <w:kern w:val="0"/>
                <w:sz w:val="20"/>
                <w:szCs w:val="20"/>
                <w:highlight w:val="none"/>
                <w:lang w:val="en-US" w:eastAsia="zh-CN" w:bidi="ar"/>
              </w:rPr>
              <w:t>单位</w:t>
            </w:r>
            <w:r>
              <w:rPr>
                <w:rFonts w:ascii="Arial" w:hAnsi="Arial" w:cs="Arial"/>
                <w:color w:val="000000"/>
                <w:kern w:val="0"/>
                <w:sz w:val="20"/>
                <w:szCs w:val="20"/>
                <w:highlight w:val="none"/>
                <w:lang w:bidi="ar"/>
              </w:rPr>
              <w:t>：</w:t>
            </w:r>
            <w:r>
              <w:rPr>
                <w:rFonts w:hint="eastAsia" w:ascii="Arial" w:hAnsi="Arial" w:cs="Arial"/>
                <w:color w:val="000000"/>
                <w:kern w:val="0"/>
                <w:sz w:val="20"/>
                <w:szCs w:val="20"/>
                <w:highlight w:val="none"/>
                <w:lang w:val="en-US" w:eastAsia="zh-CN" w:bidi="ar"/>
              </w:rPr>
              <w:t>许昌市机关事务中心后勤二处</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02"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4481"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94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85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902"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1"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468.64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911.33</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127.44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4.03</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84"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143.40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0.68</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2.94</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tabs>
                <w:tab w:val="left" w:pos="478"/>
              </w:tabs>
              <w:jc w:val="lef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0.98</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1.72</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850.99</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48.70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tabs>
                <w:tab w:val="left" w:pos="478"/>
              </w:tabs>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eastAsia="zh-CN"/>
              </w:rPr>
              <w:tab/>
            </w: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41.15</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4.60</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tabs>
                <w:tab w:val="left" w:pos="478"/>
              </w:tabs>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eastAsia="zh-CN"/>
              </w:rPr>
              <w:tab/>
            </w: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3.26</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0.98</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252" w:hRule="atLeast"/>
        </w:trPr>
        <w:tc>
          <w:tcPr>
            <w:tcW w:w="94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478"/>
              </w:tabs>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eastAsia="zh-CN"/>
              </w:rPr>
              <w:tab/>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3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93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517.34</w:t>
            </w:r>
          </w:p>
        </w:tc>
        <w:tc>
          <w:tcPr>
            <w:tcW w:w="8326"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911.33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453" w:tblpY="-3"/>
        <w:tblOverlap w:val="never"/>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301"/>
      </w:tblGrid>
      <w:tr>
        <w:tblPrEx>
          <w:tblCellMar>
            <w:top w:w="0" w:type="dxa"/>
            <w:left w:w="0" w:type="dxa"/>
            <w:bottom w:w="0" w:type="dxa"/>
            <w:right w:w="0" w:type="dxa"/>
          </w:tblCellMar>
        </w:tblPrEx>
        <w:trPr>
          <w:trHeight w:val="600" w:hRule="atLeast"/>
        </w:trPr>
        <w:tc>
          <w:tcPr>
            <w:tcW w:w="1395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4754" w:type="dxa"/>
            <w:gridSpan w:val="4"/>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4754" w:type="dxa"/>
            <w:gridSpan w:val="4"/>
            <w:tcBorders>
              <w:top w:val="nil"/>
              <w:left w:val="nil"/>
              <w:bottom w:val="single" w:color="000000" w:sz="8"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114"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705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395"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30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279"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30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3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370"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0.98</w:t>
            </w:r>
          </w:p>
        </w:tc>
        <w:tc>
          <w:tcPr>
            <w:tcW w:w="130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900" w:hRule="atLeast"/>
        </w:trPr>
        <w:tc>
          <w:tcPr>
            <w:tcW w:w="1395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588" w:tblpY="-41"/>
        <w:tblOverlap w:val="never"/>
        <w:tblW w:w="13806"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1926"/>
        <w:gridCol w:w="1751"/>
      </w:tblGrid>
      <w:tr>
        <w:tblPrEx>
          <w:tblCellMar>
            <w:top w:w="0" w:type="dxa"/>
            <w:left w:w="0" w:type="dxa"/>
            <w:bottom w:w="0" w:type="dxa"/>
            <w:right w:w="0" w:type="dxa"/>
          </w:tblCellMar>
        </w:tblPrEx>
        <w:trPr>
          <w:trHeight w:val="600" w:hRule="atLeast"/>
        </w:trPr>
        <w:tc>
          <w:tcPr>
            <w:tcW w:w="13806" w:type="dxa"/>
            <w:gridSpan w:val="11"/>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67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许昌市机关事务中心后勤二处</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5574" w:type="dxa"/>
            <w:gridSpan w:val="3"/>
            <w:tcBorders>
              <w:top w:val="nil"/>
              <w:left w:val="nil"/>
              <w:bottom w:val="single" w:color="000000" w:sz="8"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 xml:space="preserve">              </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12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751"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75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5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51"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135"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7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45" w:hRule="atLeast"/>
        </w:trPr>
        <w:tc>
          <w:tcPr>
            <w:tcW w:w="13806" w:type="dxa"/>
            <w:gridSpan w:val="11"/>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说明：我</w:t>
            </w:r>
            <w:r>
              <w:rPr>
                <w:rFonts w:hint="eastAsia" w:ascii="仿宋_GB2312" w:hAnsi="仿宋_GB2312" w:eastAsia="仿宋_GB2312" w:cs="仿宋_GB2312"/>
                <w:color w:val="000000"/>
                <w:sz w:val="32"/>
                <w:szCs w:val="32"/>
                <w:highlight w:val="none"/>
                <w:lang w:val="en-US" w:eastAsia="zh-CN"/>
              </w:rPr>
              <w:t>单位</w:t>
            </w:r>
            <w:r>
              <w:rPr>
                <w:rFonts w:hint="eastAsia" w:ascii="仿宋_GB2312" w:hAnsi="仿宋_GB2312" w:eastAsia="仿宋_GB2312" w:cs="仿宋_GB2312"/>
                <w:color w:val="000000"/>
                <w:sz w:val="32"/>
                <w:szCs w:val="32"/>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spacing w:line="590" w:lineRule="exact"/>
        <w:jc w:val="left"/>
        <w:rPr>
          <w:rFonts w:hint="eastAsia" w:ascii="仿宋_GB2312" w:hAnsi="仿宋_GB2312" w:eastAsia="仿宋_GB2312" w:cs="仿宋_GB2312"/>
          <w:sz w:val="32"/>
          <w:szCs w:val="32"/>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526.92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12.62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sz w:val="32"/>
          <w:szCs w:val="32"/>
        </w:rPr>
        <w:t>单位严格落实中央八项规定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lang w:val="en-US" w:eastAsia="zh-CN"/>
        </w:rPr>
        <w:t>落实过紧日子要求，减少了项目支出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2368.10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2368.10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w:t>
      </w:r>
      <w:r>
        <w:rPr>
          <w:rFonts w:hint="eastAsia" w:ascii="仿宋_GB2312" w:hAnsi="仿宋_GB2312" w:eastAsia="仿宋_GB2312" w:cs="仿宋_GB2312"/>
          <w:sz w:val="32"/>
          <w:szCs w:val="32"/>
          <w:highlight w:val="none"/>
          <w:lang w:val="en-US" w:eastAsia="zh-CN"/>
        </w:rPr>
        <w:t>收入0.00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1428.67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39.17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2218.22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60.83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526.92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12.62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sz w:val="32"/>
          <w:szCs w:val="32"/>
        </w:rPr>
        <w:t>单位严格落实中央八项规定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lang w:val="en-US" w:eastAsia="zh-CN"/>
        </w:rPr>
        <w:t>落实过紧日子要求，减少了项目支出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672.35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22.60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创业服务中心办公区增加了新的入驻单位，办公用房租赁费增加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3536.50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96.97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社会保障和就业（类）支出支出</w:t>
      </w:r>
      <w:r>
        <w:rPr>
          <w:rFonts w:hint="eastAsia" w:ascii="仿宋_GB2312" w:hAnsi="仿宋_GB2312" w:eastAsia="仿宋_GB2312" w:cs="仿宋_GB2312"/>
          <w:sz w:val="32"/>
          <w:szCs w:val="32"/>
          <w:lang w:val="en-US" w:eastAsia="zh-CN"/>
        </w:rPr>
        <w:t>95.12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2.61</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15.27</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3646.89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w:t>
      </w:r>
    </w:p>
    <w:p>
      <w:pPr>
        <w:widowControl/>
        <w:spacing w:line="360" w:lineRule="auto"/>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1．一般公共服务支出（类）政府办公厅（室）及相关机构事务（款）机关服务（项）。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19.04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19.04</w:t>
      </w:r>
      <w:r>
        <w:rPr>
          <w:rFonts w:hint="eastAsia" w:ascii="仿宋_GB2312" w:hAnsi="仿宋_GB2312" w:eastAsia="仿宋_GB2312" w:cs="仿宋_GB2312"/>
          <w:sz w:val="32"/>
          <w:szCs w:val="32"/>
        </w:rPr>
        <w:t>万元，完成年初预算的100%。决算数与年初预算数不存在差异。</w:t>
      </w:r>
    </w:p>
    <w:p>
      <w:pPr>
        <w:widowControl/>
        <w:spacing w:line="360" w:lineRule="auto"/>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2．一般公共服务支出（类）政府办公厅（室）及相关机构事务（款）事业运行（项）。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3510.22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3510.22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%。决算数与年初预算数不存在差异。</w:t>
      </w:r>
    </w:p>
    <w:p>
      <w:pPr>
        <w:widowControl/>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3．一般公共服务支出（类）发展与改革事务（款）事业运行（项）。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2.64</w:t>
      </w:r>
      <w:r>
        <w:rPr>
          <w:rFonts w:hint="eastAsia" w:ascii="仿宋_GB2312" w:hAnsi="仿宋_GB2312" w:eastAsia="仿宋_GB2312" w:cs="仿宋_GB2312"/>
          <w:sz w:val="32"/>
          <w:szCs w:val="32"/>
        </w:rPr>
        <w:t xml:space="preserve">万元，完成年初预算的100%。决算数与年初预算数不存在差异。  </w:t>
      </w:r>
    </w:p>
    <w:p>
      <w:pPr>
        <w:widowControl/>
        <w:spacing w:line="360" w:lineRule="auto"/>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val="en-US" w:eastAsia="zh-CN"/>
        </w:rPr>
        <w:t>群众团体</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b/>
          <w:bCs/>
          <w:sz w:val="32"/>
          <w:szCs w:val="32"/>
          <w:lang w:val="en-US" w:eastAsia="zh-CN"/>
        </w:rPr>
        <w:t>工会事务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4.60</w:t>
      </w:r>
      <w:r>
        <w:rPr>
          <w:rFonts w:hint="eastAsia" w:ascii="仿宋_GB2312" w:hAnsi="仿宋_GB2312" w:eastAsia="仿宋_GB2312" w:cs="仿宋_GB2312"/>
          <w:sz w:val="32"/>
          <w:szCs w:val="32"/>
        </w:rPr>
        <w:t>万元，完成年初预算的100%。决算数与年初预算数不存在差异。</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46.28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46.28</w:t>
      </w:r>
      <w:r>
        <w:rPr>
          <w:rFonts w:hint="eastAsia" w:ascii="仿宋_GB2312" w:hAnsi="仿宋_GB2312" w:eastAsia="仿宋_GB2312" w:cs="仿宋_GB2312"/>
          <w:sz w:val="32"/>
          <w:szCs w:val="32"/>
        </w:rPr>
        <w:t>万元，完成年初预算的100%。决算数与年初预算数不存在差异。</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29.41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%。决算数与年初预算数不存在差异。</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.社会保障和就业支出（类）行政事业单位养老支出（款）机关事业单位职业年金缴费支出（项）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19.43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19.43</w:t>
      </w:r>
      <w:r>
        <w:rPr>
          <w:rFonts w:hint="eastAsia" w:ascii="仿宋_GB2312" w:hAnsi="仿宋_GB2312" w:eastAsia="仿宋_GB2312" w:cs="仿宋_GB2312"/>
          <w:sz w:val="32"/>
          <w:szCs w:val="32"/>
        </w:rPr>
        <w:t>万元，完成年初预算的100%。决算数与年初预算数不存在差异。</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15.27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15.27</w:t>
      </w:r>
      <w:r>
        <w:rPr>
          <w:rFonts w:hint="eastAsia" w:ascii="仿宋_GB2312" w:hAnsi="仿宋_GB2312" w:eastAsia="仿宋_GB2312" w:cs="仿宋_GB2312"/>
          <w:sz w:val="32"/>
          <w:szCs w:val="32"/>
        </w:rPr>
        <w:t xml:space="preserve">万元，完成年初预算的100%。决算数与年初预算数不存在差异。 </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1428.67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517.34</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sz w:val="32"/>
          <w:szCs w:val="32"/>
        </w:rPr>
        <w:t>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绩效工资、机关事业单位基本养老保险费、职业年金缴费、</w:t>
      </w:r>
      <w:r>
        <w:rPr>
          <w:rFonts w:hint="eastAsia" w:ascii="仿宋_GB2312" w:hAnsi="仿宋_GB2312" w:eastAsia="仿宋_GB2312" w:cs="仿宋_GB2312"/>
          <w:sz w:val="32"/>
          <w:szCs w:val="32"/>
          <w:lang w:eastAsia="zh-CN"/>
        </w:rPr>
        <w:t>职工基本医疗保险缴费、</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退休费、生活补助</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911.33</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sz w:val="32"/>
          <w:szCs w:val="32"/>
        </w:rPr>
        <w:t>办公费、印刷费、咨询费、邮电费、维修（护）费、</w:t>
      </w:r>
      <w:r>
        <w:rPr>
          <w:rFonts w:hint="eastAsia" w:ascii="仿宋_GB2312" w:hAnsi="仿宋_GB2312" w:eastAsia="仿宋_GB2312" w:cs="仿宋_GB2312"/>
          <w:sz w:val="32"/>
          <w:szCs w:val="32"/>
          <w:lang w:val="en-US" w:eastAsia="zh-CN"/>
        </w:rPr>
        <w:t>租赁费、</w:t>
      </w:r>
      <w:r>
        <w:rPr>
          <w:rFonts w:hint="eastAsia" w:ascii="仿宋_GB2312" w:hAnsi="仿宋_GB2312" w:eastAsia="仿宋_GB2312" w:cs="仿宋_GB2312"/>
          <w:sz w:val="32"/>
          <w:szCs w:val="32"/>
        </w:rPr>
        <w:t>劳务费、</w:t>
      </w:r>
      <w:r>
        <w:rPr>
          <w:rFonts w:hint="eastAsia" w:ascii="仿宋_GB2312" w:hAnsi="仿宋_GB2312" w:eastAsia="仿宋_GB2312" w:cs="仿宋_GB2312"/>
          <w:color w:val="000000" w:themeColor="text1"/>
          <w:sz w:val="32"/>
          <w:szCs w:val="32"/>
          <w:lang w:eastAsia="zh-CN"/>
          <w14:textFill>
            <w14:solidFill>
              <w14:schemeClr w14:val="tx1"/>
            </w14:solidFill>
          </w14:textFill>
        </w:rPr>
        <w:t>工会经费、</w:t>
      </w:r>
      <w:r>
        <w:rPr>
          <w:rFonts w:hint="eastAsia" w:ascii="仿宋_GB2312" w:hAnsi="仿宋_GB2312" w:eastAsia="仿宋_GB2312" w:cs="仿宋_GB2312"/>
          <w:sz w:val="32"/>
          <w:szCs w:val="32"/>
        </w:rPr>
        <w:t>福利费、公务用车运行维护费</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24.49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单位严格落实中央八项规定，压缩单位不必要的开支。</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48.98</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万元。决算数与预算数存在差异的主要原因是</w:t>
      </w:r>
      <w:r>
        <w:rPr>
          <w:rFonts w:hint="eastAsia" w:ascii="仿宋_GB2312" w:hAnsi="仿宋_GB2312" w:eastAsia="仿宋_GB2312" w:cs="仿宋_GB2312"/>
          <w:sz w:val="32"/>
          <w:szCs w:val="32"/>
        </w:rPr>
        <w:t>单位严格落实中央八项规定，压缩单位不必要的开支。因公出国（境）团组数0个，因公出国（境）人次数0人。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48.98</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单位严格落实中央八项规定，压缩单位不必要的开支。</w:t>
      </w:r>
    </w:p>
    <w:p>
      <w:pPr>
        <w:widowControl/>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车辆的维修费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燃油费</w:t>
      </w:r>
      <w:r>
        <w:rPr>
          <w:rFonts w:hint="eastAsia" w:ascii="仿宋_GB2312" w:hAnsi="仿宋_GB2312" w:eastAsia="仿宋_GB2312" w:cs="仿宋_GB2312"/>
          <w:sz w:val="32"/>
          <w:szCs w:val="32"/>
          <w:lang w:val="en-US" w:eastAsia="zh-CN"/>
        </w:rPr>
        <w:t>及车辆保险费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360" w:lineRule="auto"/>
        <w:ind w:firstLine="640" w:firstLineChars="200"/>
        <w:outlineLvl w:val="1"/>
        <w:rPr>
          <w:rFonts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不存在项目年末结转和结余资金数额较大。情况说明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年度没有政府性基金收入，也没有使用政府性基金安排的支出。</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rPr>
        <w:t>不断强化预算绩效管理，积极参加财政组织的各项培训，并将培训内容及精神及时传达给各业务科室组织大家共同学习，务求将预算绩效管理纳入到日常工作中。积极探索管理模式，逐步将预算绩效管理覆盖所有财政资金。加强组织领导，健全组织机构，成立预算绩效管理领导小组，抽调专人进行预算绩效管理工作。突出重点，统分结合，把我单位的17个项目预算都纳入了预算绩效管理范围，于年初向财政部门递交了绩效目标申报，并在项目开展的同时在本单位内部进行了绩效监控和绩效自评工作。下一步我单位会将绩效评价结果汇总分析，用于明年的部门预算申报工作中。</w:t>
      </w:r>
      <w:r>
        <w:rPr>
          <w:rFonts w:hint="eastAsia" w:ascii="仿宋_GB2312" w:hAnsi="仿宋_GB2312" w:eastAsia="仿宋_GB2312" w:cs="仿宋_GB2312"/>
          <w:color w:val="auto"/>
          <w:sz w:val="32"/>
          <w:szCs w:val="32"/>
          <w:highlight w:val="none"/>
          <w:lang w:val="en-US" w:eastAsia="zh-CN"/>
        </w:rPr>
        <w:t>2021年我单位纳入预算绩效管理开展项目绩效自评项目17个；纳入重点绩效评价0个，评价金额0.00万元。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（二）单位整体和项目绩效自评结果。</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单位整体绩效自评结果情况较好，各项项目目标和指标完成工作都取得了较好成效。年初预算所设立的部门各项绩效目标，符合客观实际，符合国家法律法规，符合部门“三定”方案确定的职责，同时，我单位依据整体绩效目标所设定的绩效指标清晰、细化，可衡量，与</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年度的任务数或计划数相对应，与年度</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预算资金相匹配。</w:t>
      </w:r>
      <w:r>
        <w:rPr>
          <w:rFonts w:hint="eastAsia" w:ascii="仿宋_GB2312" w:hAnsi="仿宋_GB2312" w:eastAsia="仿宋_GB2312" w:cs="仿宋_GB2312"/>
          <w:color w:val="auto"/>
          <w:sz w:val="32"/>
          <w:szCs w:val="32"/>
          <w:highlight w:val="none"/>
          <w:lang w:val="en-US" w:eastAsia="zh-CN"/>
        </w:rPr>
        <w:t>二是项目绩效自评情况。我单位</w:t>
      </w:r>
      <w:r>
        <w:rPr>
          <w:rFonts w:hint="eastAsia" w:ascii="仿宋_GB2312" w:hAnsi="仿宋_GB2312" w:eastAsia="仿宋_GB2312" w:cs="仿宋_GB2312"/>
          <w:sz w:val="32"/>
          <w:szCs w:val="32"/>
        </w:rPr>
        <w:t>项目自评结果良好，满意率在95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%以上，没有偏差超过20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%的绩效项目。</w:t>
      </w:r>
      <w:r>
        <w:rPr>
          <w:rFonts w:hint="eastAsia" w:ascii="仿宋_GB2312" w:hAnsi="仿宋_GB2312" w:eastAsia="仿宋_GB2312" w:cs="仿宋_GB2312"/>
          <w:color w:val="auto"/>
          <w:sz w:val="32"/>
          <w:szCs w:val="32"/>
          <w:highlight w:val="none"/>
          <w:lang w:val="en-US" w:eastAsia="zh-CN"/>
        </w:rPr>
        <w:t>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分。其中：17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YTRlMTk5OWQ1NDc5Zjk0NGUzMTA4ZjgxZWI2Mm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BE185D"/>
    <w:rsid w:val="02CA138D"/>
    <w:rsid w:val="033646FC"/>
    <w:rsid w:val="03C75F80"/>
    <w:rsid w:val="0478364D"/>
    <w:rsid w:val="053D4C0D"/>
    <w:rsid w:val="0557532E"/>
    <w:rsid w:val="067A5972"/>
    <w:rsid w:val="06D00956"/>
    <w:rsid w:val="0799329C"/>
    <w:rsid w:val="08397436"/>
    <w:rsid w:val="086F16A7"/>
    <w:rsid w:val="092B1676"/>
    <w:rsid w:val="09974E84"/>
    <w:rsid w:val="0A0F7225"/>
    <w:rsid w:val="0A2B7D82"/>
    <w:rsid w:val="0ADC40E9"/>
    <w:rsid w:val="0AE607F4"/>
    <w:rsid w:val="0B386127"/>
    <w:rsid w:val="0B451598"/>
    <w:rsid w:val="0BEC73F4"/>
    <w:rsid w:val="0C392698"/>
    <w:rsid w:val="0F392481"/>
    <w:rsid w:val="10673BC0"/>
    <w:rsid w:val="10BD36F6"/>
    <w:rsid w:val="11BF0649"/>
    <w:rsid w:val="123E3E08"/>
    <w:rsid w:val="133212F4"/>
    <w:rsid w:val="13D22E22"/>
    <w:rsid w:val="161C2DFF"/>
    <w:rsid w:val="16373578"/>
    <w:rsid w:val="16D3336B"/>
    <w:rsid w:val="17200028"/>
    <w:rsid w:val="17806C36"/>
    <w:rsid w:val="17A74F62"/>
    <w:rsid w:val="18A47774"/>
    <w:rsid w:val="191E2F47"/>
    <w:rsid w:val="1A8D28EB"/>
    <w:rsid w:val="1A9F2D78"/>
    <w:rsid w:val="1AD85136"/>
    <w:rsid w:val="1B2E6FD8"/>
    <w:rsid w:val="1B877D21"/>
    <w:rsid w:val="1C4319A9"/>
    <w:rsid w:val="1C992B09"/>
    <w:rsid w:val="1E443B4B"/>
    <w:rsid w:val="1E994F4A"/>
    <w:rsid w:val="1EAF0224"/>
    <w:rsid w:val="1F2230A4"/>
    <w:rsid w:val="20210932"/>
    <w:rsid w:val="202448E0"/>
    <w:rsid w:val="20F614FE"/>
    <w:rsid w:val="21302EEA"/>
    <w:rsid w:val="22376FB5"/>
    <w:rsid w:val="23E152D7"/>
    <w:rsid w:val="23EE2489"/>
    <w:rsid w:val="24D57AF8"/>
    <w:rsid w:val="255D43C8"/>
    <w:rsid w:val="26714EF8"/>
    <w:rsid w:val="26876BDD"/>
    <w:rsid w:val="2714632A"/>
    <w:rsid w:val="27541E73"/>
    <w:rsid w:val="27B0539E"/>
    <w:rsid w:val="283D6944"/>
    <w:rsid w:val="28871009"/>
    <w:rsid w:val="28CE2789"/>
    <w:rsid w:val="29365CF8"/>
    <w:rsid w:val="299469B3"/>
    <w:rsid w:val="2A805789"/>
    <w:rsid w:val="2ADC0D75"/>
    <w:rsid w:val="2B4A0E52"/>
    <w:rsid w:val="2C975890"/>
    <w:rsid w:val="2CCE3E91"/>
    <w:rsid w:val="2CD51B1F"/>
    <w:rsid w:val="2DEF21BB"/>
    <w:rsid w:val="2DF7ABC5"/>
    <w:rsid w:val="2E4A2F05"/>
    <w:rsid w:val="2ECC1061"/>
    <w:rsid w:val="2EF8637D"/>
    <w:rsid w:val="2FA476AD"/>
    <w:rsid w:val="303F7540"/>
    <w:rsid w:val="317CFD67"/>
    <w:rsid w:val="31DD00BF"/>
    <w:rsid w:val="3293174C"/>
    <w:rsid w:val="32BB38D4"/>
    <w:rsid w:val="32C9376D"/>
    <w:rsid w:val="33780472"/>
    <w:rsid w:val="33AF0905"/>
    <w:rsid w:val="349057B4"/>
    <w:rsid w:val="355932F4"/>
    <w:rsid w:val="35611882"/>
    <w:rsid w:val="35FDFD6D"/>
    <w:rsid w:val="36746FC3"/>
    <w:rsid w:val="3677401C"/>
    <w:rsid w:val="368763AE"/>
    <w:rsid w:val="36DE5377"/>
    <w:rsid w:val="384D672F"/>
    <w:rsid w:val="395D59E7"/>
    <w:rsid w:val="39A93932"/>
    <w:rsid w:val="3A915562"/>
    <w:rsid w:val="3AD61F37"/>
    <w:rsid w:val="3B2E3E48"/>
    <w:rsid w:val="3B8D4765"/>
    <w:rsid w:val="3BFA22D7"/>
    <w:rsid w:val="3C000DBA"/>
    <w:rsid w:val="3C74A964"/>
    <w:rsid w:val="3DC045D3"/>
    <w:rsid w:val="3E504FFB"/>
    <w:rsid w:val="3E615CD0"/>
    <w:rsid w:val="3E74692F"/>
    <w:rsid w:val="3E9C47F6"/>
    <w:rsid w:val="3F206375"/>
    <w:rsid w:val="3F7B5539"/>
    <w:rsid w:val="3F7BDFB4"/>
    <w:rsid w:val="3F8B0112"/>
    <w:rsid w:val="3FAB3095"/>
    <w:rsid w:val="3FE45947"/>
    <w:rsid w:val="41242965"/>
    <w:rsid w:val="435671EA"/>
    <w:rsid w:val="440809E9"/>
    <w:rsid w:val="442407A6"/>
    <w:rsid w:val="44805EA1"/>
    <w:rsid w:val="45710696"/>
    <w:rsid w:val="45C50ACF"/>
    <w:rsid w:val="46142B1B"/>
    <w:rsid w:val="4618240D"/>
    <w:rsid w:val="47E60DD0"/>
    <w:rsid w:val="48735039"/>
    <w:rsid w:val="492C684B"/>
    <w:rsid w:val="49500594"/>
    <w:rsid w:val="49E7604E"/>
    <w:rsid w:val="4A4F4435"/>
    <w:rsid w:val="4BF67CDD"/>
    <w:rsid w:val="4D173441"/>
    <w:rsid w:val="4D603DD6"/>
    <w:rsid w:val="4EBF010F"/>
    <w:rsid w:val="4F230301"/>
    <w:rsid w:val="4F471EB0"/>
    <w:rsid w:val="51331326"/>
    <w:rsid w:val="51740A7F"/>
    <w:rsid w:val="51A5541E"/>
    <w:rsid w:val="51C96242"/>
    <w:rsid w:val="53906AE1"/>
    <w:rsid w:val="53F1287D"/>
    <w:rsid w:val="54F46F60"/>
    <w:rsid w:val="55A37BEA"/>
    <w:rsid w:val="55FBDBE4"/>
    <w:rsid w:val="56362CD2"/>
    <w:rsid w:val="5784687B"/>
    <w:rsid w:val="57846959"/>
    <w:rsid w:val="578E6A87"/>
    <w:rsid w:val="57FBAD6D"/>
    <w:rsid w:val="581C3FCF"/>
    <w:rsid w:val="5AC2203A"/>
    <w:rsid w:val="5ADB3483"/>
    <w:rsid w:val="5B3024C9"/>
    <w:rsid w:val="5B502BBF"/>
    <w:rsid w:val="5BE14E44"/>
    <w:rsid w:val="5BF04CB0"/>
    <w:rsid w:val="5BF2E17B"/>
    <w:rsid w:val="5CBB3334"/>
    <w:rsid w:val="5CC163A1"/>
    <w:rsid w:val="5D115FAF"/>
    <w:rsid w:val="5E233BF8"/>
    <w:rsid w:val="6140729F"/>
    <w:rsid w:val="62811722"/>
    <w:rsid w:val="62E75A72"/>
    <w:rsid w:val="64571880"/>
    <w:rsid w:val="649125B6"/>
    <w:rsid w:val="652F4C1A"/>
    <w:rsid w:val="666D37F1"/>
    <w:rsid w:val="67087D8F"/>
    <w:rsid w:val="671F687E"/>
    <w:rsid w:val="67BE6F54"/>
    <w:rsid w:val="67ED472F"/>
    <w:rsid w:val="67F415F8"/>
    <w:rsid w:val="682640D1"/>
    <w:rsid w:val="684B73E5"/>
    <w:rsid w:val="689B6EBF"/>
    <w:rsid w:val="6A047A2A"/>
    <w:rsid w:val="6AE35F58"/>
    <w:rsid w:val="6BF904B2"/>
    <w:rsid w:val="6D121E91"/>
    <w:rsid w:val="6EFB7548"/>
    <w:rsid w:val="6F3831C3"/>
    <w:rsid w:val="6F6F7126"/>
    <w:rsid w:val="6F8B71C1"/>
    <w:rsid w:val="6FD6D767"/>
    <w:rsid w:val="70494800"/>
    <w:rsid w:val="70753482"/>
    <w:rsid w:val="707B522A"/>
    <w:rsid w:val="707E0B44"/>
    <w:rsid w:val="70FA77DE"/>
    <w:rsid w:val="73194D05"/>
    <w:rsid w:val="735E9C0A"/>
    <w:rsid w:val="73A83B0E"/>
    <w:rsid w:val="744D3EF9"/>
    <w:rsid w:val="74794411"/>
    <w:rsid w:val="75867C40"/>
    <w:rsid w:val="75B10B26"/>
    <w:rsid w:val="75BB8878"/>
    <w:rsid w:val="76432199"/>
    <w:rsid w:val="76F44829"/>
    <w:rsid w:val="7767ACA3"/>
    <w:rsid w:val="776E7EA7"/>
    <w:rsid w:val="779BB1A8"/>
    <w:rsid w:val="77A267C0"/>
    <w:rsid w:val="77CF5ED8"/>
    <w:rsid w:val="77EDB1A4"/>
    <w:rsid w:val="77FD631A"/>
    <w:rsid w:val="78882278"/>
    <w:rsid w:val="78B118A6"/>
    <w:rsid w:val="79135044"/>
    <w:rsid w:val="794C5446"/>
    <w:rsid w:val="7A7D0F99"/>
    <w:rsid w:val="7B6812E9"/>
    <w:rsid w:val="7B7ECB1B"/>
    <w:rsid w:val="7B7F455D"/>
    <w:rsid w:val="7B9F4630"/>
    <w:rsid w:val="7BEBF760"/>
    <w:rsid w:val="7CCF5DB9"/>
    <w:rsid w:val="7CDC1523"/>
    <w:rsid w:val="7D5074F7"/>
    <w:rsid w:val="7E4A0E7C"/>
    <w:rsid w:val="7EB28889"/>
    <w:rsid w:val="7EFD449D"/>
    <w:rsid w:val="7FFF2F8D"/>
    <w:rsid w:val="965F5107"/>
    <w:rsid w:val="A36FF279"/>
    <w:rsid w:val="A7EFB412"/>
    <w:rsid w:val="ABF9CE78"/>
    <w:rsid w:val="BE270A11"/>
    <w:rsid w:val="BF93C099"/>
    <w:rsid w:val="BFBCD425"/>
    <w:rsid w:val="BFFFFE2B"/>
    <w:rsid w:val="CAD00D95"/>
    <w:rsid w:val="CFDF223A"/>
    <w:rsid w:val="D5BE8FAA"/>
    <w:rsid w:val="D77D8244"/>
    <w:rsid w:val="D7F3ED75"/>
    <w:rsid w:val="DB3D5DA7"/>
    <w:rsid w:val="DD3D89C3"/>
    <w:rsid w:val="E225A277"/>
    <w:rsid w:val="EBD7F4BE"/>
    <w:rsid w:val="EC7F685A"/>
    <w:rsid w:val="ED3BE918"/>
    <w:rsid w:val="EF3FD0B5"/>
    <w:rsid w:val="F1CF6E6F"/>
    <w:rsid w:val="F1FAB739"/>
    <w:rsid w:val="F79E6564"/>
    <w:rsid w:val="FAB7DEC2"/>
    <w:rsid w:val="FBEB61F2"/>
    <w:rsid w:val="FBF31DEA"/>
    <w:rsid w:val="FD654073"/>
    <w:rsid w:val="FDF959C9"/>
    <w:rsid w:val="FEDF676B"/>
    <w:rsid w:val="FFFD2868"/>
    <w:rsid w:val="FFFD8F99"/>
    <w:rsid w:val="FFFF5F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8291</Words>
  <Characters>10135</Characters>
  <Lines>60</Lines>
  <Paragraphs>16</Paragraphs>
  <TotalTime>53</TotalTime>
  <ScaleCrop>false</ScaleCrop>
  <LinksUpToDate>false</LinksUpToDate>
  <CharactersWithSpaces>10553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Administrator</cp:lastModifiedBy>
  <cp:lastPrinted>2023-02-17T07:50:00Z</cp:lastPrinted>
  <dcterms:modified xsi:type="dcterms:W3CDTF">2023-05-18T07:38:12Z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86AF2DD45FC24FBDA1E33BC5FA9367EC</vt:lpwstr>
  </property>
</Properties>
</file>