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许昌市市场监督管理局城乡一体化示范区分局单位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许昌市市场监督管理局城乡一体化示范区分局概况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许昌市市场监督管理局城乡</w:t>
      </w:r>
      <w:r>
        <w:rPr>
          <w:rFonts w:hint="default" w:ascii="黑体" w:hAnsi="黑体" w:eastAsia="黑体" w:cs="黑体"/>
          <w:sz w:val="48"/>
          <w:szCs w:val="48"/>
          <w:highlight w:val="none"/>
          <w:lang w:val="en"/>
        </w:rPr>
        <w:t xml:space="preserve">     </w:t>
      </w:r>
      <w:r>
        <w:rPr>
          <w:rFonts w:hint="eastAsia" w:ascii="黑体" w:hAnsi="黑体" w:eastAsia="黑体" w:cs="黑体"/>
          <w:sz w:val="48"/>
          <w:szCs w:val="48"/>
          <w:highlight w:val="none"/>
        </w:rPr>
        <w:t>一体化示范区分局概况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pStyle w:val="2"/>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eastAsia="仿宋_GB2312"/>
          <w:sz w:val="32"/>
          <w:szCs w:val="32"/>
        </w:rPr>
      </w:pPr>
      <w:r>
        <w:rPr>
          <w:rFonts w:hint="eastAsia" w:ascii="仿宋_GB2312" w:eastAsia="仿宋_GB2312"/>
          <w:sz w:val="32"/>
          <w:szCs w:val="32"/>
        </w:rPr>
        <w:t>负责示范区市场综合监督管理；负责全区市场主体统一登记注册；组织查处不正当竞争、违法直销、传销、侵犯商标专利知识产权和制售假冒伪劣行为；负责全区产品质量安全监督管理、特种设备安全监督管理、食品安全监督管理；负责统一管理全区计量工作；负责示范区知识产权监督管理和保护运用；负责示范区药品、医疗器械和化妆品的安全监督管理、质量管理，组织开展药品不良反应、医疗器械不良事件和化妆品不良反应的监测、评价和处理工作；承办示范区党工委、管委会和上级市场监督管理机关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lang w:val="en-US" w:eastAsia="zh-CN"/>
        </w:rPr>
        <w:t>许昌市市场监督管理局城乡一体化示范区分局内设科室6个，包括：综合办公室、政务服务股、综合监管一股、综合监管二股、综合监管三股、综合监管四股。</w:t>
      </w:r>
    </w:p>
    <w:p>
      <w:pPr>
        <w:keepNext w:val="0"/>
        <w:keepLines w:val="0"/>
        <w:pageBreakBefore w:val="0"/>
        <w:widowControl/>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从决算单位构成看，许昌市市场监督管理局城乡一体化示范区分局单位决算包括：本级决算（1个）。</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度，许昌市工商行政管理局城乡一体化示范区分局、许昌市质量技术监督局城乡一体化示范区分局、许昌市食品药品监督管理局直属分局尚集食品药品监督管理所合并为许昌市市场监督管理局城乡一体化示范区分局。</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2021年度，许昌市市场监督管理局城乡一体化示范区分局为许昌市工商行政管理局城乡一体化示范区分局、许昌市质量技术监督局城乡一体化示范区分局、许昌市食品药品监督管理局直属分局尚集食品药品监督管理所合并汇总后的单位决算</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纳入本单位</w:t>
      </w:r>
      <w:r>
        <w:rPr>
          <w:rFonts w:hint="eastAsia" w:ascii="仿宋_GB2312" w:hAnsi="仿宋_GB2312" w:eastAsia="仿宋_GB2312" w:cs="仿宋_GB2312"/>
          <w:sz w:val="32"/>
          <w:szCs w:val="32"/>
          <w:highlight w:val="none"/>
          <w:lang w:val="en-US" w:eastAsia="zh-CN"/>
        </w:rPr>
        <w:t>2021年度单位决算编制范围的单位共1个，具体是：</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1.许昌市市场监督管理局城乡一体化示范区分局</w:t>
      </w: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070" w:type="dxa"/>
        <w:tblInd w:w="0" w:type="dxa"/>
        <w:tblLayout w:type="autofit"/>
        <w:tblCellMar>
          <w:top w:w="0" w:type="dxa"/>
          <w:left w:w="0" w:type="dxa"/>
          <w:bottom w:w="0" w:type="dxa"/>
          <w:right w:w="0" w:type="dxa"/>
        </w:tblCellMar>
      </w:tblPr>
      <w:tblGrid>
        <w:gridCol w:w="5911"/>
        <w:gridCol w:w="600"/>
        <w:gridCol w:w="881"/>
        <w:gridCol w:w="4252"/>
        <w:gridCol w:w="600"/>
        <w:gridCol w:w="1826"/>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458.86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pPr w:leftFromText="180" w:rightFromText="180" w:vertAnchor="text" w:horzAnchor="page" w:tblpXSpec="center" w:tblpY="576"/>
        <w:tblOverlap w:val="never"/>
        <w:tblW w:w="13160" w:type="dxa"/>
        <w:jc w:val="center"/>
        <w:tblLayout w:type="fixed"/>
        <w:tblCellMar>
          <w:top w:w="0" w:type="dxa"/>
          <w:left w:w="0" w:type="dxa"/>
          <w:bottom w:w="0" w:type="dxa"/>
          <w:right w:w="0" w:type="dxa"/>
        </w:tblCellMar>
      </w:tblPr>
      <w:tblGrid>
        <w:gridCol w:w="1073"/>
        <w:gridCol w:w="196"/>
        <w:gridCol w:w="246"/>
        <w:gridCol w:w="3290"/>
        <w:gridCol w:w="1397"/>
        <w:gridCol w:w="1533"/>
        <w:gridCol w:w="1371"/>
        <w:gridCol w:w="914"/>
        <w:gridCol w:w="1025"/>
        <w:gridCol w:w="926"/>
        <w:gridCol w:w="1189"/>
      </w:tblGrid>
      <w:tr>
        <w:tblPrEx>
          <w:tblCellMar>
            <w:top w:w="0" w:type="dxa"/>
            <w:left w:w="0" w:type="dxa"/>
            <w:bottom w:w="0" w:type="dxa"/>
            <w:right w:w="0" w:type="dxa"/>
          </w:tblCellMar>
        </w:tblPrEx>
        <w:trPr>
          <w:trHeight w:val="593" w:hRule="atLeast"/>
          <w:jc w:val="center"/>
        </w:trPr>
        <w:tc>
          <w:tcPr>
            <w:tcW w:w="13160"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04" w:hRule="atLeast"/>
          <w:jc w:val="center"/>
        </w:trPr>
        <w:tc>
          <w:tcPr>
            <w:tcW w:w="1073"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4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2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7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2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4" w:hRule="atLeast"/>
          <w:jc w:val="center"/>
        </w:trPr>
        <w:tc>
          <w:tcPr>
            <w:tcW w:w="4805"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13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7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15"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13" w:hRule="atLeast"/>
          <w:jc w:val="center"/>
        </w:trPr>
        <w:tc>
          <w:tcPr>
            <w:tcW w:w="480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9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3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7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1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2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2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18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13" w:hRule="atLeast"/>
          <w:jc w:val="center"/>
        </w:trPr>
        <w:tc>
          <w:tcPr>
            <w:tcW w:w="1515"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29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480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9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3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7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8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13" w:hRule="atLeast"/>
          <w:jc w:val="center"/>
        </w:trPr>
        <w:tc>
          <w:tcPr>
            <w:tcW w:w="480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482.12</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482.12</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426.31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426.31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424.10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424.10</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2013801</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420.75</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420.75</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2013899</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2"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23.78</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23.78</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51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137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 w:hRule="atLeast"/>
          <w:jc w:val="center"/>
        </w:trPr>
        <w:tc>
          <w:tcPr>
            <w:tcW w:w="13160" w:type="dxa"/>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4967" w:type="pct"/>
        <w:jc w:val="center"/>
        <w:tblLayout w:type="autofit"/>
        <w:tblCellMar>
          <w:top w:w="0" w:type="dxa"/>
          <w:left w:w="0" w:type="dxa"/>
          <w:bottom w:w="0" w:type="dxa"/>
          <w:right w:w="0" w:type="dxa"/>
        </w:tblCellMar>
      </w:tblPr>
      <w:tblGrid>
        <w:gridCol w:w="202"/>
        <w:gridCol w:w="203"/>
        <w:gridCol w:w="1265"/>
        <w:gridCol w:w="4347"/>
        <w:gridCol w:w="1265"/>
        <w:gridCol w:w="1026"/>
        <w:gridCol w:w="1378"/>
        <w:gridCol w:w="1429"/>
        <w:gridCol w:w="1164"/>
        <w:gridCol w:w="1617"/>
      </w:tblGrid>
      <w:tr>
        <w:tblPrEx>
          <w:tblCellMar>
            <w:top w:w="0" w:type="dxa"/>
            <w:left w:w="0" w:type="dxa"/>
            <w:bottom w:w="0" w:type="dxa"/>
            <w:right w:w="0" w:type="dxa"/>
          </w:tblCellMar>
        </w:tblPrEx>
        <w:trPr>
          <w:trHeight w:val="459" w:hRule="atLeast"/>
          <w:jc w:val="center"/>
        </w:trPr>
        <w:tc>
          <w:tcPr>
            <w:tcW w:w="5000" w:type="pct"/>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90" w:hRule="atLeast"/>
          <w:jc w:val="center"/>
        </w:trPr>
        <w:tc>
          <w:tcPr>
            <w:tcW w:w="73" w:type="pct"/>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73"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55"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63"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55"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69"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96"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14"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8" w:type="pct"/>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90" w:hRule="atLeast"/>
          <w:jc w:val="center"/>
        </w:trPr>
        <w:tc>
          <w:tcPr>
            <w:tcW w:w="2620" w:type="pct"/>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369"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96"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14"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8" w:type="pct"/>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jc w:val="center"/>
        </w:trPr>
        <w:tc>
          <w:tcPr>
            <w:tcW w:w="216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55"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9"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96"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14"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19"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78" w:type="pct"/>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12" w:hRule="atLeast"/>
          <w:jc w:val="center"/>
        </w:trPr>
        <w:tc>
          <w:tcPr>
            <w:tcW w:w="601" w:type="pct"/>
            <w:gridSpan w:val="3"/>
            <w:vMerge w:val="restart"/>
            <w:tcBorders>
              <w:top w:val="nil"/>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功能分类科目编码</w:t>
            </w:r>
          </w:p>
        </w:tc>
        <w:tc>
          <w:tcPr>
            <w:tcW w:w="1563" w:type="pct"/>
            <w:vMerge w:val="restart"/>
            <w:tcBorders>
              <w:top w:val="nil"/>
              <w:left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科目名称</w:t>
            </w:r>
          </w:p>
        </w:tc>
        <w:tc>
          <w:tcPr>
            <w:tcW w:w="455"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4"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9"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601" w:type="pct"/>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3" w:type="pct"/>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5"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9"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4"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9"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165"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5"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9"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96"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4"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9"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8"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90" w:hRule="atLeast"/>
          <w:jc w:val="center"/>
        </w:trPr>
        <w:tc>
          <w:tcPr>
            <w:tcW w:w="2165"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516.31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512.97</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3.35</w:t>
            </w: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458.86</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455.52</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456.65</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2013801</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2013899</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24.41</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24.41</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60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156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455"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369"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496"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8"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5000" w:type="pct"/>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3816" w:type="dxa"/>
        <w:tblInd w:w="0" w:type="dxa"/>
        <w:tblLayout w:type="fixed"/>
        <w:tblCellMar>
          <w:top w:w="0" w:type="dxa"/>
          <w:left w:w="0" w:type="dxa"/>
          <w:bottom w:w="0" w:type="dxa"/>
          <w:right w:w="0" w:type="dxa"/>
        </w:tblCellMar>
      </w:tblPr>
      <w:tblGrid>
        <w:gridCol w:w="3058"/>
        <w:gridCol w:w="1320"/>
        <w:gridCol w:w="1290"/>
        <w:gridCol w:w="3195"/>
        <w:gridCol w:w="1050"/>
        <w:gridCol w:w="840"/>
        <w:gridCol w:w="1395"/>
        <w:gridCol w:w="982"/>
        <w:gridCol w:w="686"/>
      </w:tblGrid>
      <w:tr>
        <w:tblPrEx>
          <w:tblCellMar>
            <w:top w:w="0" w:type="dxa"/>
            <w:left w:w="0" w:type="dxa"/>
            <w:bottom w:w="0" w:type="dxa"/>
            <w:right w:w="0" w:type="dxa"/>
          </w:tblCellMar>
        </w:tblPrEx>
        <w:trPr>
          <w:trHeight w:val="569" w:hRule="atLeast"/>
        </w:trPr>
        <w:tc>
          <w:tcPr>
            <w:tcW w:w="13816"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91" w:hRule="atLeast"/>
        </w:trPr>
        <w:tc>
          <w:tcPr>
            <w:tcW w:w="3058"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68"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91" w:hRule="atLeast"/>
        </w:trPr>
        <w:tc>
          <w:tcPr>
            <w:tcW w:w="5668" w:type="dxa"/>
            <w:gridSpan w:val="3"/>
            <w:tcBorders>
              <w:top w:val="nil"/>
              <w:left w:val="nil"/>
              <w:bottom w:val="nil"/>
              <w:right w:val="nil"/>
            </w:tcBorders>
            <w:noWrap/>
            <w:tcMar>
              <w:top w:w="15" w:type="dxa"/>
              <w:left w:w="15" w:type="dxa"/>
              <w:right w:w="15" w:type="dxa"/>
            </w:tcMar>
            <w:vAlign w:val="bottom"/>
          </w:tcPr>
          <w:p>
            <w:pPr>
              <w:jc w:val="left"/>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3195" w:type="dxa"/>
            <w:tcBorders>
              <w:top w:val="nil"/>
              <w:left w:val="nil"/>
              <w:bottom w:val="nil"/>
              <w:right w:val="nil"/>
            </w:tcBorders>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10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68"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0" w:hRule="atLeast"/>
        </w:trPr>
        <w:tc>
          <w:tcPr>
            <w:tcW w:w="56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148"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trPr>
        <w:tc>
          <w:tcPr>
            <w:tcW w:w="305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1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68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833" w:hRule="atLeast"/>
        </w:trPr>
        <w:tc>
          <w:tcPr>
            <w:tcW w:w="305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482.12</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458.86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458.86</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482.12</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34.19</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34.19</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30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320" w:type="dxa"/>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31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516.31</w:t>
            </w:r>
          </w:p>
        </w:tc>
        <w:tc>
          <w:tcPr>
            <w:tcW w:w="9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7" w:hRule="atLeast"/>
        </w:trPr>
        <w:tc>
          <w:tcPr>
            <w:tcW w:w="13816"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5000" w:type="pct"/>
        <w:jc w:val="center"/>
        <w:tblLayout w:type="autofit"/>
        <w:tblCellMar>
          <w:top w:w="0" w:type="dxa"/>
          <w:left w:w="0" w:type="dxa"/>
          <w:bottom w:w="0" w:type="dxa"/>
          <w:right w:w="0" w:type="dxa"/>
        </w:tblCellMar>
      </w:tblPr>
      <w:tblGrid>
        <w:gridCol w:w="98"/>
        <w:gridCol w:w="104"/>
        <w:gridCol w:w="2179"/>
        <w:gridCol w:w="4182"/>
        <w:gridCol w:w="2358"/>
        <w:gridCol w:w="3002"/>
        <w:gridCol w:w="2065"/>
      </w:tblGrid>
      <w:tr>
        <w:tblPrEx>
          <w:tblCellMar>
            <w:top w:w="0" w:type="dxa"/>
            <w:left w:w="0" w:type="dxa"/>
            <w:bottom w:w="0" w:type="dxa"/>
            <w:right w:w="0" w:type="dxa"/>
          </w:tblCellMar>
        </w:tblPrEx>
        <w:trPr>
          <w:trHeight w:val="90" w:hRule="atLeast"/>
          <w:jc w:val="center"/>
        </w:trPr>
        <w:tc>
          <w:tcPr>
            <w:tcW w:w="5000" w:type="pct"/>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90" w:hRule="atLeast"/>
          <w:jc w:val="center"/>
        </w:trPr>
        <w:tc>
          <w:tcPr>
            <w:tcW w:w="35" w:type="pct"/>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7"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78"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4"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2"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73"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7" w:type="pct"/>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90" w:hRule="atLeast"/>
          <w:jc w:val="center"/>
        </w:trPr>
        <w:tc>
          <w:tcPr>
            <w:tcW w:w="3189" w:type="pct"/>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1073" w:type="pct"/>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7" w:type="pct"/>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jc w:val="center"/>
        </w:trPr>
        <w:tc>
          <w:tcPr>
            <w:tcW w:w="234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53" w:type="pct"/>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12" w:hRule="atLeast"/>
          <w:jc w:val="center"/>
        </w:trPr>
        <w:tc>
          <w:tcPr>
            <w:tcW w:w="851" w:type="pct"/>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2"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3"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37" w:type="pc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90" w:hRule="atLeast"/>
          <w:jc w:val="center"/>
        </w:trPr>
        <w:tc>
          <w:tcPr>
            <w:tcW w:w="2346"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90" w:hRule="atLeast"/>
          <w:jc w:val="center"/>
        </w:trPr>
        <w:tc>
          <w:tcPr>
            <w:tcW w:w="2346"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516.31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512.97</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3.35</w:t>
            </w: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458.86</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455.52</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456.65</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2013801</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453.31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2013899</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32.22</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7.81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24.41</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24.41</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851"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1494"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842"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1073" w:type="pc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737" w:type="pct"/>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5000" w:type="pct"/>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3620" w:type="dxa"/>
        <w:jc w:val="center"/>
        <w:tblLayout w:type="autofit"/>
        <w:tblCellMar>
          <w:top w:w="0" w:type="dxa"/>
          <w:left w:w="0" w:type="dxa"/>
          <w:bottom w:w="0" w:type="dxa"/>
          <w:right w:w="0" w:type="dxa"/>
        </w:tblCellMar>
      </w:tblPr>
      <w:tblGrid>
        <w:gridCol w:w="580"/>
        <w:gridCol w:w="3330"/>
        <w:gridCol w:w="780"/>
        <w:gridCol w:w="580"/>
        <w:gridCol w:w="2230"/>
        <w:gridCol w:w="665"/>
        <w:gridCol w:w="580"/>
        <w:gridCol w:w="4210"/>
        <w:gridCol w:w="665"/>
      </w:tblGrid>
      <w:tr>
        <w:tblPrEx>
          <w:tblCellMar>
            <w:top w:w="0" w:type="dxa"/>
            <w:left w:w="0" w:type="dxa"/>
            <w:bottom w:w="0" w:type="dxa"/>
            <w:right w:w="0" w:type="dxa"/>
          </w:tblCellMar>
        </w:tblPrEx>
        <w:trPr>
          <w:trHeight w:val="558" w:hRule="atLeast"/>
          <w:jc w:val="center"/>
        </w:trPr>
        <w:tc>
          <w:tcPr>
            <w:tcW w:w="13620"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w:t>
            </w:r>
            <w:r>
              <w:rPr>
                <w:rFonts w:hint="default" w:ascii="宋体" w:hAnsi="宋体" w:cs="宋体"/>
                <w:i w:val="0"/>
                <w:color w:val="000000"/>
                <w:kern w:val="0"/>
                <w:sz w:val="30"/>
                <w:szCs w:val="30"/>
                <w:u w:val="none"/>
                <w:lang w:val="en" w:eastAsia="zh-CN" w:bidi="ar"/>
              </w:rPr>
              <w:t>明细</w:t>
            </w:r>
            <w:r>
              <w:rPr>
                <w:rFonts w:hint="eastAsia" w:ascii="宋体" w:hAnsi="宋体" w:eastAsia="宋体" w:cs="宋体"/>
                <w:i w:val="0"/>
                <w:color w:val="000000"/>
                <w:kern w:val="0"/>
                <w:sz w:val="30"/>
                <w:szCs w:val="30"/>
                <w:u w:val="none"/>
                <w:lang w:val="en-US" w:eastAsia="zh-CN" w:bidi="ar"/>
              </w:rPr>
              <w:t>表</w:t>
            </w:r>
          </w:p>
        </w:tc>
      </w:tr>
      <w:tr>
        <w:tblPrEx>
          <w:tblCellMar>
            <w:top w:w="0" w:type="dxa"/>
            <w:left w:w="0" w:type="dxa"/>
            <w:bottom w:w="0" w:type="dxa"/>
            <w:right w:w="0" w:type="dxa"/>
          </w:tblCellMar>
        </w:tblPrEx>
        <w:trPr>
          <w:trHeight w:val="286"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86" w:hRule="atLeast"/>
          <w:jc w:val="center"/>
        </w:trPr>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：许昌市市场监督管理局城乡一体化示范区分局</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95"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12" w:hRule="atLeast"/>
          <w:jc w:val="center"/>
        </w:trPr>
        <w:tc>
          <w:tcPr>
            <w:tcW w:w="54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60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4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4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3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12" w:hRule="atLeast"/>
          <w:jc w:val="center"/>
        </w:trPr>
        <w:tc>
          <w:tcPr>
            <w:tcW w:w="54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5" w:hRule="atLeast"/>
          <w:jc w:val="center"/>
        </w:trPr>
        <w:tc>
          <w:tcPr>
            <w:tcW w:w="0" w:type="auto"/>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458.40</w:t>
            </w:r>
          </w:p>
        </w:tc>
        <w:tc>
          <w:tcPr>
            <w:tcW w:w="0" w:type="auto"/>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54.56</w:t>
            </w:r>
          </w:p>
        </w:tc>
      </w:tr>
      <w:tr>
        <w:tblPrEx>
          <w:tblCellMar>
            <w:top w:w="0" w:type="dxa"/>
            <w:left w:w="0" w:type="dxa"/>
            <w:bottom w:w="0" w:type="dxa"/>
            <w:right w:w="0" w:type="dxa"/>
          </w:tblCellMar>
        </w:tblPrEx>
        <w:trPr>
          <w:trHeight w:val="295" w:hRule="atLeast"/>
          <w:jc w:val="center"/>
        </w:trPr>
        <w:tc>
          <w:tcPr>
            <w:tcW w:w="0" w:type="auto"/>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：许昌市市场监督管理局城乡一体化示范区分局</w:t>
            </w:r>
          </w:p>
        </w:tc>
        <w:tc>
          <w:tcPr>
            <w:tcW w:w="1150"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18.00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16.00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16.00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2.00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5.41</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5.41</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2"/>
                <w:szCs w:val="22"/>
                <w:highlight w:val="none"/>
                <w:u w:val="none"/>
                <w:lang w:val="en-US" w:eastAsia="zh-CN" w:bidi="ar"/>
              </w:rPr>
              <w:t>5.41</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：许昌市市场监督管理局城乡一体化示范区分局</w:t>
            </w:r>
          </w:p>
        </w:tc>
        <w:tc>
          <w:tcPr>
            <w:tcW w:w="1926"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000000"/>
                <w:sz w:val="20"/>
                <w:szCs w:val="20"/>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w:t>
      </w:r>
      <w:r>
        <w:rPr>
          <w:rFonts w:hint="eastAsia" w:ascii="仿宋_GB2312" w:hAnsi="仿宋_GB2312" w:eastAsia="仿宋_GB2312" w:cs="仿宋_GB2312"/>
          <w:sz w:val="32"/>
          <w:szCs w:val="32"/>
          <w:highlight w:val="none"/>
          <w:lang w:eastAsia="zh-CN"/>
        </w:rPr>
        <w:t>、支出总计均为</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万元。与上年度相比，收</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highlight w:val="none"/>
          <w:lang w:val="en-US" w:eastAsia="zh-CN"/>
        </w:rPr>
        <w:t>95.01</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22.55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机构合并，人员增加，财政拨款增加等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516.31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512.97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99.35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3.35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0.65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C0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均</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万元。与上年度相比，财政拨款收</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highlight w:val="none"/>
          <w:lang w:val="en-US" w:eastAsia="zh-CN"/>
        </w:rPr>
        <w:t>95.01</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22.55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机构合并，人员增加，财政拨款增加等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pStyle w:val="20"/>
        <w:keepNext w:val="0"/>
        <w:keepLines w:val="0"/>
        <w:pageBreakBefore w:val="0"/>
        <w:kinsoku/>
        <w:wordWrap/>
        <w:overflowPunct/>
        <w:topLinePunct w:val="0"/>
        <w:bidi w:val="0"/>
        <w:spacing w:line="590" w:lineRule="exact"/>
        <w:ind w:firstLine="640"/>
        <w:textAlignment w:val="auto"/>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万元，占支出合计</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128.14</w:t>
      </w:r>
      <w:r>
        <w:rPr>
          <w:rFonts w:hint="eastAsia" w:ascii="仿宋_GB2312" w:hAnsi="仿宋_GB2312" w:eastAsia="仿宋_GB2312" w:cs="仿宋_GB2312"/>
          <w:sz w:val="32"/>
          <w:szCs w:val="32"/>
          <w:highlight w:val="none"/>
        </w:rPr>
        <w:t>万元，增长</w:t>
      </w:r>
      <w:r>
        <w:rPr>
          <w:rFonts w:hint="default" w:ascii="仿宋_GB2312" w:hAnsi="仿宋_GB2312" w:eastAsia="仿宋_GB2312" w:cs="仿宋_GB2312"/>
          <w:sz w:val="32"/>
          <w:szCs w:val="32"/>
          <w:highlight w:val="none"/>
          <w:lang w:val="en" w:eastAsia="zh-CN"/>
        </w:rPr>
        <w:t>33.01</w:t>
      </w:r>
      <w:r>
        <w:rPr>
          <w:rFonts w:hint="eastAsia" w:ascii="仿宋_GB2312" w:hAnsi="仿宋_GB2312" w:eastAsia="仿宋_GB2312" w:cs="仿宋_GB2312"/>
          <w:sz w:val="32"/>
          <w:szCs w:val="32"/>
          <w:highlight w:val="none"/>
        </w:rPr>
        <w:t>%。主要原因是</w:t>
      </w:r>
      <w:r>
        <w:rPr>
          <w:rFonts w:hint="eastAsia" w:ascii="仿宋_GB2312" w:hAnsi="仿宋" w:eastAsia="仿宋_GB2312" w:cs="Times New Roman"/>
          <w:kern w:val="2"/>
          <w:sz w:val="32"/>
          <w:szCs w:val="32"/>
          <w:lang w:val="en-US" w:eastAsia="zh-CN" w:bidi="ar"/>
        </w:rPr>
        <w:t>机构合并，人员增加，财政拨款增加等。</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458.86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88.87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32.22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6.24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25.23万元，占4.89</w:t>
      </w:r>
      <w:r>
        <w:rPr>
          <w:rFonts w:hint="default"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510.80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516.31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101.08</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eastAsia="zh-CN"/>
        </w:rPr>
        <w:t>市场监督管理事务（款）</w:t>
      </w:r>
      <w:r>
        <w:rPr>
          <w:rFonts w:hint="eastAsia" w:ascii="仿宋_GB2312" w:hAnsi="仿宋_GB2312" w:eastAsia="仿宋_GB2312" w:cs="仿宋_GB2312"/>
          <w:b/>
          <w:bCs/>
          <w:color w:val="auto"/>
          <w:sz w:val="32"/>
          <w:szCs w:val="32"/>
          <w:highlight w:val="none"/>
          <w:lang w:eastAsia="zh-CN"/>
        </w:rPr>
        <w:t>行政运行（项）。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447.49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453.31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101.30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主要原因为以前年度结转经费用于本年支出</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rPr>
        <w:t>一般公共服务支出（类）</w:t>
      </w:r>
      <w:r>
        <w:rPr>
          <w:rFonts w:hint="eastAsia" w:ascii="仿宋_GB2312" w:hAnsi="仿宋_GB2312" w:eastAsia="仿宋_GB2312" w:cs="仿宋_GB2312"/>
          <w:b/>
          <w:bCs/>
          <w:color w:val="auto"/>
          <w:sz w:val="32"/>
          <w:szCs w:val="32"/>
          <w:lang w:eastAsia="zh-CN"/>
        </w:rPr>
        <w:t>市场监督管理事务（款）</w:t>
      </w:r>
      <w:r>
        <w:rPr>
          <w:rFonts w:hint="eastAsia" w:ascii="仿宋_GB2312" w:hAnsi="仿宋_GB2312" w:eastAsia="仿宋_GB2312" w:cs="仿宋_GB2312"/>
          <w:b/>
          <w:bCs/>
          <w:color w:val="auto"/>
          <w:sz w:val="32"/>
          <w:szCs w:val="32"/>
          <w:highlight w:val="none"/>
          <w:lang w:eastAsia="zh-CN"/>
        </w:rPr>
        <w:t>其他市场监督管理事务（项）。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3.35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年中</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财政追加</w:t>
      </w:r>
      <w:r>
        <w:rPr>
          <w:rFonts w:hint="eastAsia" w:ascii="仿宋_GB2312" w:hAnsi="仿宋_GB2312" w:eastAsia="仿宋_GB2312" w:cs="仿宋_GB2312"/>
          <w:sz w:val="32"/>
          <w:szCs w:val="32"/>
        </w:rPr>
        <w:t>下达市场监督管理补助专项</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7.08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7.81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110.31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决算数与年初预算数存在差异的主要原因是年中增加退休人员。</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24.41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92.04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决算数与年初预算数存在差异的主要原因是有部分人员编制调整，在职人员养老保险支出减少。</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卫生健康支出（类）行政事业单位医疗（款）行政单位医疗（项）。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13.74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12.37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90.03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决算数与年初预算数存在差异的主要原因是有部分人员编制调整，</w:t>
      </w:r>
      <w:r>
        <w:rPr>
          <w:rFonts w:hint="eastAsia" w:ascii="仿宋_GB2312" w:hAnsi="仿宋_GB2312" w:eastAsia="仿宋_GB2312" w:cs="仿宋_GB2312"/>
          <w:color w:val="auto"/>
          <w:sz w:val="32"/>
          <w:szCs w:val="32"/>
          <w:highlight w:val="none"/>
          <w:lang w:val="en-US" w:eastAsia="zh-CN"/>
        </w:rPr>
        <w:t>在职人员医疗保险支出减少</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卫生健康支出（类）行政事业单位医疗（款）公务员医疗补助（项）。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13.09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12.86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98.24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决算数与年初预算数存在差异的主要原因是有部分人员编制调整，</w:t>
      </w:r>
      <w:r>
        <w:rPr>
          <w:rFonts w:hint="eastAsia" w:ascii="仿宋_GB2312" w:hAnsi="仿宋_GB2312" w:eastAsia="仿宋_GB2312" w:cs="仿宋_GB2312"/>
          <w:color w:val="auto"/>
          <w:sz w:val="32"/>
          <w:szCs w:val="32"/>
          <w:highlight w:val="none"/>
          <w:lang w:val="en-US" w:eastAsia="zh-CN"/>
        </w:rPr>
        <w:t>公务员医疗补助支出减少</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512.97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458.40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医疗费、</w:t>
      </w:r>
      <w:r>
        <w:rPr>
          <w:rFonts w:hint="eastAsia" w:ascii="仿宋_GB2312" w:hAnsi="仿宋_GB2312" w:eastAsia="仿宋_GB2312" w:cs="仿宋_GB2312"/>
          <w:sz w:val="32"/>
          <w:szCs w:val="32"/>
          <w:highlight w:val="none"/>
        </w:rPr>
        <w:t>其他工资福利支出、退休费；公用经费</w:t>
      </w:r>
      <w:r>
        <w:rPr>
          <w:rFonts w:hint="eastAsia" w:ascii="仿宋_GB2312" w:hAnsi="仿宋_GB2312" w:eastAsia="仿宋_GB2312" w:cs="仿宋_GB2312"/>
          <w:sz w:val="32"/>
          <w:szCs w:val="32"/>
          <w:highlight w:val="none"/>
          <w:lang w:val="en-US" w:eastAsia="zh-CN"/>
        </w:rPr>
        <w:t>54.56</w:t>
      </w:r>
      <w:r>
        <w:rPr>
          <w:rFonts w:hint="eastAsia" w:ascii="仿宋_GB2312" w:hAnsi="仿宋_GB2312" w:eastAsia="仿宋_GB2312" w:cs="仿宋_GB2312"/>
          <w:sz w:val="32"/>
          <w:szCs w:val="32"/>
          <w:highlight w:val="none"/>
        </w:rPr>
        <w:t>万元，主要包括：办公费、印刷费、水费、邮电费、差旅费、培训费、劳务费、委托业务费、工会经费、福利费、公务用车运行维护费、其他交通费用、其他商品和服务支出</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18.00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5.41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30.06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w:t>
      </w:r>
      <w:r>
        <w:rPr>
          <w:rFonts w:hint="eastAsia" w:ascii="仿宋_GB2312" w:hAnsi="仿宋_GB2312" w:eastAsia="仿宋_GB2312" w:cs="仿宋_GB2312"/>
          <w:color w:val="auto"/>
          <w:sz w:val="32"/>
          <w:szCs w:val="32"/>
          <w:highlight w:val="none"/>
        </w:rPr>
        <w:t>原因是</w:t>
      </w:r>
      <w:r>
        <w:rPr>
          <w:rFonts w:hint="eastAsia" w:ascii="仿宋_GB2312" w:hAnsi="仿宋" w:eastAsia="仿宋_GB2312" w:cs="仿宋"/>
          <w:bCs/>
          <w:color w:val="000000"/>
          <w:sz w:val="32"/>
          <w:szCs w:val="32"/>
        </w:rPr>
        <w:t>严格遵守中央八项规定，严格控制公车使用范围和日常维护保养</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color w:val="auto"/>
          <w:sz w:val="32"/>
          <w:szCs w:val="32"/>
          <w:highlight w:val="none"/>
        </w:rPr>
        <w:t>（二）“三公”经费财政拨款支出</w:t>
      </w:r>
      <w:r>
        <w:rPr>
          <w:rFonts w:hint="eastAsia" w:ascii="楷体_GB2312" w:hAnsi="楷体_GB2312" w:eastAsia="楷体_GB2312" w:cs="楷体_GB2312"/>
          <w:b/>
          <w:bCs/>
          <w:sz w:val="32"/>
          <w:szCs w:val="32"/>
          <w:highlight w:val="none"/>
        </w:rPr>
        <w:t>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5.41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33.81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16.00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5.41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33.81</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 w:eastAsia="仿宋_GB2312" w:cs="仿宋"/>
          <w:bCs/>
          <w:color w:val="000000"/>
          <w:sz w:val="32"/>
          <w:szCs w:val="32"/>
        </w:rPr>
        <w:t>严格遵守中央八项规定，严格控制公车使用范围和日常维护保养</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5.41</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燃料费、维修保养费、过路过桥费、保险费等支出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本年没有公务接待</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73.28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54.56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74.45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决算数与年初预算数存在差异的主要原因是</w:t>
      </w:r>
      <w:r>
        <w:rPr>
          <w:rFonts w:hint="eastAsia" w:ascii="仿宋_GB2312" w:hAnsi="仿宋" w:eastAsia="仿宋_GB2312" w:cs="仿宋"/>
          <w:bCs/>
          <w:color w:val="000000"/>
          <w:sz w:val="32"/>
          <w:szCs w:val="32"/>
        </w:rPr>
        <w:t>严格遵守中央八项规定</w:t>
      </w:r>
      <w:r>
        <w:rPr>
          <w:rFonts w:hint="eastAsia" w:ascii="仿宋_GB2312" w:hAnsi="仿宋" w:eastAsia="仿宋_GB2312" w:cs="仿宋"/>
          <w:bCs/>
          <w:color w:val="000000"/>
          <w:sz w:val="32"/>
          <w:szCs w:val="32"/>
          <w:lang w:eastAsia="zh-CN"/>
        </w:rPr>
        <w:t>，厉行节约</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2021年度政府采购支出总额</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0万元，其中：政府采购货物支出</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0万元、政府采购工程支出</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0万元、政府采购服务支出</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0万元。授予中小企业合同金额</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0万元，其中：授予小微企业合同金额</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根据绩效自评的要求，对照自评方案进行研究和部署，按照自评方案的要求，对照各实施项目逐条逐项自评。在自评过程中发现问题，查找原因，及时纠正偏差，为下一步工作夯实基础。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zhhNjgyMzc5MGRhZmM0YmUwNDcyMmNmMjQzZj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A1F74"/>
    <w:rsid w:val="01322275"/>
    <w:rsid w:val="01882B31"/>
    <w:rsid w:val="01C71C4C"/>
    <w:rsid w:val="01DC6F05"/>
    <w:rsid w:val="01EF4A3F"/>
    <w:rsid w:val="02722E2A"/>
    <w:rsid w:val="02A3489A"/>
    <w:rsid w:val="02CA138D"/>
    <w:rsid w:val="02EE59E6"/>
    <w:rsid w:val="031F2AC7"/>
    <w:rsid w:val="033646FC"/>
    <w:rsid w:val="038E6FEE"/>
    <w:rsid w:val="03C75F80"/>
    <w:rsid w:val="0478364D"/>
    <w:rsid w:val="053D4C0D"/>
    <w:rsid w:val="0557532E"/>
    <w:rsid w:val="056770C1"/>
    <w:rsid w:val="05771A7A"/>
    <w:rsid w:val="062F1F96"/>
    <w:rsid w:val="06A96EAA"/>
    <w:rsid w:val="0799329C"/>
    <w:rsid w:val="082C34EC"/>
    <w:rsid w:val="08397436"/>
    <w:rsid w:val="086F16A7"/>
    <w:rsid w:val="08856BB5"/>
    <w:rsid w:val="09104908"/>
    <w:rsid w:val="0A0F7225"/>
    <w:rsid w:val="0A2B7D82"/>
    <w:rsid w:val="0AA606D6"/>
    <w:rsid w:val="0ADC40E9"/>
    <w:rsid w:val="0AE607F4"/>
    <w:rsid w:val="0B386127"/>
    <w:rsid w:val="0B451598"/>
    <w:rsid w:val="0BEC73F4"/>
    <w:rsid w:val="0C392698"/>
    <w:rsid w:val="0C443C4A"/>
    <w:rsid w:val="0CD93263"/>
    <w:rsid w:val="0CFE316D"/>
    <w:rsid w:val="0D1C0218"/>
    <w:rsid w:val="0DD015DC"/>
    <w:rsid w:val="0E6D45AA"/>
    <w:rsid w:val="0E8E3079"/>
    <w:rsid w:val="0E9E677E"/>
    <w:rsid w:val="0EEA232B"/>
    <w:rsid w:val="0F400B22"/>
    <w:rsid w:val="0FC52DFD"/>
    <w:rsid w:val="10BD36F6"/>
    <w:rsid w:val="114A7449"/>
    <w:rsid w:val="11BF0649"/>
    <w:rsid w:val="123E3E08"/>
    <w:rsid w:val="12AF0043"/>
    <w:rsid w:val="133212F4"/>
    <w:rsid w:val="13D22E22"/>
    <w:rsid w:val="144638D4"/>
    <w:rsid w:val="15802E15"/>
    <w:rsid w:val="15E8284A"/>
    <w:rsid w:val="161C2DFF"/>
    <w:rsid w:val="16373578"/>
    <w:rsid w:val="16D3336B"/>
    <w:rsid w:val="17200028"/>
    <w:rsid w:val="175E2FA5"/>
    <w:rsid w:val="17806C36"/>
    <w:rsid w:val="17A74F62"/>
    <w:rsid w:val="17F4557D"/>
    <w:rsid w:val="18A47774"/>
    <w:rsid w:val="1A8D28EB"/>
    <w:rsid w:val="1A9F2D78"/>
    <w:rsid w:val="1B2E6FD8"/>
    <w:rsid w:val="1B3248A9"/>
    <w:rsid w:val="1B361CA0"/>
    <w:rsid w:val="1B877D21"/>
    <w:rsid w:val="1C325CB0"/>
    <w:rsid w:val="1C4319A9"/>
    <w:rsid w:val="1C642BAF"/>
    <w:rsid w:val="1CD64CCD"/>
    <w:rsid w:val="1E01086B"/>
    <w:rsid w:val="1E254605"/>
    <w:rsid w:val="1E2F1AE7"/>
    <w:rsid w:val="1E443B4B"/>
    <w:rsid w:val="1E825EA2"/>
    <w:rsid w:val="1E994F4A"/>
    <w:rsid w:val="1EAF0224"/>
    <w:rsid w:val="1ED664F2"/>
    <w:rsid w:val="1EE60BFB"/>
    <w:rsid w:val="1F2230A4"/>
    <w:rsid w:val="20210932"/>
    <w:rsid w:val="202448E0"/>
    <w:rsid w:val="20666566"/>
    <w:rsid w:val="20F614FE"/>
    <w:rsid w:val="20F83F7D"/>
    <w:rsid w:val="21302EEA"/>
    <w:rsid w:val="21BF77DE"/>
    <w:rsid w:val="22376FB5"/>
    <w:rsid w:val="234079DE"/>
    <w:rsid w:val="23E152D7"/>
    <w:rsid w:val="23EE2489"/>
    <w:rsid w:val="25176D08"/>
    <w:rsid w:val="252073C4"/>
    <w:rsid w:val="255D43C8"/>
    <w:rsid w:val="25737086"/>
    <w:rsid w:val="26714EF8"/>
    <w:rsid w:val="26876BDD"/>
    <w:rsid w:val="26F4564F"/>
    <w:rsid w:val="2714632A"/>
    <w:rsid w:val="27541E73"/>
    <w:rsid w:val="279F5206"/>
    <w:rsid w:val="27B0539E"/>
    <w:rsid w:val="29365CF8"/>
    <w:rsid w:val="299469B3"/>
    <w:rsid w:val="2A0C67BE"/>
    <w:rsid w:val="2A805789"/>
    <w:rsid w:val="2ADC0D75"/>
    <w:rsid w:val="2B4A0E52"/>
    <w:rsid w:val="2C975890"/>
    <w:rsid w:val="2DEF21BB"/>
    <w:rsid w:val="2E0A56F6"/>
    <w:rsid w:val="2E4A2F05"/>
    <w:rsid w:val="2ECC1061"/>
    <w:rsid w:val="2FA476AD"/>
    <w:rsid w:val="300D02D5"/>
    <w:rsid w:val="303F7540"/>
    <w:rsid w:val="31DD00BF"/>
    <w:rsid w:val="3293174C"/>
    <w:rsid w:val="32B07F88"/>
    <w:rsid w:val="32BB38D4"/>
    <w:rsid w:val="32C9376D"/>
    <w:rsid w:val="33780472"/>
    <w:rsid w:val="33AF0905"/>
    <w:rsid w:val="34B777B3"/>
    <w:rsid w:val="355932F4"/>
    <w:rsid w:val="35611882"/>
    <w:rsid w:val="36746FC3"/>
    <w:rsid w:val="368763AE"/>
    <w:rsid w:val="395D59E7"/>
    <w:rsid w:val="39A93932"/>
    <w:rsid w:val="39CD06B3"/>
    <w:rsid w:val="3A915562"/>
    <w:rsid w:val="3B8D4765"/>
    <w:rsid w:val="3C000DBA"/>
    <w:rsid w:val="3C3A4944"/>
    <w:rsid w:val="3DAD4585"/>
    <w:rsid w:val="3DC045D3"/>
    <w:rsid w:val="3E504FFB"/>
    <w:rsid w:val="3E615CD0"/>
    <w:rsid w:val="3E9C47F6"/>
    <w:rsid w:val="3F8B0112"/>
    <w:rsid w:val="3F9F4625"/>
    <w:rsid w:val="3FA51AEF"/>
    <w:rsid w:val="3FAB3095"/>
    <w:rsid w:val="3FE45947"/>
    <w:rsid w:val="40D56885"/>
    <w:rsid w:val="41242965"/>
    <w:rsid w:val="4153527B"/>
    <w:rsid w:val="43035FA9"/>
    <w:rsid w:val="4326639F"/>
    <w:rsid w:val="435671EA"/>
    <w:rsid w:val="44016B29"/>
    <w:rsid w:val="440809E9"/>
    <w:rsid w:val="442407A6"/>
    <w:rsid w:val="446B39D1"/>
    <w:rsid w:val="44805EA1"/>
    <w:rsid w:val="45596896"/>
    <w:rsid w:val="45710696"/>
    <w:rsid w:val="45C62F59"/>
    <w:rsid w:val="45D24718"/>
    <w:rsid w:val="46142B1B"/>
    <w:rsid w:val="467C40B0"/>
    <w:rsid w:val="47E60DD0"/>
    <w:rsid w:val="483C26CE"/>
    <w:rsid w:val="48735039"/>
    <w:rsid w:val="49281BF3"/>
    <w:rsid w:val="492C684B"/>
    <w:rsid w:val="49500594"/>
    <w:rsid w:val="49D75671"/>
    <w:rsid w:val="49E7604E"/>
    <w:rsid w:val="4A0D33F4"/>
    <w:rsid w:val="4A4017A0"/>
    <w:rsid w:val="4A5D4DD2"/>
    <w:rsid w:val="4B8C723F"/>
    <w:rsid w:val="4BE26EF6"/>
    <w:rsid w:val="4BF67CDD"/>
    <w:rsid w:val="4CF156DA"/>
    <w:rsid w:val="4D173441"/>
    <w:rsid w:val="4D603DD6"/>
    <w:rsid w:val="4EBF010F"/>
    <w:rsid w:val="4F1100E8"/>
    <w:rsid w:val="4F471EB0"/>
    <w:rsid w:val="50F35914"/>
    <w:rsid w:val="51331326"/>
    <w:rsid w:val="51740A7F"/>
    <w:rsid w:val="51A5541E"/>
    <w:rsid w:val="51C96242"/>
    <w:rsid w:val="53906AE1"/>
    <w:rsid w:val="54F46F60"/>
    <w:rsid w:val="55816345"/>
    <w:rsid w:val="55A37BEA"/>
    <w:rsid w:val="56362CD2"/>
    <w:rsid w:val="5784687B"/>
    <w:rsid w:val="57846959"/>
    <w:rsid w:val="57875362"/>
    <w:rsid w:val="578E6A87"/>
    <w:rsid w:val="597F334B"/>
    <w:rsid w:val="5AA25D06"/>
    <w:rsid w:val="5AC2203A"/>
    <w:rsid w:val="5B759F86"/>
    <w:rsid w:val="5B925F49"/>
    <w:rsid w:val="5C950E23"/>
    <w:rsid w:val="5CBB3334"/>
    <w:rsid w:val="5D115FAF"/>
    <w:rsid w:val="5D4F60A9"/>
    <w:rsid w:val="5D7B671E"/>
    <w:rsid w:val="5F2D0450"/>
    <w:rsid w:val="60704056"/>
    <w:rsid w:val="61A42FB4"/>
    <w:rsid w:val="62811722"/>
    <w:rsid w:val="62B2414A"/>
    <w:rsid w:val="62E75A72"/>
    <w:rsid w:val="64571880"/>
    <w:rsid w:val="649125B6"/>
    <w:rsid w:val="64957D95"/>
    <w:rsid w:val="652F4C1A"/>
    <w:rsid w:val="66507267"/>
    <w:rsid w:val="666D37F1"/>
    <w:rsid w:val="67087D8F"/>
    <w:rsid w:val="671F687E"/>
    <w:rsid w:val="67CF1A87"/>
    <w:rsid w:val="67F415F8"/>
    <w:rsid w:val="67FDFCC8"/>
    <w:rsid w:val="682640D1"/>
    <w:rsid w:val="684B73E5"/>
    <w:rsid w:val="68C65161"/>
    <w:rsid w:val="6A047A2A"/>
    <w:rsid w:val="6B3B04E6"/>
    <w:rsid w:val="6BF51F0E"/>
    <w:rsid w:val="6C3A565B"/>
    <w:rsid w:val="6E012518"/>
    <w:rsid w:val="6E462116"/>
    <w:rsid w:val="6EFB7548"/>
    <w:rsid w:val="6F3831C3"/>
    <w:rsid w:val="6F8B71C1"/>
    <w:rsid w:val="701817AA"/>
    <w:rsid w:val="70753482"/>
    <w:rsid w:val="707B522A"/>
    <w:rsid w:val="70983142"/>
    <w:rsid w:val="72867212"/>
    <w:rsid w:val="73194D05"/>
    <w:rsid w:val="737E6145"/>
    <w:rsid w:val="73A83B0E"/>
    <w:rsid w:val="744D3EF9"/>
    <w:rsid w:val="74794411"/>
    <w:rsid w:val="75867C40"/>
    <w:rsid w:val="758F7174"/>
    <w:rsid w:val="75B10B26"/>
    <w:rsid w:val="763BCE42"/>
    <w:rsid w:val="76432199"/>
    <w:rsid w:val="764F66D6"/>
    <w:rsid w:val="76895011"/>
    <w:rsid w:val="76E747F2"/>
    <w:rsid w:val="76F44829"/>
    <w:rsid w:val="76FF2127"/>
    <w:rsid w:val="779568F9"/>
    <w:rsid w:val="77A267C0"/>
    <w:rsid w:val="77D109F1"/>
    <w:rsid w:val="77E702AF"/>
    <w:rsid w:val="77FF7FB5"/>
    <w:rsid w:val="78882278"/>
    <w:rsid w:val="78B118A6"/>
    <w:rsid w:val="79135044"/>
    <w:rsid w:val="797E5494"/>
    <w:rsid w:val="79951709"/>
    <w:rsid w:val="7A37F27C"/>
    <w:rsid w:val="7A7D0F99"/>
    <w:rsid w:val="7A95628A"/>
    <w:rsid w:val="7AC95575"/>
    <w:rsid w:val="7BE225CF"/>
    <w:rsid w:val="7D60A64B"/>
    <w:rsid w:val="7DCE7936"/>
    <w:rsid w:val="7DEFAFE7"/>
    <w:rsid w:val="7E4A0E7C"/>
    <w:rsid w:val="7EFD449D"/>
    <w:rsid w:val="7F3A6D6E"/>
    <w:rsid w:val="7F461035"/>
    <w:rsid w:val="ADFB1EE8"/>
    <w:rsid w:val="B2ED29F7"/>
    <w:rsid w:val="BBFE5786"/>
    <w:rsid w:val="D17F46AA"/>
    <w:rsid w:val="DC7B084C"/>
    <w:rsid w:val="DFFCF616"/>
    <w:rsid w:val="EB7B4E40"/>
    <w:rsid w:val="EF5F68AE"/>
    <w:rsid w:val="F037AA23"/>
    <w:rsid w:val="F76BDED9"/>
    <w:rsid w:val="FA53EEF8"/>
    <w:rsid w:val="FCDED562"/>
    <w:rsid w:val="FFFED6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next w:val="1"/>
    <w:qFormat/>
    <w:uiPriority w:val="0"/>
    <w:pPr>
      <w:spacing w:after="120" w:afterLines="0" w:afterAutospacing="0"/>
    </w:p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01"/>
    <w:qFormat/>
    <w:uiPriority w:val="0"/>
    <w:rPr>
      <w:rFonts w:hint="eastAsia" w:ascii="宋体" w:hAnsi="宋体" w:eastAsia="宋体" w:cs="宋体"/>
      <w:color w:val="000000"/>
      <w:sz w:val="22"/>
      <w:szCs w:val="22"/>
      <w:u w:val="none"/>
    </w:rPr>
  </w:style>
  <w:style w:type="character" w:customStyle="1" w:styleId="18">
    <w:name w:val="font21"/>
    <w:qFormat/>
    <w:uiPriority w:val="0"/>
    <w:rPr>
      <w:rFonts w:hint="eastAsia" w:ascii="宋体" w:hAnsi="宋体" w:eastAsia="宋体" w:cs="宋体"/>
      <w:color w:val="000000"/>
      <w:sz w:val="22"/>
      <w:szCs w:val="22"/>
      <w:u w:val="none"/>
    </w:rPr>
  </w:style>
  <w:style w:type="character" w:customStyle="1" w:styleId="19">
    <w:name w:val="font11"/>
    <w:qFormat/>
    <w:uiPriority w:val="0"/>
    <w:rPr>
      <w:rFonts w:hint="eastAsia" w:ascii="宋体" w:hAnsi="宋体" w:eastAsia="宋体" w:cs="宋体"/>
      <w:color w:val="000000"/>
      <w:sz w:val="20"/>
      <w:szCs w:val="20"/>
      <w:u w:val="none"/>
    </w:rPr>
  </w:style>
  <w:style w:type="paragraph" w:customStyle="1" w:styleId="2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8599</Words>
  <Characters>10359</Characters>
  <Lines>60</Lines>
  <Paragraphs>16</Paragraphs>
  <TotalTime>8</TotalTime>
  <ScaleCrop>false</ScaleCrop>
  <LinksUpToDate>false</LinksUpToDate>
  <CharactersWithSpaces>10587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载入中. . .</cp:lastModifiedBy>
  <cp:lastPrinted>2018-07-25T10:50:00Z</cp:lastPrinted>
  <dcterms:modified xsi:type="dcterms:W3CDTF">2023-09-13T09:02:38Z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A82380DF444D4A5E8F139BEE636ACE66_13</vt:lpwstr>
  </property>
</Properties>
</file>