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bookmarkStart w:id="0" w:name="_GoBack"/>
      <w:bookmarkEnd w:id="0"/>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lang w:val="en-US" w:eastAsia="zh-CN"/>
        </w:rPr>
      </w:pPr>
      <w:r>
        <w:rPr>
          <w:rFonts w:hint="eastAsia" w:ascii="黑体" w:hAnsi="黑体" w:eastAsia="黑体" w:cs="黑体"/>
          <w:sz w:val="52"/>
          <w:szCs w:val="52"/>
          <w:highlight w:val="none"/>
          <w:lang w:val="en-US" w:eastAsia="zh-CN"/>
        </w:rPr>
        <w:t>许昌市工业和信息化局(本级)</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jc w:val="center"/>
        <w:rPr>
          <w:rFonts w:ascii="黑体" w:hAnsi="黑体" w:eastAsia="黑体" w:cs="黑体"/>
          <w:sz w:val="36"/>
          <w:szCs w:val="36"/>
          <w:highlight w:val="none"/>
        </w:rPr>
      </w:pPr>
      <w:r>
        <w:rPr>
          <w:rFonts w:hint="eastAsia" w:ascii="黑体" w:hAnsi="黑体" w:eastAsia="黑体" w:cs="黑体"/>
          <w:sz w:val="36"/>
          <w:szCs w:val="36"/>
          <w:highlight w:val="none"/>
        </w:rPr>
        <w:t>目　　录</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第一部分　</w:t>
      </w:r>
      <w:r>
        <w:rPr>
          <w:rFonts w:hint="eastAsia" w:ascii="黑体" w:hAnsi="黑体" w:eastAsia="黑体" w:cs="黑体"/>
          <w:sz w:val="32"/>
          <w:szCs w:val="32"/>
          <w:highlight w:val="none"/>
          <w:lang w:val="en-US" w:eastAsia="zh-CN"/>
        </w:rPr>
        <w:t>许昌市工业和信息化局（本级）</w:t>
      </w:r>
      <w:r>
        <w:rPr>
          <w:rFonts w:hint="eastAsia" w:ascii="黑体" w:hAnsi="黑体" w:eastAsia="黑体" w:cs="黑体"/>
          <w:sz w:val="32"/>
          <w:szCs w:val="32"/>
          <w:highlight w:val="none"/>
        </w:rPr>
        <w:t>概况</w:t>
      </w:r>
    </w:p>
    <w:p>
      <w:pPr>
        <w:numPr>
          <w:ilvl w:val="0"/>
          <w:numId w:val="2"/>
        </w:numPr>
        <w:ind w:firstLine="640" w:firstLineChars="200"/>
        <w:jc w:val="left"/>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numPr>
          <w:ilvl w:val="0"/>
          <w:numId w:val="2"/>
        </w:numPr>
        <w:ind w:firstLine="640" w:firstLineChars="200"/>
        <w:jc w:val="left"/>
        <w:rPr>
          <w:rFonts w:ascii="宋体" w:hAnsi="宋体" w:cs="宋体"/>
          <w:sz w:val="32"/>
          <w:szCs w:val="32"/>
          <w:highlight w:val="none"/>
        </w:rPr>
      </w:pPr>
      <w:r>
        <w:rPr>
          <w:rFonts w:hint="eastAsia" w:ascii="宋体" w:hAnsi="宋体" w:cs="宋体"/>
          <w:sz w:val="32"/>
          <w:szCs w:val="32"/>
          <w:highlight w:val="none"/>
        </w:rPr>
        <w:t>机构设置</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二、收入决算表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三、支出决算表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四、财政拨款收入支出决算总表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ind w:firstLine="640" w:firstLineChars="200"/>
        <w:jc w:val="left"/>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ind w:firstLine="640" w:firstLineChars="200"/>
        <w:jc w:val="left"/>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ind w:firstLine="640" w:firstLineChars="200"/>
        <w:jc w:val="left"/>
        <w:rPr>
          <w:rFonts w:ascii="宋体" w:hAnsi="宋体" w:cs="宋体"/>
          <w:sz w:val="32"/>
          <w:szCs w:val="32"/>
          <w:highlight w:val="none"/>
        </w:rPr>
      </w:pPr>
      <w:r>
        <w:rPr>
          <w:rFonts w:hint="eastAsia" w:ascii="宋体" w:hAnsi="宋体" w:cs="宋体"/>
          <w:sz w:val="32"/>
          <w:szCs w:val="32"/>
          <w:highlight w:val="none"/>
        </w:rPr>
        <w:t>十一、国有资产占用情况说明</w:t>
      </w:r>
    </w:p>
    <w:p>
      <w:pPr>
        <w:ind w:firstLine="640" w:firstLineChars="200"/>
        <w:jc w:val="left"/>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both"/>
        <w:outlineLvl w:val="0"/>
        <w:rPr>
          <w:rFonts w:hint="eastAsia" w:ascii="黑体" w:hAnsi="黑体" w:eastAsia="黑体" w:cs="黑体"/>
          <w:sz w:val="48"/>
          <w:szCs w:val="48"/>
          <w:highlight w:val="none"/>
        </w:rPr>
      </w:pPr>
    </w:p>
    <w:p>
      <w:pPr>
        <w:widowControl/>
        <w:jc w:val="both"/>
        <w:outlineLvl w:val="0"/>
        <w:rPr>
          <w:rFonts w:hint="eastAsia" w:ascii="黑体" w:hAnsi="黑体" w:eastAsia="黑体" w:cs="黑体"/>
          <w:sz w:val="48"/>
          <w:szCs w:val="48"/>
          <w:highlight w:val="none"/>
        </w:rPr>
      </w:pPr>
    </w:p>
    <w:p>
      <w:pPr>
        <w:widowControl/>
        <w:jc w:val="both"/>
        <w:outlineLvl w:val="0"/>
        <w:rPr>
          <w:rFonts w:hint="eastAsia" w:ascii="黑体" w:hAnsi="黑体" w:eastAsia="黑体" w:cs="黑体"/>
          <w:sz w:val="48"/>
          <w:szCs w:val="48"/>
          <w:highlight w:val="none"/>
        </w:rPr>
      </w:pPr>
    </w:p>
    <w:p>
      <w:pPr>
        <w:widowControl/>
        <w:jc w:val="both"/>
        <w:outlineLvl w:val="0"/>
        <w:rPr>
          <w:rFonts w:hint="eastAsia" w:ascii="黑体" w:hAnsi="黑体" w:eastAsia="黑体" w:cs="黑体"/>
          <w:sz w:val="48"/>
          <w:szCs w:val="4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 xml:space="preserve">第一部分  </w:t>
      </w:r>
      <w:r>
        <w:rPr>
          <w:rFonts w:hint="eastAsia" w:ascii="黑体" w:hAnsi="黑体" w:eastAsia="黑体" w:cs="黑体"/>
          <w:sz w:val="48"/>
          <w:szCs w:val="48"/>
          <w:highlight w:val="none"/>
          <w:lang w:val="en-US" w:eastAsia="zh-CN"/>
        </w:rPr>
        <w:t>许昌市工业和信息化局             （本级）</w:t>
      </w:r>
      <w:r>
        <w:rPr>
          <w:rFonts w:hint="eastAsia" w:ascii="黑体" w:hAnsi="黑体" w:eastAsia="黑体" w:cs="黑体"/>
          <w:sz w:val="48"/>
          <w:szCs w:val="48"/>
          <w:highlight w:val="none"/>
        </w:rPr>
        <w:t>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widowControl/>
        <w:spacing w:line="360" w:lineRule="auto"/>
        <w:ind w:firstLine="640" w:firstLineChars="200"/>
        <w:jc w:val="left"/>
        <w:rPr>
          <w:rFonts w:ascii="仿宋" w:hAnsi="仿宋" w:eastAsia="仿宋" w:cs="Calibri"/>
          <w:kern w:val="0"/>
          <w:sz w:val="32"/>
          <w:szCs w:val="32"/>
        </w:rPr>
      </w:pPr>
      <w:r>
        <w:rPr>
          <w:rFonts w:hint="eastAsia" w:ascii="仿宋" w:hAnsi="仿宋" w:eastAsia="仿宋" w:cs="Calibri"/>
          <w:kern w:val="0"/>
          <w:sz w:val="32"/>
          <w:szCs w:val="32"/>
        </w:rPr>
        <w:t>（一）贯彻执行上级有关工业和信息化的法律、法规和方针政策和有关规范性文件，协调解决新型工业化进程中的重大问题，拟订并组织实施全市工业和信息化的发展规划以及推动传统产业技术改造相关办法，推进产业结构战略性调整和优化升级，推进信息化和工业化融合。</w:t>
      </w:r>
    </w:p>
    <w:p>
      <w:pPr>
        <w:widowControl/>
        <w:spacing w:line="360" w:lineRule="auto"/>
        <w:ind w:firstLine="640" w:firstLineChars="200"/>
        <w:jc w:val="left"/>
        <w:rPr>
          <w:rFonts w:ascii="仿宋" w:hAnsi="仿宋" w:eastAsia="仿宋" w:cs="Calibri"/>
          <w:kern w:val="0"/>
          <w:sz w:val="32"/>
          <w:szCs w:val="32"/>
        </w:rPr>
      </w:pPr>
      <w:r>
        <w:rPr>
          <w:rFonts w:hint="eastAsia" w:ascii="仿宋" w:hAnsi="仿宋" w:eastAsia="仿宋" w:cs="Calibri"/>
          <w:kern w:val="0"/>
          <w:sz w:val="32"/>
          <w:szCs w:val="32"/>
        </w:rPr>
        <w:t>（二）拟订并组织实施全市工业行业规划、计划和产业政策，提出优化产业布局和结构政策建议；引导和扶持工业和信息产业发展，起草相关规范性文件，拟订并组织实施行业技术规范和标准，指导行业质量管理工作。</w:t>
      </w:r>
    </w:p>
    <w:p>
      <w:pPr>
        <w:widowControl/>
        <w:spacing w:line="360" w:lineRule="auto"/>
        <w:ind w:firstLine="640" w:firstLineChars="200"/>
        <w:jc w:val="left"/>
        <w:rPr>
          <w:rFonts w:ascii="仿宋" w:hAnsi="仿宋" w:eastAsia="仿宋" w:cs="Calibri"/>
          <w:kern w:val="0"/>
          <w:sz w:val="32"/>
          <w:szCs w:val="32"/>
        </w:rPr>
      </w:pPr>
      <w:r>
        <w:rPr>
          <w:rFonts w:hint="eastAsia" w:ascii="仿宋" w:hAnsi="仿宋" w:eastAsia="仿宋" w:cs="Calibri"/>
          <w:kern w:val="0"/>
          <w:sz w:val="32"/>
          <w:szCs w:val="32"/>
        </w:rPr>
        <w:t>（三）监测分析全市工业运行态势，统计并发布相关信息，进行预测预警和信息引导，协调解决行业运行发展中的有关问题并提出意见建议；指导相关行业加强安全生产管理，负责工业行业领城安全生产应急管理、产业安全等相关工作。</w:t>
      </w:r>
    </w:p>
    <w:p>
      <w:pPr>
        <w:widowControl/>
        <w:spacing w:line="360" w:lineRule="auto"/>
        <w:ind w:firstLine="640" w:firstLineChars="200"/>
        <w:jc w:val="left"/>
        <w:rPr>
          <w:rFonts w:ascii="仿宋" w:hAnsi="仿宋" w:eastAsia="仿宋" w:cs="Calibri"/>
          <w:kern w:val="0"/>
          <w:sz w:val="32"/>
          <w:szCs w:val="32"/>
        </w:rPr>
      </w:pPr>
      <w:r>
        <w:rPr>
          <w:rFonts w:hint="eastAsia" w:ascii="仿宋" w:hAnsi="仿宋" w:eastAsia="仿宋" w:cs="Calibri"/>
          <w:kern w:val="0"/>
          <w:sz w:val="32"/>
          <w:szCs w:val="32"/>
        </w:rPr>
        <w:t>（四）拟订并组织实施全市制造业服务化、平台化发展中长期规划和年度计划，促进制造业和生产性服务业融合发展，推进产业融合、生产性服务业功能区和公共服务平台建设；促进供应链管理技术推广应用，协同推进现代物流业发展。</w:t>
      </w:r>
    </w:p>
    <w:p>
      <w:pPr>
        <w:widowControl/>
        <w:spacing w:line="360" w:lineRule="auto"/>
        <w:ind w:firstLine="640" w:firstLineChars="200"/>
        <w:jc w:val="left"/>
        <w:rPr>
          <w:rFonts w:ascii="仿宋" w:hAnsi="仿宋" w:eastAsia="仿宋" w:cs="Calibri"/>
          <w:kern w:val="0"/>
          <w:sz w:val="32"/>
          <w:szCs w:val="32"/>
        </w:rPr>
      </w:pPr>
      <w:r>
        <w:rPr>
          <w:rFonts w:hint="eastAsia" w:ascii="仿宋" w:hAnsi="仿宋" w:eastAsia="仿宋" w:cs="Calibri"/>
          <w:kern w:val="0"/>
          <w:sz w:val="32"/>
          <w:szCs w:val="32"/>
        </w:rPr>
        <w:t>（五）负责提出全市工业和信息化固定资产投资规模和方向（含利用外资和境外投资），国家、省对口部门和本市用于工业和产业信息化财政性建设资金安排的意见，按照市政府规定权限审批、核准省市规划内以及年度计划规模内固定资产投资项目。</w:t>
      </w:r>
    </w:p>
    <w:p>
      <w:pPr>
        <w:widowControl/>
        <w:spacing w:line="360" w:lineRule="auto"/>
        <w:ind w:firstLine="640" w:firstLineChars="200"/>
        <w:jc w:val="left"/>
        <w:rPr>
          <w:rFonts w:ascii="仿宋" w:hAnsi="仿宋" w:eastAsia="仿宋" w:cs="Calibri"/>
          <w:kern w:val="0"/>
          <w:sz w:val="32"/>
          <w:szCs w:val="32"/>
        </w:rPr>
      </w:pPr>
      <w:r>
        <w:rPr>
          <w:rFonts w:hint="eastAsia" w:ascii="仿宋" w:hAnsi="仿宋" w:eastAsia="仿宋" w:cs="Calibri"/>
          <w:kern w:val="0"/>
          <w:sz w:val="32"/>
          <w:szCs w:val="32"/>
        </w:rPr>
        <w:t>（六）组织实施国家高技术产业中涉及生物医药、新材料、航空航天、信息产业等的规划、政策和标准，指导行业技木创新和技术进步，以先进适用技术改造提升传统产业，组织实施国家、省、市有关科技重大专项，推进相关科研成果产业化，推动全市软件业、信息服务业和新兴产业发展。</w:t>
      </w:r>
    </w:p>
    <w:p>
      <w:pPr>
        <w:widowControl/>
        <w:spacing w:line="360" w:lineRule="auto"/>
        <w:ind w:firstLine="640" w:firstLineChars="200"/>
        <w:jc w:val="left"/>
        <w:rPr>
          <w:rFonts w:ascii="仿宋" w:hAnsi="仿宋" w:eastAsia="仿宋" w:cs="Calibri"/>
          <w:kern w:val="0"/>
          <w:sz w:val="32"/>
          <w:szCs w:val="32"/>
        </w:rPr>
      </w:pPr>
      <w:r>
        <w:rPr>
          <w:rFonts w:hint="eastAsia" w:ascii="仿宋" w:hAnsi="仿宋" w:eastAsia="仿宋" w:cs="Calibri"/>
          <w:kern w:val="0"/>
          <w:sz w:val="32"/>
          <w:szCs w:val="32"/>
        </w:rPr>
        <w:t>（七）拟订并组织实施全市工业和信息化的能源节约和资源综合利用、循环经济、绿色化制造，促进政策，参与拟订能源节约和资源综合利用、循环经济、绿色化改造促进规划、政策，组织协调相关重大示范工程建设和新产品、新技术、新设各、新材料推广应用。</w:t>
      </w:r>
    </w:p>
    <w:p>
      <w:pPr>
        <w:widowControl/>
        <w:spacing w:line="360" w:lineRule="auto"/>
        <w:ind w:firstLine="640" w:firstLineChars="200"/>
        <w:jc w:val="left"/>
        <w:rPr>
          <w:rFonts w:ascii="仿宋" w:hAnsi="仿宋" w:eastAsia="仿宋" w:cs="Calibri"/>
          <w:kern w:val="0"/>
          <w:sz w:val="32"/>
          <w:szCs w:val="32"/>
        </w:rPr>
      </w:pPr>
      <w:r>
        <w:rPr>
          <w:rFonts w:hint="eastAsia" w:ascii="仿宋" w:hAnsi="仿宋" w:eastAsia="仿宋" w:cs="Calibri"/>
          <w:kern w:val="0"/>
          <w:sz w:val="32"/>
          <w:szCs w:val="32"/>
        </w:rPr>
        <w:t>（八）负责全市振兴装备制造业的组织协调工作，组织拟订重大技术装备发展和自主创新的规划、政策，依托重点工程建设协调有关重大专项的实施，推进重大技术装备国产化，指导引进重大技术装备的消化创新。</w:t>
      </w:r>
    </w:p>
    <w:p>
      <w:pPr>
        <w:widowControl/>
        <w:spacing w:line="360" w:lineRule="auto"/>
        <w:ind w:firstLine="640" w:firstLineChars="200"/>
        <w:jc w:val="left"/>
        <w:rPr>
          <w:rFonts w:ascii="仿宋" w:hAnsi="仿宋" w:eastAsia="仿宋" w:cs="Calibri"/>
          <w:kern w:val="0"/>
          <w:sz w:val="32"/>
          <w:szCs w:val="32"/>
        </w:rPr>
      </w:pPr>
      <w:r>
        <w:rPr>
          <w:rFonts w:hint="eastAsia" w:ascii="仿宋" w:hAnsi="仿宋" w:eastAsia="仿宋" w:cs="Calibri"/>
          <w:kern w:val="0"/>
          <w:sz w:val="32"/>
          <w:szCs w:val="32"/>
        </w:rPr>
        <w:t>（九）负责全市中小企业、民营经济发展的宏观指导，拟订并组织实施中小企业发展中长期规划；负责推动建立完善中小企业服务体系</w:t>
      </w:r>
      <w:r>
        <w:rPr>
          <w:rFonts w:hint="eastAsia" w:ascii="仿宋" w:hAnsi="仿宋" w:eastAsia="仿宋" w:cs="MS Mincho"/>
          <w:kern w:val="0"/>
          <w:sz w:val="32"/>
          <w:szCs w:val="32"/>
        </w:rPr>
        <w:t>，</w:t>
      </w:r>
      <w:r>
        <w:rPr>
          <w:rFonts w:hint="eastAsia" w:ascii="仿宋" w:hAnsi="仿宋" w:eastAsia="仿宋" w:cs="Calibri"/>
          <w:kern w:val="0"/>
          <w:sz w:val="32"/>
          <w:szCs w:val="32"/>
        </w:rPr>
        <w:t>协调解决重大问题；会同有关部门拟订促进中小企业发展和非公有经济发展的相关政策、措施并监督检查执行情况。</w:t>
      </w:r>
    </w:p>
    <w:p>
      <w:pPr>
        <w:widowControl/>
        <w:spacing w:line="360" w:lineRule="auto"/>
        <w:ind w:firstLine="640" w:firstLineChars="200"/>
        <w:jc w:val="left"/>
        <w:rPr>
          <w:rFonts w:ascii="仿宋" w:hAnsi="仿宋" w:eastAsia="仿宋" w:cs="Calibri"/>
          <w:kern w:val="0"/>
          <w:sz w:val="32"/>
          <w:szCs w:val="32"/>
        </w:rPr>
      </w:pPr>
      <w:r>
        <w:rPr>
          <w:rFonts w:hint="eastAsia" w:ascii="仿宋" w:hAnsi="仿宋" w:eastAsia="仿宋" w:cs="Calibri"/>
          <w:kern w:val="0"/>
          <w:sz w:val="32"/>
          <w:szCs w:val="32"/>
        </w:rPr>
        <w:t>（十）统筹推进全市信息化工作，组织拟订相关规范性文件并协调信息化建设中的重大问题；促进电信、广播电视和计算机网络融合，指导协调工业电子商务平台建设，推动跨行业等互联互通和重要信息资源的开发利用共享；推进物联网、云计算、大数据等基于信息技术的新兴业态发展。</w:t>
      </w:r>
    </w:p>
    <w:p>
      <w:pPr>
        <w:widowControl/>
        <w:spacing w:line="360" w:lineRule="auto"/>
        <w:ind w:firstLine="640" w:firstLineChars="200"/>
        <w:jc w:val="left"/>
        <w:rPr>
          <w:rFonts w:ascii="仿宋" w:hAnsi="仿宋" w:eastAsia="仿宋" w:cs="Calibri"/>
          <w:kern w:val="0"/>
          <w:sz w:val="32"/>
          <w:szCs w:val="32"/>
        </w:rPr>
      </w:pPr>
      <w:r>
        <w:rPr>
          <w:rFonts w:hint="eastAsia" w:ascii="仿宋" w:hAnsi="仿宋" w:eastAsia="仿宋" w:cs="Calibri"/>
          <w:kern w:val="0"/>
          <w:sz w:val="32"/>
          <w:szCs w:val="32"/>
        </w:rPr>
        <w:t>（十一）承担相关信息安全管理责任；负责协调维护全市网络安全和网络安全保障体系建设，指导监督重点行业的关键信息基础设施和基础网络的相关安全保障工作；承担信息安全应急协调工作，协调处理重大事件。</w:t>
      </w:r>
    </w:p>
    <w:p>
      <w:pPr>
        <w:widowControl/>
        <w:spacing w:line="360" w:lineRule="auto"/>
        <w:ind w:firstLine="640" w:firstLineChars="200"/>
        <w:jc w:val="left"/>
        <w:rPr>
          <w:rFonts w:ascii="仿宋" w:hAnsi="仿宋" w:eastAsia="仿宋" w:cs="Calibri"/>
          <w:kern w:val="0"/>
          <w:sz w:val="32"/>
          <w:szCs w:val="32"/>
        </w:rPr>
      </w:pPr>
      <w:r>
        <w:rPr>
          <w:rFonts w:hint="eastAsia" w:ascii="仿宋" w:hAnsi="仿宋" w:eastAsia="仿宋" w:cs="Calibri"/>
          <w:kern w:val="0"/>
          <w:sz w:val="32"/>
          <w:szCs w:val="32"/>
        </w:rPr>
        <w:t>（十二）负责全市工业和信息化领域对外交流合作事务，研究拟订支持意见措施；指导各地开展相关产业交流合作工作，督促交流合作签约项目落实情况；拟订并组织实施全市制造业对外合作年度行动计划，编制发布我市工业和信息化领域产业合作指南；研究协调产业转移示范区发展中的重大问题，提出意见建议。</w:t>
      </w:r>
    </w:p>
    <w:p>
      <w:pPr>
        <w:widowControl/>
        <w:spacing w:line="360" w:lineRule="auto"/>
        <w:ind w:firstLine="640" w:firstLineChars="200"/>
        <w:jc w:val="left"/>
        <w:rPr>
          <w:rFonts w:ascii="仿宋" w:hAnsi="仿宋" w:eastAsia="仿宋" w:cs="Calibri"/>
          <w:kern w:val="0"/>
          <w:sz w:val="32"/>
          <w:szCs w:val="32"/>
        </w:rPr>
      </w:pPr>
      <w:r>
        <w:rPr>
          <w:rFonts w:hint="eastAsia" w:ascii="仿宋" w:hAnsi="仿宋" w:eastAsia="仿宋" w:cs="Calibri"/>
          <w:kern w:val="0"/>
          <w:sz w:val="32"/>
          <w:szCs w:val="32"/>
        </w:rPr>
        <w:t>（十三）承担企业改革和信访稳定工作。</w:t>
      </w:r>
    </w:p>
    <w:p>
      <w:pPr>
        <w:keepNext w:val="0"/>
        <w:keepLines w:val="0"/>
        <w:pageBreakBefore w:val="0"/>
        <w:numPr>
          <w:ilvl w:val="0"/>
          <w:numId w:val="0"/>
        </w:numPr>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 w:hAnsi="仿宋" w:eastAsia="仿宋" w:cs="Calibri"/>
          <w:kern w:val="0"/>
          <w:sz w:val="32"/>
          <w:szCs w:val="32"/>
        </w:rPr>
        <w:t>（十四）完成市委、市政府交办的其他任务。</w:t>
      </w:r>
    </w:p>
    <w:p>
      <w:pPr>
        <w:widowControl/>
        <w:ind w:firstLine="640" w:firstLineChars="200"/>
        <w:jc w:val="left"/>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widowControl/>
        <w:spacing w:line="360" w:lineRule="auto"/>
        <w:ind w:firstLine="640" w:firstLineChars="200"/>
        <w:jc w:val="left"/>
        <w:rPr>
          <w:rFonts w:hint="eastAsia" w:ascii="仿宋" w:hAnsi="仿宋" w:eastAsia="仿宋" w:cs="Calibri"/>
          <w:kern w:val="0"/>
          <w:sz w:val="32"/>
          <w:szCs w:val="32"/>
          <w:lang w:val="en-US" w:eastAsia="zh-CN"/>
        </w:rPr>
      </w:pPr>
      <w:r>
        <w:rPr>
          <w:rFonts w:hint="eastAsia" w:ascii="仿宋" w:hAnsi="仿宋" w:eastAsia="仿宋" w:cs="Calibri"/>
          <w:kern w:val="0"/>
          <w:sz w:val="32"/>
          <w:szCs w:val="32"/>
          <w:lang w:eastAsia="zh-CN"/>
        </w:rPr>
        <w:t>许昌市工业和信息化局（本级）</w:t>
      </w:r>
      <w:r>
        <w:rPr>
          <w:rFonts w:hint="eastAsia" w:ascii="仿宋" w:hAnsi="仿宋" w:eastAsia="仿宋" w:cs="Calibri"/>
          <w:kern w:val="0"/>
          <w:sz w:val="32"/>
          <w:szCs w:val="32"/>
          <w:lang w:val="en-US" w:eastAsia="zh-CN"/>
        </w:rPr>
        <w:t>内设机构18个</w:t>
      </w:r>
      <w:r>
        <w:rPr>
          <w:rFonts w:hint="eastAsia" w:ascii="仿宋" w:hAnsi="仿宋" w:eastAsia="仿宋" w:cs="Calibri"/>
          <w:kern w:val="0"/>
          <w:sz w:val="32"/>
          <w:szCs w:val="32"/>
          <w:lang w:eastAsia="zh-CN"/>
        </w:rPr>
        <w:t>，</w:t>
      </w:r>
      <w:r>
        <w:rPr>
          <w:rFonts w:hint="eastAsia" w:ascii="仿宋" w:hAnsi="仿宋" w:eastAsia="仿宋" w:cs="Calibri"/>
          <w:kern w:val="0"/>
          <w:sz w:val="32"/>
          <w:szCs w:val="32"/>
          <w:lang w:val="en-US" w:eastAsia="zh-CN"/>
        </w:rPr>
        <w:t>包括：</w:t>
      </w:r>
      <w:r>
        <w:rPr>
          <w:rFonts w:hint="eastAsia" w:ascii="仿宋" w:hAnsi="仿宋" w:eastAsia="仿宋" w:cs="Calibri"/>
          <w:kern w:val="0"/>
          <w:sz w:val="32"/>
          <w:szCs w:val="32"/>
          <w:lang w:eastAsia="zh-CN"/>
        </w:rPr>
        <w:t>办公室、市委军民融合发展委员会办公室秘书科、政策研究和法规科、规划和产业政策科、产业融合办公室、科技和电子信息科、运行监测协调办公室、中小企业服务办公室、安全生产科、材料工业与节能利用科、装备工业科、消费品工业科、工业信息化工作办公室、对外交流合作科、企业改革和信访科、人事教育科、机关党委、离退休干部工作科。</w:t>
      </w:r>
    </w:p>
    <w:p>
      <w:pPr>
        <w:widowControl/>
        <w:spacing w:line="360" w:lineRule="auto"/>
        <w:ind w:firstLine="640" w:firstLineChars="200"/>
        <w:jc w:val="left"/>
        <w:rPr>
          <w:rFonts w:hint="eastAsia" w:ascii="仿宋" w:hAnsi="仿宋" w:eastAsia="仿宋" w:cs="Calibri"/>
          <w:kern w:val="0"/>
          <w:sz w:val="32"/>
          <w:szCs w:val="32"/>
        </w:rPr>
      </w:pPr>
      <w:r>
        <w:rPr>
          <w:rFonts w:hint="eastAsia" w:ascii="仿宋" w:hAnsi="仿宋" w:eastAsia="仿宋" w:cs="Calibri"/>
          <w:kern w:val="0"/>
          <w:sz w:val="32"/>
          <w:szCs w:val="32"/>
        </w:rPr>
        <w:t>从决算单位构成看，</w:t>
      </w:r>
      <w:r>
        <w:rPr>
          <w:rFonts w:hint="eastAsia" w:ascii="仿宋" w:hAnsi="仿宋" w:eastAsia="仿宋" w:cs="Calibri"/>
          <w:kern w:val="0"/>
          <w:sz w:val="32"/>
          <w:szCs w:val="32"/>
          <w:lang w:eastAsia="zh-CN"/>
        </w:rPr>
        <w:t>许昌市工业和信息化局（本级）单位</w:t>
      </w:r>
      <w:r>
        <w:rPr>
          <w:rFonts w:hint="eastAsia" w:ascii="仿宋" w:hAnsi="仿宋" w:eastAsia="仿宋" w:cs="Calibri"/>
          <w:kern w:val="0"/>
          <w:sz w:val="32"/>
          <w:szCs w:val="32"/>
        </w:rPr>
        <w:t>决算包括：本级决算</w:t>
      </w:r>
      <w:r>
        <w:rPr>
          <w:rFonts w:hint="eastAsia" w:ascii="仿宋" w:hAnsi="仿宋" w:eastAsia="仿宋" w:cs="Calibri"/>
          <w:kern w:val="0"/>
          <w:sz w:val="32"/>
          <w:szCs w:val="32"/>
          <w:lang w:eastAsia="zh-CN"/>
        </w:rPr>
        <w:t>（</w:t>
      </w:r>
      <w:r>
        <w:rPr>
          <w:rFonts w:hint="eastAsia" w:ascii="仿宋" w:hAnsi="仿宋" w:eastAsia="仿宋" w:cs="Calibri"/>
          <w:kern w:val="0"/>
          <w:sz w:val="32"/>
          <w:szCs w:val="32"/>
          <w:lang w:val="en-US" w:eastAsia="zh-CN"/>
        </w:rPr>
        <w:t>1个）</w:t>
      </w:r>
      <w:r>
        <w:rPr>
          <w:rFonts w:hint="eastAsia" w:ascii="仿宋" w:hAnsi="仿宋" w:eastAsia="仿宋" w:cs="Calibri"/>
          <w:kern w:val="0"/>
          <w:sz w:val="32"/>
          <w:szCs w:val="32"/>
        </w:rPr>
        <w:t>。</w:t>
      </w:r>
    </w:p>
    <w:p>
      <w:pPr>
        <w:widowControl/>
        <w:spacing w:line="360" w:lineRule="auto"/>
        <w:ind w:firstLine="640" w:firstLineChars="200"/>
        <w:jc w:val="left"/>
        <w:rPr>
          <w:rFonts w:hint="eastAsia" w:ascii="仿宋" w:hAnsi="仿宋" w:eastAsia="仿宋" w:cs="Calibri"/>
          <w:kern w:val="0"/>
          <w:sz w:val="32"/>
          <w:szCs w:val="32"/>
          <w:lang w:val="en-US" w:eastAsia="zh-CN"/>
        </w:rPr>
      </w:pPr>
      <w:r>
        <w:rPr>
          <w:rFonts w:hint="eastAsia" w:ascii="仿宋" w:hAnsi="仿宋" w:eastAsia="仿宋" w:cs="Calibri"/>
          <w:kern w:val="0"/>
          <w:sz w:val="32"/>
          <w:szCs w:val="32"/>
          <w:lang w:val="en-US" w:eastAsia="zh-CN"/>
        </w:rPr>
        <w:t>纳入本单位2021年度单位决算编制范围的单位共1个，具体是：</w:t>
      </w:r>
    </w:p>
    <w:p>
      <w:pPr>
        <w:widowControl/>
        <w:spacing w:line="360" w:lineRule="auto"/>
        <w:ind w:firstLine="640" w:firstLineChars="200"/>
        <w:jc w:val="left"/>
        <w:rPr>
          <w:rFonts w:hint="eastAsia" w:ascii="仿宋" w:hAnsi="仿宋" w:eastAsia="仿宋" w:cs="Calibri"/>
          <w:kern w:val="0"/>
          <w:sz w:val="32"/>
          <w:szCs w:val="32"/>
          <w:lang w:val="en-US" w:eastAsia="zh-CN"/>
        </w:rPr>
      </w:pPr>
      <w:r>
        <w:rPr>
          <w:rFonts w:hint="eastAsia" w:ascii="仿宋" w:hAnsi="仿宋" w:eastAsia="仿宋" w:cs="Calibri"/>
          <w:kern w:val="0"/>
          <w:sz w:val="32"/>
          <w:szCs w:val="32"/>
          <w:lang w:val="en-US" w:eastAsia="zh-CN"/>
        </w:rPr>
        <w:t>1.</w:t>
      </w:r>
      <w:r>
        <w:rPr>
          <w:rFonts w:hint="eastAsia" w:ascii="仿宋" w:hAnsi="仿宋" w:eastAsia="仿宋" w:cs="Calibri"/>
          <w:kern w:val="0"/>
          <w:sz w:val="32"/>
          <w:szCs w:val="32"/>
          <w:lang w:eastAsia="zh-CN"/>
        </w:rPr>
        <w:t>许昌市工业和信息化局</w:t>
      </w:r>
      <w:r>
        <w:rPr>
          <w:rFonts w:hint="eastAsia" w:ascii="仿宋" w:hAnsi="仿宋" w:eastAsia="仿宋" w:cs="Calibri"/>
          <w:kern w:val="0"/>
          <w:sz w:val="32"/>
          <w:szCs w:val="32"/>
          <w:lang w:val="en-US" w:eastAsia="zh-CN"/>
        </w:rPr>
        <w:t>(</w:t>
      </w:r>
      <w:r>
        <w:rPr>
          <w:rFonts w:hint="eastAsia" w:ascii="仿宋" w:hAnsi="仿宋" w:eastAsia="仿宋" w:cs="Calibri"/>
          <w:kern w:val="0"/>
          <w:sz w:val="32"/>
          <w:szCs w:val="32"/>
        </w:rPr>
        <w:t>本级</w:t>
      </w:r>
      <w:r>
        <w:rPr>
          <w:rFonts w:hint="eastAsia" w:ascii="仿宋" w:hAnsi="仿宋" w:eastAsia="仿宋" w:cs="Calibri"/>
          <w:kern w:val="0"/>
          <w:sz w:val="32"/>
          <w:szCs w:val="32"/>
          <w:lang w:val="en-US" w:eastAsia="zh-CN"/>
        </w:rPr>
        <w:t>)</w:t>
      </w:r>
    </w:p>
    <w:p>
      <w:pPr>
        <w:widowControl/>
        <w:spacing w:line="360" w:lineRule="auto"/>
        <w:ind w:firstLine="640" w:firstLineChars="200"/>
        <w:jc w:val="left"/>
        <w:rPr>
          <w:rFonts w:hint="eastAsia" w:ascii="仿宋" w:hAnsi="仿宋" w:eastAsia="仿宋" w:cs="Calibri"/>
          <w:kern w:val="0"/>
          <w:sz w:val="32"/>
          <w:szCs w:val="32"/>
        </w:rPr>
      </w:pPr>
    </w:p>
    <w:p>
      <w:pPr>
        <w:widowControl/>
        <w:spacing w:line="360" w:lineRule="auto"/>
        <w:ind w:firstLine="640" w:firstLineChars="200"/>
        <w:jc w:val="left"/>
        <w:rPr>
          <w:rFonts w:hint="eastAsia" w:ascii="仿宋" w:hAnsi="仿宋" w:eastAsia="仿宋" w:cs="Calibri"/>
          <w:kern w:val="0"/>
          <w:sz w:val="32"/>
          <w:szCs w:val="32"/>
        </w:rPr>
        <w:sectPr>
          <w:footerReference r:id="rId3" w:type="default"/>
          <w:footerReference r:id="rId4" w:type="even"/>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ind w:left="2878" w:leftChars="456" w:hanging="1920" w:hangingChars="400"/>
        <w:jc w:val="both"/>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1"/>
        <w:tblW w:w="0" w:type="auto"/>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trHeight w:val="629" w:hRule="atLeast"/>
        </w:trPr>
        <w:tc>
          <w:tcPr>
            <w:tcW w:w="13988"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收入支出决算总表</w:t>
            </w:r>
          </w:p>
        </w:tc>
      </w:tr>
      <w:tr>
        <w:tblPrEx>
          <w:tblCellMar>
            <w:top w:w="0" w:type="dxa"/>
            <w:left w:w="0" w:type="dxa"/>
            <w:bottom w:w="0" w:type="dxa"/>
            <w:right w:w="0" w:type="dxa"/>
          </w:tblCellMar>
        </w:tblPrEx>
        <w:trPr>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公开01表</w:t>
            </w:r>
          </w:p>
        </w:tc>
      </w:tr>
      <w:tr>
        <w:tblPrEx>
          <w:tblCellMar>
            <w:top w:w="0" w:type="dxa"/>
            <w:left w:w="0" w:type="dxa"/>
            <w:bottom w:w="0" w:type="dxa"/>
            <w:right w:w="0" w:type="dxa"/>
          </w:tblCellMar>
        </w:tblPrEx>
        <w:trPr>
          <w:trHeight w:val="300" w:hRule="atLeast"/>
        </w:trPr>
        <w:tc>
          <w:tcPr>
            <w:tcW w:w="4279" w:type="dxa"/>
            <w:tcBorders>
              <w:top w:val="nil"/>
              <w:left w:val="nil"/>
              <w:bottom w:val="single" w:color="000000" w:sz="8" w:space="0"/>
              <w:right w:val="nil"/>
            </w:tcBorders>
            <w:shd w:val="clear" w:color="auto" w:fill="FFFFFF"/>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color w:val="000000"/>
                <w:sz w:val="20"/>
                <w:szCs w:val="20"/>
                <w:highlight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：许昌市工业和信息化局</w:t>
            </w:r>
            <w:r>
              <w:rPr>
                <w:rFonts w:hint="eastAsia" w:ascii="宋体" w:hAnsi="宋体" w:cs="宋体"/>
                <w:color w:val="000000"/>
                <w:kern w:val="0"/>
                <w:sz w:val="20"/>
                <w:szCs w:val="20"/>
                <w:highlight w:val="none"/>
                <w:lang w:eastAsia="zh-CN" w:bidi="ar"/>
              </w:rPr>
              <w:t>（本级）</w:t>
            </w:r>
          </w:p>
        </w:tc>
        <w:tc>
          <w:tcPr>
            <w:tcW w:w="825" w:type="dxa"/>
            <w:tcBorders>
              <w:top w:val="nil"/>
              <w:left w:val="nil"/>
              <w:bottom w:val="single" w:color="000000" w:sz="8" w:space="0"/>
              <w:right w:val="nil"/>
            </w:tcBorders>
            <w:shd w:val="clear" w:color="auto" w:fill="FFFFFF"/>
            <w:noWrap/>
            <w:tcMar>
              <w:top w:w="15" w:type="dxa"/>
              <w:left w:w="15" w:type="dxa"/>
              <w:right w:w="15" w:type="dxa"/>
            </w:tcMar>
            <w:vAlign w:val="bottom"/>
          </w:tcPr>
          <w:p>
            <w:pPr>
              <w:rPr>
                <w:rFonts w:hint="eastAsia" w:ascii="宋体" w:hAnsi="宋体" w:cs="宋体"/>
                <w:color w:val="000000"/>
                <w:sz w:val="20"/>
                <w:szCs w:val="20"/>
                <w:highlight w:val="none"/>
              </w:rPr>
            </w:pPr>
          </w:p>
        </w:tc>
        <w:tc>
          <w:tcPr>
            <w:tcW w:w="1764" w:type="dxa"/>
            <w:tcBorders>
              <w:top w:val="nil"/>
              <w:left w:val="nil"/>
              <w:bottom w:val="single" w:color="000000" w:sz="8" w:space="0"/>
              <w:right w:val="nil"/>
            </w:tcBorders>
            <w:shd w:val="clear" w:color="auto" w:fill="FFFFFF"/>
            <w:noWrap/>
            <w:tcMar>
              <w:top w:w="15" w:type="dxa"/>
              <w:left w:w="15" w:type="dxa"/>
              <w:right w:w="15" w:type="dxa"/>
            </w:tcMar>
            <w:vAlign w:val="bottom"/>
          </w:tcPr>
          <w:p>
            <w:pPr>
              <w:rPr>
                <w:rFonts w:hint="eastAsia" w:ascii="宋体" w:hAnsi="宋体" w:cs="宋体"/>
                <w:color w:val="000000"/>
                <w:sz w:val="20"/>
                <w:szCs w:val="20"/>
                <w:highlight w:val="none"/>
              </w:rPr>
            </w:pPr>
          </w:p>
        </w:tc>
        <w:tc>
          <w:tcPr>
            <w:tcW w:w="4671" w:type="dxa"/>
            <w:tcBorders>
              <w:top w:val="nil"/>
              <w:left w:val="nil"/>
              <w:bottom w:val="single" w:color="000000" w:sz="8" w:space="0"/>
              <w:right w:val="nil"/>
            </w:tcBorders>
            <w:shd w:val="clear" w:color="auto" w:fill="FFFFFF"/>
            <w:noWrap/>
            <w:tcMar>
              <w:top w:w="15" w:type="dxa"/>
              <w:left w:w="15" w:type="dxa"/>
              <w:right w:w="15" w:type="dxa"/>
            </w:tcMar>
            <w:vAlign w:val="bottom"/>
          </w:tcPr>
          <w:p>
            <w:pPr>
              <w:rPr>
                <w:rFonts w:hint="eastAsia" w:ascii="宋体" w:hAnsi="宋体" w:cs="宋体"/>
                <w:color w:val="000000"/>
                <w:sz w:val="20"/>
                <w:szCs w:val="20"/>
                <w:highlight w:val="none"/>
              </w:rPr>
            </w:pPr>
          </w:p>
        </w:tc>
        <w:tc>
          <w:tcPr>
            <w:tcW w:w="750" w:type="dxa"/>
            <w:tcBorders>
              <w:top w:val="nil"/>
              <w:left w:val="nil"/>
              <w:bottom w:val="single" w:color="000000" w:sz="8" w:space="0"/>
              <w:right w:val="nil"/>
            </w:tcBorders>
            <w:shd w:val="clear" w:color="auto" w:fill="FFFFFF"/>
            <w:noWrap/>
            <w:tcMar>
              <w:top w:w="15" w:type="dxa"/>
              <w:left w:w="15" w:type="dxa"/>
              <w:right w:w="15" w:type="dxa"/>
            </w:tcMar>
            <w:vAlign w:val="bottom"/>
          </w:tcPr>
          <w:p>
            <w:pPr>
              <w:rPr>
                <w:rFonts w:hint="eastAsia" w:ascii="宋体" w:hAnsi="宋体" w:cs="宋体"/>
                <w:color w:val="000000"/>
                <w:sz w:val="20"/>
                <w:szCs w:val="20"/>
                <w:highlight w:val="none"/>
              </w:rPr>
            </w:pPr>
          </w:p>
        </w:tc>
        <w:tc>
          <w:tcPr>
            <w:tcW w:w="1699" w:type="dxa"/>
            <w:tcBorders>
              <w:top w:val="nil"/>
              <w:left w:val="nil"/>
              <w:bottom w:val="single" w:color="000000" w:sz="8" w:space="0"/>
              <w:right w:val="nil"/>
            </w:tcBorders>
            <w:shd w:val="clear" w:color="auto" w:fill="FFFFFF"/>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554"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收入</w:t>
            </w:r>
          </w:p>
        </w:tc>
        <w:tc>
          <w:tcPr>
            <w:tcW w:w="7120" w:type="dxa"/>
            <w:gridSpan w:val="3"/>
            <w:tcBorders>
              <w:top w:val="single" w:color="000000" w:sz="8"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54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项目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金额</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项目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497"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栏次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栏次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0" w:type="dxa"/>
            <w:bottom w:w="0" w:type="dxa"/>
            <w:right w:w="0" w:type="dxa"/>
          </w:tblCellMar>
        </w:tblPrEx>
        <w:trPr>
          <w:trHeight w:val="41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8,124.83</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32</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4.91</w:t>
            </w:r>
          </w:p>
        </w:tc>
      </w:tr>
      <w:tr>
        <w:tblPrEx>
          <w:tblCellMar>
            <w:top w:w="0" w:type="dxa"/>
            <w:left w:w="0" w:type="dxa"/>
            <w:bottom w:w="0" w:type="dxa"/>
            <w:right w:w="0" w:type="dxa"/>
          </w:tblCellMar>
        </w:tblPrEx>
        <w:trPr>
          <w:trHeight w:val="38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33</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6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34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7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2"/>
                <w:szCs w:val="22"/>
                <w:u w:val="none"/>
                <w:lang w:val="en-US" w:eastAsia="zh-CN" w:bidi="ar"/>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2"/>
                <w:szCs w:val="22"/>
                <w:u w:val="none"/>
                <w:lang w:val="en-US" w:eastAsia="zh-CN"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2"/>
                <w:szCs w:val="22"/>
                <w:u w:val="none"/>
                <w:lang w:val="en-US" w:eastAsia="zh-CN"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2"/>
                <w:szCs w:val="22"/>
                <w:u w:val="none"/>
                <w:lang w:val="en-US" w:eastAsia="zh-CN" w:bidi="ar"/>
              </w:rPr>
              <w:t>35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9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36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1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2"/>
                <w:szCs w:val="22"/>
                <w:u w:val="none"/>
                <w:lang w:val="en-US" w:eastAsia="zh-CN" w:bidi="ar"/>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2"/>
                <w:szCs w:val="22"/>
                <w:u w:val="none"/>
                <w:lang w:val="en-US" w:eastAsia="zh-CN"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kern w:val="0"/>
                <w:sz w:val="20"/>
                <w:szCs w:val="20"/>
                <w:highlight w:val="none"/>
                <w:lang w:bidi="ar"/>
              </w:rPr>
            </w:pPr>
            <w:r>
              <w:rPr>
                <w:rFonts w:hint="eastAsia" w:ascii="宋体" w:hAnsi="宋体" w:eastAsia="宋体" w:cs="宋体"/>
                <w:i w:val="0"/>
                <w:iCs w:val="0"/>
                <w:color w:val="000000"/>
                <w:kern w:val="0"/>
                <w:sz w:val="22"/>
                <w:szCs w:val="22"/>
                <w:u w:val="none"/>
                <w:lang w:val="en-US" w:eastAsia="zh-CN" w:bidi="ar"/>
              </w:rPr>
              <w:t>37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6,160.80</w:t>
            </w:r>
          </w:p>
        </w:tc>
      </w:tr>
      <w:tr>
        <w:tblPrEx>
          <w:tblCellMar>
            <w:top w:w="0" w:type="dxa"/>
            <w:left w:w="0" w:type="dxa"/>
            <w:bottom w:w="0" w:type="dxa"/>
            <w:right w:w="0" w:type="dxa"/>
          </w:tblCellMar>
        </w:tblPrEx>
        <w:trPr>
          <w:trHeight w:val="287"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38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3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39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699.84</w:t>
            </w:r>
          </w:p>
        </w:tc>
      </w:tr>
      <w:tr>
        <w:tblPrEx>
          <w:tblCellMar>
            <w:top w:w="0" w:type="dxa"/>
            <w:left w:w="0" w:type="dxa"/>
            <w:bottom w:w="0" w:type="dxa"/>
            <w:right w:w="0" w:type="dxa"/>
          </w:tblCellMar>
        </w:tblPrEx>
        <w:trPr>
          <w:trHeight w:val="36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40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62.83</w:t>
            </w:r>
          </w:p>
        </w:tc>
      </w:tr>
      <w:tr>
        <w:tblPrEx>
          <w:tblCellMar>
            <w:top w:w="0" w:type="dxa"/>
            <w:left w:w="0" w:type="dxa"/>
            <w:bottom w:w="0" w:type="dxa"/>
            <w:right w:w="0" w:type="dxa"/>
          </w:tblCellMar>
        </w:tblPrEx>
        <w:trPr>
          <w:trHeight w:val="35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41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6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6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1.41</w:t>
            </w:r>
          </w:p>
        </w:tc>
      </w:tr>
      <w:tr>
        <w:tblPrEx>
          <w:tblCellMar>
            <w:top w:w="0" w:type="dxa"/>
            <w:left w:w="0" w:type="dxa"/>
            <w:bottom w:w="0" w:type="dxa"/>
            <w:right w:w="0" w:type="dxa"/>
          </w:tblCellMar>
        </w:tblPrEx>
        <w:trPr>
          <w:trHeight w:val="35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9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45</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1,416.78</w:t>
            </w:r>
          </w:p>
        </w:tc>
      </w:tr>
      <w:tr>
        <w:tblPrEx>
          <w:tblCellMar>
            <w:top w:w="0" w:type="dxa"/>
            <w:left w:w="0" w:type="dxa"/>
            <w:bottom w:w="0" w:type="dxa"/>
            <w:right w:w="0" w:type="dxa"/>
          </w:tblCellMar>
        </w:tblPrEx>
        <w:trPr>
          <w:trHeight w:val="35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46</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8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47</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7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48</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2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49</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5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19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50</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0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8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4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5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3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55</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4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56</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4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26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highlight w:val="none"/>
                <w:lang w:val="en-US" w:eastAsia="zh-CN" w:bidi="ar"/>
              </w:rPr>
            </w:pPr>
            <w:r>
              <w:rPr>
                <w:rFonts w:hint="eastAsia" w:ascii="宋体" w:hAnsi="宋体" w:cs="宋体"/>
                <w:color w:val="000000"/>
                <w:kern w:val="0"/>
                <w:sz w:val="20"/>
                <w:szCs w:val="20"/>
                <w:highlight w:val="none"/>
                <w:lang w:val="en-US" w:eastAsia="zh-CN" w:bidi="ar"/>
              </w:rPr>
              <w:t>57</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6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27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rPr>
              <w:t>8</w:t>
            </w:r>
            <w:r>
              <w:rPr>
                <w:rFonts w:hint="eastAsia" w:ascii="宋体" w:hAnsi="宋体" w:cs="宋体"/>
                <w:color w:val="000000"/>
                <w:sz w:val="22"/>
                <w:szCs w:val="22"/>
                <w:highlight w:val="none"/>
                <w:lang w:val="en-US" w:eastAsia="zh-CN"/>
              </w:rPr>
              <w:t>,</w:t>
            </w:r>
            <w:r>
              <w:rPr>
                <w:rFonts w:hint="eastAsia" w:ascii="宋体" w:hAnsi="宋体" w:cs="宋体"/>
                <w:color w:val="000000"/>
                <w:sz w:val="22"/>
                <w:szCs w:val="22"/>
                <w:highlight w:val="none"/>
              </w:rPr>
              <w:t>1</w:t>
            </w:r>
            <w:r>
              <w:rPr>
                <w:rFonts w:hint="eastAsia" w:ascii="宋体" w:hAnsi="宋体" w:cs="宋体"/>
                <w:color w:val="000000"/>
                <w:sz w:val="22"/>
                <w:szCs w:val="22"/>
                <w:highlight w:val="none"/>
                <w:lang w:val="en-US" w:eastAsia="zh-CN"/>
              </w:rPr>
              <w:t>24.83</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58</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rPr>
              <w:t>8</w:t>
            </w:r>
            <w:r>
              <w:rPr>
                <w:rFonts w:hint="eastAsia" w:ascii="宋体" w:hAnsi="宋体" w:eastAsia="宋体" w:cs="宋体"/>
                <w:color w:val="000000"/>
                <w:sz w:val="22"/>
                <w:szCs w:val="22"/>
                <w:highlight w:val="none"/>
                <w:lang w:val="en-US" w:eastAsia="zh-CN"/>
              </w:rPr>
              <w:t>,</w:t>
            </w:r>
            <w:r>
              <w:rPr>
                <w:rFonts w:hint="eastAsia" w:ascii="宋体" w:hAnsi="宋体" w:eastAsia="宋体" w:cs="宋体"/>
                <w:color w:val="000000"/>
                <w:sz w:val="22"/>
                <w:szCs w:val="22"/>
                <w:highlight w:val="none"/>
              </w:rPr>
              <w:t>3</w:t>
            </w:r>
            <w:r>
              <w:rPr>
                <w:rFonts w:hint="eastAsia" w:ascii="宋体" w:hAnsi="宋体" w:eastAsia="宋体" w:cs="宋体"/>
                <w:color w:val="000000"/>
                <w:sz w:val="22"/>
                <w:szCs w:val="22"/>
                <w:highlight w:val="none"/>
                <w:lang w:val="en-US" w:eastAsia="zh-CN"/>
              </w:rPr>
              <w:t>46</w:t>
            </w:r>
            <w:r>
              <w:rPr>
                <w:rFonts w:hint="eastAsia" w:ascii="宋体" w:hAnsi="宋体" w:eastAsia="宋体" w:cs="宋体"/>
                <w:color w:val="000000"/>
                <w:sz w:val="22"/>
                <w:szCs w:val="22"/>
                <w:highlight w:val="none"/>
              </w:rPr>
              <w:t>.</w:t>
            </w:r>
            <w:r>
              <w:rPr>
                <w:rFonts w:hint="eastAsia" w:ascii="宋体" w:hAnsi="宋体" w:eastAsia="宋体" w:cs="宋体"/>
                <w:color w:val="000000"/>
                <w:sz w:val="22"/>
                <w:szCs w:val="22"/>
                <w:highlight w:val="none"/>
                <w:lang w:val="en-US" w:eastAsia="zh-CN"/>
              </w:rPr>
              <w:t>57</w:t>
            </w:r>
          </w:p>
        </w:tc>
      </w:tr>
      <w:tr>
        <w:tblPrEx>
          <w:tblCellMar>
            <w:top w:w="0" w:type="dxa"/>
            <w:left w:w="0" w:type="dxa"/>
            <w:bottom w:w="0" w:type="dxa"/>
            <w:right w:w="0" w:type="dxa"/>
          </w:tblCellMar>
        </w:tblPrEx>
        <w:trPr>
          <w:trHeight w:val="35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使用非</w:t>
            </w:r>
            <w:r>
              <w:rPr>
                <w:rFonts w:ascii="宋体" w:hAnsi="宋体" w:cs="宋体"/>
                <w:color w:val="000000"/>
                <w:kern w:val="0"/>
                <w:sz w:val="20"/>
                <w:szCs w:val="20"/>
                <w:highlight w:val="none"/>
                <w:lang w:bidi="ar"/>
              </w:rPr>
              <w:t>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28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59</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94"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w:t>
            </w: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29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r>
              <w:rPr>
                <w:rFonts w:hint="eastAsia" w:ascii="宋体" w:hAnsi="宋体" w:cs="宋体"/>
                <w:color w:val="000000"/>
                <w:sz w:val="22"/>
                <w:szCs w:val="22"/>
                <w:highlight w:val="none"/>
              </w:rPr>
              <w:t>221.74</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60</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84" w:hRule="atLeast"/>
        </w:trPr>
        <w:tc>
          <w:tcPr>
            <w:tcW w:w="4279"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30</w:t>
            </w:r>
          </w:p>
        </w:tc>
        <w:tc>
          <w:tcPr>
            <w:tcW w:w="176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467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61</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374"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825"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31</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r>
              <w:rPr>
                <w:rFonts w:hint="eastAsia" w:ascii="宋体" w:hAnsi="宋体" w:eastAsia="宋体" w:cs="宋体"/>
                <w:color w:val="000000"/>
                <w:sz w:val="22"/>
                <w:szCs w:val="22"/>
                <w:highlight w:val="none"/>
              </w:rPr>
              <w:t>8</w:t>
            </w:r>
            <w:r>
              <w:rPr>
                <w:rFonts w:hint="eastAsia" w:ascii="宋体" w:hAnsi="宋体" w:eastAsia="宋体" w:cs="宋体"/>
                <w:color w:val="000000"/>
                <w:sz w:val="22"/>
                <w:szCs w:val="22"/>
                <w:highlight w:val="none"/>
                <w:lang w:val="en-US" w:eastAsia="zh-CN"/>
              </w:rPr>
              <w:t>,</w:t>
            </w:r>
            <w:r>
              <w:rPr>
                <w:rFonts w:hint="eastAsia" w:ascii="宋体" w:hAnsi="宋体" w:eastAsia="宋体" w:cs="宋体"/>
                <w:color w:val="000000"/>
                <w:sz w:val="22"/>
                <w:szCs w:val="22"/>
                <w:highlight w:val="none"/>
              </w:rPr>
              <w:t>3</w:t>
            </w:r>
            <w:r>
              <w:rPr>
                <w:rFonts w:hint="eastAsia" w:ascii="宋体" w:hAnsi="宋体" w:eastAsia="宋体" w:cs="宋体"/>
                <w:color w:val="000000"/>
                <w:sz w:val="22"/>
                <w:szCs w:val="22"/>
                <w:highlight w:val="none"/>
                <w:lang w:val="en-US" w:eastAsia="zh-CN"/>
              </w:rPr>
              <w:t>46</w:t>
            </w:r>
            <w:r>
              <w:rPr>
                <w:rFonts w:hint="eastAsia" w:ascii="宋体" w:hAnsi="宋体" w:eastAsia="宋体" w:cs="宋体"/>
                <w:color w:val="000000"/>
                <w:sz w:val="22"/>
                <w:szCs w:val="22"/>
                <w:highlight w:val="none"/>
              </w:rPr>
              <w:t>.</w:t>
            </w:r>
            <w:r>
              <w:rPr>
                <w:rFonts w:hint="eastAsia" w:ascii="宋体" w:hAnsi="宋体" w:eastAsia="宋体" w:cs="宋体"/>
                <w:color w:val="000000"/>
                <w:sz w:val="22"/>
                <w:szCs w:val="22"/>
                <w:highlight w:val="none"/>
                <w:lang w:val="en-US" w:eastAsia="zh-CN"/>
              </w:rPr>
              <w:t>57</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75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highlight w:val="none"/>
                <w:lang w:val="en-US" w:eastAsia="zh-CN"/>
              </w:rPr>
            </w:pPr>
            <w:r>
              <w:rPr>
                <w:rFonts w:hint="eastAsia" w:ascii="宋体" w:hAnsi="宋体" w:cs="宋体"/>
                <w:color w:val="000000"/>
                <w:kern w:val="0"/>
                <w:sz w:val="20"/>
                <w:szCs w:val="20"/>
                <w:highlight w:val="none"/>
                <w:lang w:val="en-US" w:eastAsia="zh-CN" w:bidi="ar"/>
              </w:rPr>
              <w:t>62</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b/>
                <w:color w:val="000000"/>
                <w:sz w:val="22"/>
                <w:szCs w:val="22"/>
                <w:highlight w:val="none"/>
              </w:rPr>
            </w:pPr>
            <w:r>
              <w:rPr>
                <w:rFonts w:hint="eastAsia" w:ascii="宋体" w:hAnsi="宋体" w:eastAsia="宋体" w:cs="宋体"/>
                <w:color w:val="000000"/>
                <w:sz w:val="22"/>
                <w:szCs w:val="22"/>
                <w:highlight w:val="none"/>
              </w:rPr>
              <w:t>8</w:t>
            </w:r>
            <w:r>
              <w:rPr>
                <w:rFonts w:hint="eastAsia" w:ascii="宋体" w:hAnsi="宋体" w:eastAsia="宋体" w:cs="宋体"/>
                <w:color w:val="000000"/>
                <w:sz w:val="22"/>
                <w:szCs w:val="22"/>
                <w:highlight w:val="none"/>
                <w:lang w:val="en-US" w:eastAsia="zh-CN"/>
              </w:rPr>
              <w:t>,</w:t>
            </w:r>
            <w:r>
              <w:rPr>
                <w:rFonts w:hint="eastAsia" w:ascii="宋体" w:hAnsi="宋体" w:eastAsia="宋体" w:cs="宋体"/>
                <w:color w:val="000000"/>
                <w:sz w:val="22"/>
                <w:szCs w:val="22"/>
                <w:highlight w:val="none"/>
              </w:rPr>
              <w:t>3</w:t>
            </w:r>
            <w:r>
              <w:rPr>
                <w:rFonts w:hint="eastAsia" w:ascii="宋体" w:hAnsi="宋体" w:eastAsia="宋体" w:cs="宋体"/>
                <w:color w:val="000000"/>
                <w:sz w:val="22"/>
                <w:szCs w:val="22"/>
                <w:highlight w:val="none"/>
                <w:lang w:val="en-US" w:eastAsia="zh-CN"/>
              </w:rPr>
              <w:t>46</w:t>
            </w:r>
            <w:r>
              <w:rPr>
                <w:rFonts w:hint="eastAsia" w:ascii="宋体" w:hAnsi="宋体" w:eastAsia="宋体" w:cs="宋体"/>
                <w:color w:val="000000"/>
                <w:sz w:val="22"/>
                <w:szCs w:val="22"/>
                <w:highlight w:val="none"/>
              </w:rPr>
              <w:t>.</w:t>
            </w:r>
            <w:r>
              <w:rPr>
                <w:rFonts w:hint="eastAsia" w:ascii="宋体" w:hAnsi="宋体" w:eastAsia="宋体" w:cs="宋体"/>
                <w:color w:val="000000"/>
                <w:sz w:val="22"/>
                <w:szCs w:val="22"/>
                <w:highlight w:val="none"/>
                <w:lang w:val="en-US" w:eastAsia="zh-CN"/>
              </w:rPr>
              <w:t>57</w:t>
            </w:r>
          </w:p>
        </w:tc>
      </w:tr>
      <w:tr>
        <w:tblPrEx>
          <w:tblCellMar>
            <w:top w:w="0" w:type="dxa"/>
            <w:left w:w="0" w:type="dxa"/>
            <w:bottom w:w="0" w:type="dxa"/>
            <w:right w:w="0" w:type="dxa"/>
          </w:tblCellMar>
        </w:tblPrEx>
        <w:trPr>
          <w:trHeight w:val="570"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1"/>
        <w:tblW w:w="0" w:type="auto"/>
        <w:tblInd w:w="0" w:type="dxa"/>
        <w:tblLayout w:type="fixed"/>
        <w:tblCellMar>
          <w:top w:w="0" w:type="dxa"/>
          <w:left w:w="0" w:type="dxa"/>
          <w:bottom w:w="0" w:type="dxa"/>
          <w:right w:w="0" w:type="dxa"/>
        </w:tblCellMar>
      </w:tblPr>
      <w:tblGrid>
        <w:gridCol w:w="1027"/>
        <w:gridCol w:w="59"/>
        <w:gridCol w:w="181"/>
        <w:gridCol w:w="2048"/>
        <w:gridCol w:w="595"/>
        <w:gridCol w:w="1185"/>
        <w:gridCol w:w="368"/>
        <w:gridCol w:w="1192"/>
        <w:gridCol w:w="361"/>
        <w:gridCol w:w="1039"/>
        <w:gridCol w:w="514"/>
        <w:gridCol w:w="966"/>
        <w:gridCol w:w="587"/>
        <w:gridCol w:w="713"/>
        <w:gridCol w:w="840"/>
        <w:gridCol w:w="920"/>
        <w:gridCol w:w="1250"/>
      </w:tblGrid>
      <w:tr>
        <w:tblPrEx>
          <w:tblCellMar>
            <w:top w:w="0" w:type="dxa"/>
            <w:left w:w="0" w:type="dxa"/>
            <w:bottom w:w="0" w:type="dxa"/>
            <w:right w:w="0" w:type="dxa"/>
          </w:tblCellMar>
        </w:tblPrEx>
        <w:trPr>
          <w:trHeight w:val="435" w:hRule="atLeast"/>
        </w:trPr>
        <w:tc>
          <w:tcPr>
            <w:tcW w:w="13845" w:type="dxa"/>
            <w:gridSpan w:val="17"/>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4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048"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59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公开02表</w:t>
            </w:r>
          </w:p>
        </w:tc>
      </w:tr>
      <w:tr>
        <w:tblPrEx>
          <w:tblCellMar>
            <w:top w:w="0" w:type="dxa"/>
            <w:left w:w="0" w:type="dxa"/>
            <w:bottom w:w="0" w:type="dxa"/>
            <w:right w:w="0" w:type="dxa"/>
          </w:tblCellMar>
        </w:tblPrEx>
        <w:trPr>
          <w:trHeight w:val="300" w:hRule="atLeast"/>
        </w:trPr>
        <w:tc>
          <w:tcPr>
            <w:tcW w:w="3315" w:type="dxa"/>
            <w:gridSpan w:val="4"/>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：许昌市工业和信息化局</w:t>
            </w:r>
            <w:r>
              <w:rPr>
                <w:rFonts w:hint="eastAsia" w:ascii="宋体" w:hAnsi="宋体" w:cs="宋体"/>
                <w:color w:val="000000"/>
                <w:kern w:val="0"/>
                <w:sz w:val="20"/>
                <w:szCs w:val="20"/>
                <w:highlight w:val="none"/>
                <w:lang w:eastAsia="zh-CN" w:bidi="ar"/>
              </w:rPr>
              <w:t>（本级）</w:t>
            </w:r>
          </w:p>
        </w:tc>
        <w:tc>
          <w:tcPr>
            <w:tcW w:w="59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450" w:hRule="atLeast"/>
        </w:trPr>
        <w:tc>
          <w:tcPr>
            <w:tcW w:w="3315"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78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本年收入合计</w:t>
            </w:r>
          </w:p>
        </w:tc>
        <w:tc>
          <w:tcPr>
            <w:tcW w:w="1560"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财政拨款收入</w:t>
            </w:r>
          </w:p>
        </w:tc>
        <w:tc>
          <w:tcPr>
            <w:tcW w:w="140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上级补助收入</w:t>
            </w:r>
          </w:p>
        </w:tc>
        <w:tc>
          <w:tcPr>
            <w:tcW w:w="148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事业收入</w:t>
            </w:r>
          </w:p>
        </w:tc>
        <w:tc>
          <w:tcPr>
            <w:tcW w:w="130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经营收入</w:t>
            </w:r>
          </w:p>
        </w:tc>
        <w:tc>
          <w:tcPr>
            <w:tcW w:w="1760"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附属单位上缴收入</w:t>
            </w:r>
          </w:p>
        </w:tc>
        <w:tc>
          <w:tcPr>
            <w:tcW w:w="1250"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其他收入</w:t>
            </w:r>
          </w:p>
        </w:tc>
      </w:tr>
      <w:tr>
        <w:tblPrEx>
          <w:tblCellMar>
            <w:top w:w="0" w:type="dxa"/>
            <w:left w:w="0" w:type="dxa"/>
            <w:bottom w:w="0" w:type="dxa"/>
            <w:right w:w="0" w:type="dxa"/>
          </w:tblCellMar>
        </w:tblPrEx>
        <w:trPr>
          <w:trHeight w:val="450" w:hRule="atLeast"/>
        </w:trPr>
        <w:tc>
          <w:tcPr>
            <w:tcW w:w="1267" w:type="dxa"/>
            <w:gridSpan w:val="3"/>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204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78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6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0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8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0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6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50"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3"/>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04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8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560"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0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48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0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60"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50"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3315" w:type="dxa"/>
            <w:gridSpan w:val="4"/>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7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4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14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76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c>
          <w:tcPr>
            <w:tcW w:w="1250"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7</w:t>
            </w:r>
          </w:p>
        </w:tc>
      </w:tr>
      <w:tr>
        <w:tblPrEx>
          <w:tblCellMar>
            <w:top w:w="0" w:type="dxa"/>
            <w:left w:w="0" w:type="dxa"/>
            <w:bottom w:w="0" w:type="dxa"/>
            <w:right w:w="0" w:type="dxa"/>
          </w:tblCellMar>
        </w:tblPrEx>
        <w:trPr>
          <w:trHeight w:val="450" w:hRule="atLeast"/>
        </w:trPr>
        <w:tc>
          <w:tcPr>
            <w:tcW w:w="3315" w:type="dxa"/>
            <w:gridSpan w:val="4"/>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szCs w:val="22"/>
                <w:highlight w:val="none"/>
                <w:lang w:val="en-US"/>
              </w:rPr>
            </w:pPr>
            <w:r>
              <w:rPr>
                <w:rFonts w:hint="eastAsia" w:ascii="宋体" w:hAnsi="宋体" w:eastAsia="宋体" w:cs="宋体"/>
                <w:b/>
                <w:bCs/>
                <w:i w:val="0"/>
                <w:iCs w:val="0"/>
                <w:color w:val="000000"/>
                <w:kern w:val="0"/>
                <w:sz w:val="22"/>
                <w:szCs w:val="22"/>
                <w:u w:val="none"/>
                <w:lang w:val="en-US" w:eastAsia="zh-CN" w:bidi="ar"/>
              </w:rPr>
              <w:t>8,124.83</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8,124.83</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201</w:t>
            </w:r>
          </w:p>
        </w:tc>
        <w:tc>
          <w:tcPr>
            <w:tcW w:w="20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4.91</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4.91</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20129</w:t>
            </w:r>
          </w:p>
        </w:tc>
        <w:tc>
          <w:tcPr>
            <w:tcW w:w="20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4.91</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4.91</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2012906</w:t>
            </w:r>
          </w:p>
        </w:tc>
        <w:tc>
          <w:tcPr>
            <w:tcW w:w="20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4.91</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4.91</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206</w:t>
            </w:r>
          </w:p>
        </w:tc>
        <w:tc>
          <w:tcPr>
            <w:tcW w:w="20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6,160.80</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6,160.80</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20609</w:t>
            </w:r>
          </w:p>
        </w:tc>
        <w:tc>
          <w:tcPr>
            <w:tcW w:w="20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科技重大项目</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6,160.80</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6,160.80</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2060999</w:t>
            </w:r>
          </w:p>
        </w:tc>
        <w:tc>
          <w:tcPr>
            <w:tcW w:w="20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其他科技重大项目</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6,160.80</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6,160.80</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208</w:t>
            </w:r>
          </w:p>
        </w:tc>
        <w:tc>
          <w:tcPr>
            <w:tcW w:w="20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629.29</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629.29</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20805</w:t>
            </w:r>
          </w:p>
        </w:tc>
        <w:tc>
          <w:tcPr>
            <w:tcW w:w="20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505.90</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505.90</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2080501</w:t>
            </w:r>
          </w:p>
        </w:tc>
        <w:tc>
          <w:tcPr>
            <w:tcW w:w="20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448.11</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448.11</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2080505</w:t>
            </w: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57.79</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57.79</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20808</w:t>
            </w: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抚恤</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123.39</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123.39</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2080801</w:t>
            </w: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死亡抚恤</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123.39</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123.39</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210</w:t>
            </w: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57.81</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57.81</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21011</w:t>
            </w: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57.81</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57.81</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2101101</w:t>
            </w: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29.41</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29.41</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2101103</w:t>
            </w: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28.40</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28.40</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213</w:t>
            </w: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农林水支出</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21301</w:t>
            </w: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农业农村</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2130102</w:t>
            </w: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一般行政管理事务</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215</w:t>
            </w: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华文中宋" w:hAnsi="华文中宋" w:eastAsia="华文中宋" w:cs="华文中宋"/>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1,270.61</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1,270.61</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21505</w:t>
            </w: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工业和信息产业监管</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1,270.61</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1,270.61</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2150501</w:t>
            </w: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1,022.10</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1,022.10</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2150502</w:t>
            </w:r>
          </w:p>
        </w:tc>
        <w:tc>
          <w:tcPr>
            <w:tcW w:w="222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7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248.51</w:t>
            </w:r>
          </w:p>
        </w:tc>
        <w:tc>
          <w:tcPr>
            <w:tcW w:w="1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248.51</w:t>
            </w:r>
          </w:p>
        </w:tc>
        <w:tc>
          <w:tcPr>
            <w:tcW w:w="1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4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5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615" w:hRule="atLeast"/>
        </w:trPr>
        <w:tc>
          <w:tcPr>
            <w:tcW w:w="13845" w:type="dxa"/>
            <w:gridSpan w:val="17"/>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1"/>
        <w:tblW w:w="14000" w:type="dxa"/>
        <w:tblInd w:w="0" w:type="dxa"/>
        <w:tblLayout w:type="fixed"/>
        <w:tblCellMar>
          <w:top w:w="0" w:type="dxa"/>
          <w:left w:w="0" w:type="dxa"/>
          <w:bottom w:w="0" w:type="dxa"/>
          <w:right w:w="0" w:type="dxa"/>
        </w:tblCellMar>
      </w:tblPr>
      <w:tblGrid>
        <w:gridCol w:w="1027"/>
        <w:gridCol w:w="240"/>
        <w:gridCol w:w="1668"/>
        <w:gridCol w:w="610"/>
        <w:gridCol w:w="570"/>
        <w:gridCol w:w="90"/>
        <w:gridCol w:w="710"/>
        <w:gridCol w:w="576"/>
        <w:gridCol w:w="419"/>
        <w:gridCol w:w="1630"/>
        <w:gridCol w:w="825"/>
        <w:gridCol w:w="499"/>
        <w:gridCol w:w="111"/>
        <w:gridCol w:w="290"/>
        <w:gridCol w:w="825"/>
        <w:gridCol w:w="25"/>
        <w:gridCol w:w="1240"/>
        <w:gridCol w:w="617"/>
        <w:gridCol w:w="428"/>
        <w:gridCol w:w="255"/>
        <w:gridCol w:w="1318"/>
        <w:gridCol w:w="27"/>
      </w:tblGrid>
      <w:tr>
        <w:tblPrEx>
          <w:tblCellMar>
            <w:top w:w="0" w:type="dxa"/>
            <w:left w:w="0" w:type="dxa"/>
            <w:bottom w:w="0" w:type="dxa"/>
            <w:right w:w="0" w:type="dxa"/>
          </w:tblCellMar>
        </w:tblPrEx>
        <w:trPr>
          <w:trHeight w:val="435" w:hRule="atLeast"/>
        </w:trPr>
        <w:tc>
          <w:tcPr>
            <w:tcW w:w="14000" w:type="dxa"/>
            <w:gridSpan w:val="22"/>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eastAsia="zh-CN" w:bidi="ar"/>
              </w:rPr>
              <w:t>支出</w:t>
            </w:r>
            <w:r>
              <w:rPr>
                <w:rFonts w:hint="eastAsia" w:ascii="华文中宋" w:hAnsi="华文中宋" w:eastAsia="华文中宋" w:cs="华文中宋"/>
                <w:color w:val="000000"/>
                <w:kern w:val="0"/>
                <w:sz w:val="32"/>
                <w:szCs w:val="32"/>
                <w:highlight w:val="none"/>
                <w:lang w:bidi="ar"/>
              </w:rPr>
              <w:t>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848"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9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05"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3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24"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26"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10"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0" w:type="dxa"/>
            <w:gridSpan w:val="3"/>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w:t>
            </w:r>
            <w:r>
              <w:rPr>
                <w:rFonts w:hint="eastAsia" w:ascii="宋体" w:hAnsi="宋体" w:cs="宋体"/>
                <w:color w:val="000000"/>
                <w:kern w:val="0"/>
                <w:sz w:val="20"/>
                <w:szCs w:val="20"/>
                <w:highlight w:val="none"/>
                <w:lang w:val="en-US" w:eastAsia="zh-CN" w:bidi="ar"/>
              </w:rPr>
              <w:t>3</w:t>
            </w:r>
            <w:r>
              <w:rPr>
                <w:rFonts w:hint="eastAsia" w:ascii="宋体" w:hAnsi="宋体" w:cs="宋体"/>
                <w:color w:val="000000"/>
                <w:kern w:val="0"/>
                <w:sz w:val="20"/>
                <w:szCs w:val="20"/>
                <w:highlight w:val="none"/>
                <w:lang w:bidi="ar"/>
              </w:rPr>
              <w:t>表</w:t>
            </w:r>
          </w:p>
        </w:tc>
      </w:tr>
      <w:tr>
        <w:tblPrEx>
          <w:tblCellMar>
            <w:top w:w="0" w:type="dxa"/>
            <w:left w:w="0" w:type="dxa"/>
            <w:bottom w:w="0" w:type="dxa"/>
            <w:right w:w="0" w:type="dxa"/>
          </w:tblCellMar>
        </w:tblPrEx>
        <w:trPr>
          <w:trHeight w:val="300" w:hRule="atLeast"/>
        </w:trPr>
        <w:tc>
          <w:tcPr>
            <w:tcW w:w="4115" w:type="dxa"/>
            <w:gridSpan w:val="5"/>
            <w:tcBorders>
              <w:top w:val="nil"/>
              <w:left w:val="nil"/>
              <w:bottom w:val="single" w:color="000000" w:sz="8"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color w:val="000000"/>
                <w:kern w:val="0"/>
                <w:sz w:val="20"/>
                <w:szCs w:val="20"/>
                <w:highlight w:val="none"/>
                <w:lang w:eastAsia="zh-CN" w:bidi="ar"/>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：许昌市工业和信息化局</w:t>
            </w:r>
            <w:r>
              <w:rPr>
                <w:rFonts w:hint="eastAsia" w:ascii="宋体" w:hAnsi="宋体" w:cs="宋体"/>
                <w:color w:val="000000"/>
                <w:kern w:val="0"/>
                <w:sz w:val="20"/>
                <w:szCs w:val="20"/>
                <w:highlight w:val="none"/>
                <w:lang w:eastAsia="zh-CN" w:bidi="ar"/>
              </w:rPr>
              <w:t>（本级）</w:t>
            </w:r>
          </w:p>
        </w:tc>
        <w:tc>
          <w:tcPr>
            <w:tcW w:w="90" w:type="dxa"/>
            <w:tcBorders>
              <w:top w:val="nil"/>
              <w:left w:val="nil"/>
              <w:bottom w:val="single" w:color="000000" w:sz="8"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705" w:type="dxa"/>
            <w:gridSpan w:val="3"/>
            <w:tcBorders>
              <w:top w:val="nil"/>
              <w:left w:val="nil"/>
              <w:bottom w:val="single" w:color="000000" w:sz="8"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30" w:type="dxa"/>
            <w:tcBorders>
              <w:top w:val="nil"/>
              <w:left w:val="nil"/>
              <w:bottom w:val="single" w:color="000000" w:sz="8"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24" w:type="dxa"/>
            <w:gridSpan w:val="2"/>
            <w:tcBorders>
              <w:top w:val="nil"/>
              <w:left w:val="nil"/>
              <w:bottom w:val="single" w:color="000000" w:sz="8"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26" w:type="dxa"/>
            <w:gridSpan w:val="3"/>
            <w:tcBorders>
              <w:top w:val="nil"/>
              <w:left w:val="nil"/>
              <w:bottom w:val="single" w:color="000000" w:sz="8"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10" w:type="dxa"/>
            <w:gridSpan w:val="4"/>
            <w:tcBorders>
              <w:top w:val="nil"/>
              <w:left w:val="nil"/>
              <w:bottom w:val="single" w:color="000000" w:sz="8"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0" w:type="dxa"/>
            <w:gridSpan w:val="3"/>
            <w:tcBorders>
              <w:top w:val="nil"/>
              <w:left w:val="nil"/>
              <w:bottom w:val="single" w:color="000000" w:sz="8" w:space="0"/>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450" w:hRule="atLeast"/>
        </w:trPr>
        <w:tc>
          <w:tcPr>
            <w:tcW w:w="4115" w:type="dxa"/>
            <w:gridSpan w:val="5"/>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795" w:type="dxa"/>
            <w:gridSpan w:val="4"/>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本年收入合计</w:t>
            </w:r>
          </w:p>
        </w:tc>
        <w:tc>
          <w:tcPr>
            <w:tcW w:w="1630" w:type="dxa"/>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基本支出</w:t>
            </w:r>
          </w:p>
        </w:tc>
        <w:tc>
          <w:tcPr>
            <w:tcW w:w="1725" w:type="dxa"/>
            <w:gridSpan w:val="4"/>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eastAsia="zh-CN" w:bidi="ar"/>
              </w:rPr>
              <w:t>项目支出</w:t>
            </w:r>
          </w:p>
        </w:tc>
        <w:tc>
          <w:tcPr>
            <w:tcW w:w="825" w:type="dxa"/>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eastAsia="zh-CN" w:bidi="ar"/>
              </w:rPr>
              <w:t>上缴上级支出</w:t>
            </w:r>
          </w:p>
        </w:tc>
        <w:tc>
          <w:tcPr>
            <w:tcW w:w="2310" w:type="dxa"/>
            <w:gridSpan w:val="4"/>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bidi="ar"/>
              </w:rPr>
              <w:t>经营</w:t>
            </w:r>
            <w:r>
              <w:rPr>
                <w:rFonts w:hint="eastAsia" w:ascii="宋体" w:hAnsi="宋体" w:cs="宋体"/>
                <w:color w:val="000000"/>
                <w:kern w:val="0"/>
                <w:sz w:val="20"/>
                <w:szCs w:val="20"/>
                <w:highlight w:val="none"/>
                <w:lang w:eastAsia="zh-CN" w:bidi="ar"/>
              </w:rPr>
              <w:t>支出</w:t>
            </w:r>
          </w:p>
        </w:tc>
        <w:tc>
          <w:tcPr>
            <w:tcW w:w="1600" w:type="dxa"/>
            <w:gridSpan w:val="3"/>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lang w:eastAsia="zh-CN"/>
              </w:rPr>
            </w:pPr>
            <w:r>
              <w:rPr>
                <w:rFonts w:hint="eastAsia" w:ascii="宋体" w:hAnsi="宋体" w:cs="宋体"/>
                <w:color w:val="000000"/>
                <w:kern w:val="0"/>
                <w:sz w:val="20"/>
                <w:szCs w:val="20"/>
                <w:highlight w:val="none"/>
                <w:lang w:eastAsia="zh-CN" w:bidi="ar"/>
              </w:rPr>
              <w:t>对</w:t>
            </w:r>
            <w:r>
              <w:rPr>
                <w:rFonts w:hint="eastAsia" w:ascii="宋体" w:hAnsi="宋体" w:cs="宋体"/>
                <w:color w:val="000000"/>
                <w:kern w:val="0"/>
                <w:sz w:val="20"/>
                <w:szCs w:val="20"/>
                <w:highlight w:val="none"/>
                <w:lang w:bidi="ar"/>
              </w:rPr>
              <w:t>附属单位</w:t>
            </w:r>
            <w:r>
              <w:rPr>
                <w:rFonts w:hint="eastAsia" w:ascii="宋体" w:hAnsi="宋体" w:cs="宋体"/>
                <w:color w:val="000000"/>
                <w:kern w:val="0"/>
                <w:sz w:val="20"/>
                <w:szCs w:val="20"/>
                <w:highlight w:val="none"/>
                <w:lang w:eastAsia="zh-CN" w:bidi="ar"/>
              </w:rPr>
              <w:t>补助支出</w:t>
            </w:r>
          </w:p>
        </w:tc>
      </w:tr>
      <w:tr>
        <w:tblPrEx>
          <w:tblCellMar>
            <w:top w:w="0" w:type="dxa"/>
            <w:left w:w="0" w:type="dxa"/>
            <w:bottom w:w="0" w:type="dxa"/>
            <w:right w:w="0" w:type="dxa"/>
          </w:tblCellMar>
        </w:tblPrEx>
        <w:trPr>
          <w:trHeight w:val="450" w:hRule="atLeast"/>
        </w:trPr>
        <w:tc>
          <w:tcPr>
            <w:tcW w:w="1267"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2848"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795"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30" w:type="dxa"/>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25"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310"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00" w:type="dxa"/>
            <w:gridSpan w:val="3"/>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848"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95"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30" w:type="dxa"/>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725"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825" w:type="dxa"/>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310" w:type="dxa"/>
            <w:gridSpan w:val="4"/>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600" w:type="dxa"/>
            <w:gridSpan w:val="3"/>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4115" w:type="dxa"/>
            <w:gridSpan w:val="5"/>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79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1</w:t>
            </w:r>
          </w:p>
        </w:tc>
        <w:tc>
          <w:tcPr>
            <w:tcW w:w="1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2</w:t>
            </w:r>
          </w:p>
        </w:tc>
        <w:tc>
          <w:tcPr>
            <w:tcW w:w="1725"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3</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4</w:t>
            </w:r>
          </w:p>
        </w:tc>
        <w:tc>
          <w:tcPr>
            <w:tcW w:w="231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5</w:t>
            </w:r>
          </w:p>
        </w:tc>
        <w:tc>
          <w:tcPr>
            <w:tcW w:w="1600" w:type="dxa"/>
            <w:gridSpan w:val="3"/>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6</w:t>
            </w:r>
          </w:p>
        </w:tc>
      </w:tr>
      <w:tr>
        <w:tblPrEx>
          <w:tblCellMar>
            <w:top w:w="0" w:type="dxa"/>
            <w:left w:w="0" w:type="dxa"/>
            <w:bottom w:w="0" w:type="dxa"/>
            <w:right w:w="0" w:type="dxa"/>
          </w:tblCellMar>
        </w:tblPrEx>
        <w:trPr>
          <w:trHeight w:val="450" w:hRule="atLeast"/>
        </w:trPr>
        <w:tc>
          <w:tcPr>
            <w:tcW w:w="4115" w:type="dxa"/>
            <w:gridSpan w:val="5"/>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7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szCs w:val="22"/>
                <w:highlight w:val="none"/>
                <w:lang w:val="en-US"/>
              </w:rPr>
            </w:pPr>
            <w:r>
              <w:rPr>
                <w:rFonts w:hint="eastAsia" w:ascii="宋体" w:hAnsi="宋体" w:eastAsia="宋体" w:cs="宋体"/>
                <w:b/>
                <w:bCs/>
                <w:i w:val="0"/>
                <w:iCs w:val="0"/>
                <w:color w:val="000000"/>
                <w:kern w:val="0"/>
                <w:sz w:val="22"/>
                <w:szCs w:val="22"/>
                <w:u w:val="none"/>
                <w:lang w:val="en-US" w:eastAsia="zh-CN" w:bidi="ar"/>
              </w:rPr>
              <w:t>8,346.57</w:t>
            </w:r>
          </w:p>
        </w:tc>
        <w:tc>
          <w:tcPr>
            <w:tcW w:w="1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szCs w:val="22"/>
                <w:highlight w:val="none"/>
                <w:lang w:val="en-US"/>
              </w:rPr>
            </w:pPr>
            <w:r>
              <w:rPr>
                <w:rFonts w:hint="eastAsia" w:ascii="宋体" w:hAnsi="宋体" w:eastAsia="宋体" w:cs="宋体"/>
                <w:b/>
                <w:bCs/>
                <w:i w:val="0"/>
                <w:iCs w:val="0"/>
                <w:color w:val="000000"/>
                <w:kern w:val="0"/>
                <w:sz w:val="22"/>
                <w:szCs w:val="22"/>
                <w:u w:val="none"/>
                <w:lang w:val="en-US" w:eastAsia="zh-CN" w:bidi="ar"/>
              </w:rPr>
              <w:t>1,851.77</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b/>
                <w:bCs/>
                <w:color w:val="000000"/>
                <w:sz w:val="22"/>
                <w:szCs w:val="22"/>
                <w:highlight w:val="none"/>
                <w:lang w:val="en-US" w:eastAsia="zh-CN"/>
              </w:rPr>
              <w:t>6,494.81</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1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0"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201</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7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4.91</w:t>
            </w:r>
          </w:p>
        </w:tc>
        <w:tc>
          <w:tcPr>
            <w:tcW w:w="1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4.91</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1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0"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20129</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7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4.91</w:t>
            </w:r>
          </w:p>
        </w:tc>
        <w:tc>
          <w:tcPr>
            <w:tcW w:w="1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4.91</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1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0"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2012906</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7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4.91</w:t>
            </w:r>
          </w:p>
        </w:tc>
        <w:tc>
          <w:tcPr>
            <w:tcW w:w="1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4.91</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1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0"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206</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7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6,160.80</w:t>
            </w:r>
          </w:p>
        </w:tc>
        <w:tc>
          <w:tcPr>
            <w:tcW w:w="1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6,160.80</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1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0"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20609</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科技重大项目</w:t>
            </w:r>
          </w:p>
        </w:tc>
        <w:tc>
          <w:tcPr>
            <w:tcW w:w="17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6,160.80</w:t>
            </w:r>
          </w:p>
        </w:tc>
        <w:tc>
          <w:tcPr>
            <w:tcW w:w="1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r>
              <w:rPr>
                <w:rFonts w:hint="eastAsia" w:ascii="宋体" w:hAnsi="宋体" w:cs="宋体"/>
                <w:color w:val="000000"/>
                <w:sz w:val="22"/>
                <w:szCs w:val="22"/>
                <w:highlight w:val="none"/>
                <w:lang w:val="en-US" w:eastAsia="zh-CN"/>
              </w:rPr>
              <w:t>6,160.80</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1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0"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2060999</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其他科技重大项目</w:t>
            </w:r>
          </w:p>
        </w:tc>
        <w:tc>
          <w:tcPr>
            <w:tcW w:w="17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6,160.80</w:t>
            </w:r>
          </w:p>
        </w:tc>
        <w:tc>
          <w:tcPr>
            <w:tcW w:w="1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r>
              <w:rPr>
                <w:rFonts w:hint="eastAsia" w:ascii="宋体" w:hAnsi="宋体" w:cs="宋体"/>
                <w:color w:val="000000"/>
                <w:sz w:val="22"/>
                <w:szCs w:val="22"/>
                <w:highlight w:val="none"/>
                <w:lang w:val="en-US" w:eastAsia="zh-CN"/>
              </w:rPr>
              <w:t>6,160.80</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1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0"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208</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华文中宋" w:hAnsi="华文中宋" w:eastAsia="华文中宋" w:cs="华文中宋"/>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699.84</w:t>
            </w:r>
          </w:p>
        </w:tc>
        <w:tc>
          <w:tcPr>
            <w:tcW w:w="1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699.84</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1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0"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20805</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华文中宋" w:hAnsi="华文中宋" w:eastAsia="华文中宋" w:cs="华文中宋"/>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576.45</w:t>
            </w:r>
          </w:p>
        </w:tc>
        <w:tc>
          <w:tcPr>
            <w:tcW w:w="1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576.45</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1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0"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2080501</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79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华文中宋" w:hAnsi="华文中宋" w:eastAsia="华文中宋" w:cs="华文中宋"/>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500.32</w:t>
            </w:r>
          </w:p>
        </w:tc>
        <w:tc>
          <w:tcPr>
            <w:tcW w:w="1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500.32</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31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600"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2080505</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3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华文中宋" w:hAnsi="华文中宋" w:eastAsia="华文中宋" w:cs="华文中宋"/>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76.12</w:t>
            </w:r>
          </w:p>
        </w:tc>
        <w:tc>
          <w:tcPr>
            <w:tcW w:w="20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76.12</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4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20808</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抚恤</w:t>
            </w:r>
          </w:p>
        </w:tc>
        <w:tc>
          <w:tcPr>
            <w:tcW w:w="13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123.39</w:t>
            </w:r>
          </w:p>
        </w:tc>
        <w:tc>
          <w:tcPr>
            <w:tcW w:w="20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123.39</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4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2080801</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3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123.39</w:t>
            </w:r>
          </w:p>
        </w:tc>
        <w:tc>
          <w:tcPr>
            <w:tcW w:w="20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123.39</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4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210</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3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华文中宋" w:hAnsi="华文中宋" w:eastAsia="华文中宋" w:cs="华文中宋"/>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62.83</w:t>
            </w:r>
          </w:p>
        </w:tc>
        <w:tc>
          <w:tcPr>
            <w:tcW w:w="20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62.83</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4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21011</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3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华文中宋" w:hAnsi="华文中宋" w:eastAsia="华文中宋" w:cs="华文中宋"/>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62.83</w:t>
            </w:r>
          </w:p>
        </w:tc>
        <w:tc>
          <w:tcPr>
            <w:tcW w:w="20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62.83</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4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2101101</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3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华文中宋" w:hAnsi="华文中宋" w:eastAsia="华文中宋" w:cs="华文中宋"/>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30.11</w:t>
            </w:r>
          </w:p>
        </w:tc>
        <w:tc>
          <w:tcPr>
            <w:tcW w:w="20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4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2101103</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3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华文中宋" w:hAnsi="华文中宋" w:eastAsia="华文中宋" w:cs="华文中宋"/>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32.72</w:t>
            </w:r>
          </w:p>
        </w:tc>
        <w:tc>
          <w:tcPr>
            <w:tcW w:w="20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32.72</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4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213</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农林水支出</w:t>
            </w:r>
          </w:p>
        </w:tc>
        <w:tc>
          <w:tcPr>
            <w:tcW w:w="13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c>
          <w:tcPr>
            <w:tcW w:w="20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000000"/>
                <w:sz w:val="22"/>
                <w:szCs w:val="22"/>
                <w:highlight w:val="none"/>
              </w:rPr>
            </w:pP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4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21301</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农业农村</w:t>
            </w:r>
          </w:p>
        </w:tc>
        <w:tc>
          <w:tcPr>
            <w:tcW w:w="13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c>
          <w:tcPr>
            <w:tcW w:w="20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4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2130102</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3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华文中宋" w:hAnsi="华文中宋" w:eastAsia="华文中宋" w:cs="华文中宋"/>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c>
          <w:tcPr>
            <w:tcW w:w="20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4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215</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13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华文中宋" w:hAnsi="华文中宋" w:eastAsia="华文中宋" w:cs="华文中宋"/>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1,416.78</w:t>
            </w:r>
          </w:p>
        </w:tc>
        <w:tc>
          <w:tcPr>
            <w:tcW w:w="20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1,084.18</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332.60</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4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21505</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工业和信息产业监管</w:t>
            </w:r>
          </w:p>
        </w:tc>
        <w:tc>
          <w:tcPr>
            <w:tcW w:w="13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华文中宋" w:hAnsi="华文中宋" w:eastAsia="华文中宋" w:cs="华文中宋"/>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1,416.78</w:t>
            </w:r>
          </w:p>
        </w:tc>
        <w:tc>
          <w:tcPr>
            <w:tcW w:w="20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1,084.18</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332.60</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4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2150501</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1,084.18</w:t>
            </w:r>
          </w:p>
        </w:tc>
        <w:tc>
          <w:tcPr>
            <w:tcW w:w="20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1,084.18</w:t>
            </w: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4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1267"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2150502</w:t>
            </w:r>
          </w:p>
        </w:tc>
        <w:tc>
          <w:tcPr>
            <w:tcW w:w="2848"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cs="宋体"/>
                <w:color w:val="000000"/>
                <w:sz w:val="20"/>
                <w:szCs w:val="20"/>
                <w:highlight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376"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cs="宋体"/>
                <w:color w:val="000000"/>
                <w:sz w:val="22"/>
                <w:szCs w:val="22"/>
                <w:highlight w:val="none"/>
                <w:lang w:val="en-US"/>
              </w:rPr>
            </w:pPr>
            <w:r>
              <w:rPr>
                <w:rFonts w:hint="eastAsia" w:ascii="宋体" w:hAnsi="宋体" w:eastAsia="宋体" w:cs="宋体"/>
                <w:i w:val="0"/>
                <w:iCs w:val="0"/>
                <w:color w:val="000000"/>
                <w:kern w:val="0"/>
                <w:sz w:val="22"/>
                <w:szCs w:val="22"/>
                <w:u w:val="none"/>
                <w:lang w:val="en-US" w:eastAsia="zh-CN" w:bidi="ar"/>
              </w:rPr>
              <w:t>332.60</w:t>
            </w:r>
          </w:p>
        </w:tc>
        <w:tc>
          <w:tcPr>
            <w:tcW w:w="204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cs="宋体"/>
                <w:color w:val="000000"/>
                <w:sz w:val="22"/>
                <w:szCs w:val="22"/>
                <w:highlight w:val="none"/>
              </w:rPr>
            </w:pPr>
          </w:p>
        </w:tc>
        <w:tc>
          <w:tcPr>
            <w:tcW w:w="172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332.60</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26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2645" w:type="dxa"/>
            <w:gridSpan w:val="5"/>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615" w:hRule="atLeast"/>
        </w:trPr>
        <w:tc>
          <w:tcPr>
            <w:tcW w:w="14000" w:type="dxa"/>
            <w:gridSpan w:val="2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本年度各项支出情况。本表金额转换为万元时，因四舍五入可能存在尾差。</w:t>
            </w:r>
          </w:p>
        </w:tc>
      </w:tr>
      <w:tr>
        <w:tblPrEx>
          <w:tblCellMar>
            <w:top w:w="0" w:type="dxa"/>
            <w:left w:w="0" w:type="dxa"/>
            <w:bottom w:w="0" w:type="dxa"/>
            <w:right w:w="0" w:type="dxa"/>
          </w:tblCellMar>
        </w:tblPrEx>
        <w:trPr>
          <w:gridAfter w:val="1"/>
          <w:wAfter w:w="27" w:type="dxa"/>
          <w:trHeight w:val="360" w:hRule="atLeast"/>
        </w:trPr>
        <w:tc>
          <w:tcPr>
            <w:tcW w:w="12655" w:type="dxa"/>
            <w:gridSpan w:val="20"/>
            <w:tcBorders>
              <w:top w:val="nil"/>
              <w:left w:val="nil"/>
              <w:bottom w:val="nil"/>
              <w:right w:val="nil"/>
            </w:tcBorders>
            <w:noWrap/>
            <w:tcMar>
              <w:top w:w="15" w:type="dxa"/>
              <w:left w:w="15" w:type="dxa"/>
              <w:right w:w="15" w:type="dxa"/>
            </w:tcMar>
            <w:vAlign w:val="center"/>
          </w:tcPr>
          <w:p>
            <w:pPr>
              <w:widowControl/>
              <w:jc w:val="center"/>
              <w:textAlignment w:val="center"/>
              <w:rPr>
                <w:rFonts w:hint="eastAsia" w:ascii="华文中宋" w:hAnsi="华文中宋" w:eastAsia="华文中宋" w:cs="华文中宋"/>
                <w:color w:val="000000"/>
                <w:kern w:val="0"/>
                <w:sz w:val="32"/>
                <w:szCs w:val="32"/>
                <w:highlight w:val="none"/>
                <w:lang w:val="en-US" w:eastAsia="zh-CN" w:bidi="ar"/>
              </w:rPr>
            </w:pPr>
          </w:p>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val="en-US" w:eastAsia="zh-CN" w:bidi="ar"/>
              </w:rPr>
              <w:t xml:space="preserve">        </w:t>
            </w:r>
            <w:r>
              <w:rPr>
                <w:rFonts w:hint="eastAsia" w:ascii="华文中宋" w:hAnsi="华文中宋" w:eastAsia="华文中宋" w:cs="华文中宋"/>
                <w:color w:val="000000"/>
                <w:kern w:val="0"/>
                <w:sz w:val="32"/>
                <w:szCs w:val="32"/>
                <w:highlight w:val="none"/>
                <w:lang w:bidi="ar"/>
              </w:rPr>
              <w:t>财政拨款收入支出决算总表</w:t>
            </w:r>
          </w:p>
        </w:tc>
        <w:tc>
          <w:tcPr>
            <w:tcW w:w="1318" w:type="dxa"/>
            <w:tcBorders>
              <w:top w:val="nil"/>
              <w:left w:val="nil"/>
              <w:bottom w:val="nil"/>
              <w:right w:val="nil"/>
            </w:tcBorders>
            <w:noWrap w:val="0"/>
            <w:vAlign w:val="top"/>
          </w:tcPr>
          <w:p>
            <w:pPr>
              <w:widowControl/>
              <w:jc w:val="both"/>
              <w:textAlignment w:val="center"/>
              <w:rPr>
                <w:rFonts w:hint="eastAsia" w:ascii="华文中宋" w:hAnsi="华文中宋" w:eastAsia="华文中宋" w:cs="华文中宋"/>
                <w:color w:val="000000"/>
                <w:kern w:val="0"/>
                <w:sz w:val="32"/>
                <w:szCs w:val="32"/>
                <w:highlight w:val="none"/>
                <w:lang w:bidi="ar"/>
              </w:rPr>
            </w:pPr>
          </w:p>
        </w:tc>
      </w:tr>
      <w:tr>
        <w:tblPrEx>
          <w:tblCellMar>
            <w:top w:w="0" w:type="dxa"/>
            <w:left w:w="0" w:type="dxa"/>
            <w:bottom w:w="0" w:type="dxa"/>
            <w:right w:w="0" w:type="dxa"/>
          </w:tblCellMar>
        </w:tblPrEx>
        <w:trPr>
          <w:gridAfter w:val="1"/>
          <w:wAfter w:w="27" w:type="dxa"/>
          <w:trHeight w:val="307" w:hRule="atLeast"/>
        </w:trPr>
        <w:tc>
          <w:tcPr>
            <w:tcW w:w="2935"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70"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3450"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1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40"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57" w:type="dxa"/>
            <w:gridSpan w:val="2"/>
            <w:tcBorders>
              <w:top w:val="nil"/>
              <w:left w:val="nil"/>
              <w:bottom w:val="nil"/>
              <w:right w:val="nil"/>
            </w:tcBorders>
            <w:shd w:val="clear" w:color="auto" w:fill="FFFFFF"/>
            <w:noWrap/>
            <w:tcMar>
              <w:top w:w="15" w:type="dxa"/>
              <w:left w:w="15" w:type="dxa"/>
              <w:right w:w="15" w:type="dxa"/>
            </w:tcMar>
            <w:vAlign w:val="center"/>
          </w:tcPr>
          <w:p>
            <w:pPr>
              <w:wordWrap w:val="0"/>
              <w:jc w:val="righ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w:t>
            </w:r>
            <w:r>
              <w:rPr>
                <w:rFonts w:ascii="宋体" w:hAnsi="宋体" w:cs="宋体"/>
                <w:color w:val="000000"/>
                <w:sz w:val="20"/>
                <w:szCs w:val="20"/>
                <w:highlight w:val="none"/>
              </w:rPr>
              <w:t xml:space="preserve">       </w:t>
            </w:r>
          </w:p>
        </w:tc>
        <w:tc>
          <w:tcPr>
            <w:tcW w:w="68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bidi="ar"/>
              </w:rPr>
            </w:pPr>
          </w:p>
        </w:tc>
        <w:tc>
          <w:tcPr>
            <w:tcW w:w="1318"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公开04表</w:t>
            </w:r>
          </w:p>
        </w:tc>
      </w:tr>
      <w:tr>
        <w:tblPrEx>
          <w:tblCellMar>
            <w:top w:w="0" w:type="dxa"/>
            <w:left w:w="0" w:type="dxa"/>
            <w:bottom w:w="0" w:type="dxa"/>
            <w:right w:w="0" w:type="dxa"/>
          </w:tblCellMar>
        </w:tblPrEx>
        <w:trPr>
          <w:gridAfter w:val="1"/>
          <w:wAfter w:w="27" w:type="dxa"/>
          <w:trHeight w:val="297" w:hRule="atLeast"/>
        </w:trPr>
        <w:tc>
          <w:tcPr>
            <w:tcW w:w="4915" w:type="dxa"/>
            <w:gridSpan w:val="7"/>
            <w:tcBorders>
              <w:top w:val="nil"/>
              <w:left w:val="nil"/>
              <w:bottom w:val="single" w:color="000000" w:sz="8" w:space="0"/>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：许昌市工业和信息化局</w:t>
            </w:r>
            <w:r>
              <w:rPr>
                <w:rFonts w:hint="eastAsia" w:ascii="宋体" w:hAnsi="宋体" w:cs="宋体"/>
                <w:color w:val="000000"/>
                <w:kern w:val="0"/>
                <w:sz w:val="20"/>
                <w:szCs w:val="20"/>
                <w:highlight w:val="none"/>
                <w:lang w:eastAsia="zh-CN" w:bidi="ar"/>
              </w:rPr>
              <w:t>（本级）</w:t>
            </w:r>
          </w:p>
        </w:tc>
        <w:tc>
          <w:tcPr>
            <w:tcW w:w="3450" w:type="dxa"/>
            <w:gridSpan w:val="4"/>
            <w:tcBorders>
              <w:top w:val="nil"/>
              <w:left w:val="nil"/>
              <w:bottom w:val="single" w:color="000000" w:sz="8"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10" w:type="dxa"/>
            <w:gridSpan w:val="2"/>
            <w:tcBorders>
              <w:top w:val="nil"/>
              <w:left w:val="nil"/>
              <w:bottom w:val="single" w:color="000000" w:sz="8"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140" w:type="dxa"/>
            <w:gridSpan w:val="3"/>
            <w:tcBorders>
              <w:top w:val="nil"/>
              <w:left w:val="nil"/>
              <w:bottom w:val="single" w:color="000000" w:sz="8"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857" w:type="dxa"/>
            <w:gridSpan w:val="2"/>
            <w:tcBorders>
              <w:top w:val="nil"/>
              <w:left w:val="nil"/>
              <w:bottom w:val="single" w:color="000000" w:sz="8"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683" w:type="dxa"/>
            <w:gridSpan w:val="2"/>
            <w:tcBorders>
              <w:top w:val="nil"/>
              <w:left w:val="nil"/>
              <w:bottom w:val="single" w:color="000000" w:sz="8" w:space="0"/>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highlight w:val="none"/>
                <w:lang w:bidi="ar"/>
              </w:rPr>
            </w:pPr>
          </w:p>
        </w:tc>
        <w:tc>
          <w:tcPr>
            <w:tcW w:w="1318" w:type="dxa"/>
            <w:tcBorders>
              <w:top w:val="nil"/>
              <w:left w:val="nil"/>
              <w:bottom w:val="single" w:color="000000" w:sz="8" w:space="0"/>
              <w:right w:val="nil"/>
            </w:tcBorders>
            <w:shd w:val="clear" w:color="auto" w:fill="FFFFFF"/>
            <w:noWrap w:val="0"/>
            <w:vAlign w:val="center"/>
          </w:tcPr>
          <w:p>
            <w:pPr>
              <w:widowControl/>
              <w:jc w:val="righ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gridAfter w:val="1"/>
          <w:wAfter w:w="27" w:type="dxa"/>
          <w:trHeight w:val="347" w:hRule="atLeast"/>
        </w:trPr>
        <w:tc>
          <w:tcPr>
            <w:tcW w:w="4915" w:type="dxa"/>
            <w:gridSpan w:val="7"/>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收入</w:t>
            </w:r>
          </w:p>
        </w:tc>
        <w:tc>
          <w:tcPr>
            <w:tcW w:w="9058" w:type="dxa"/>
            <w:gridSpan w:val="14"/>
            <w:tcBorders>
              <w:top w:val="single" w:color="000000" w:sz="8"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支出</w:t>
            </w:r>
          </w:p>
        </w:tc>
      </w:tr>
      <w:tr>
        <w:tblPrEx>
          <w:tblCellMar>
            <w:top w:w="0" w:type="dxa"/>
            <w:left w:w="0" w:type="dxa"/>
            <w:bottom w:w="0" w:type="dxa"/>
            <w:right w:w="0" w:type="dxa"/>
          </w:tblCellMar>
        </w:tblPrEx>
        <w:trPr>
          <w:gridAfter w:val="1"/>
          <w:wAfter w:w="27" w:type="dxa"/>
          <w:trHeight w:val="90"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金额</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行次</w:t>
            </w:r>
          </w:p>
        </w:tc>
        <w:tc>
          <w:tcPr>
            <w:tcW w:w="114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2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一般公共预算财政拨款</w:t>
            </w:r>
          </w:p>
        </w:tc>
        <w:tc>
          <w:tcPr>
            <w:tcW w:w="1300" w:type="dxa"/>
            <w:gridSpan w:val="3"/>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政府性基金预算财政拨款</w:t>
            </w:r>
          </w:p>
        </w:tc>
        <w:tc>
          <w:tcPr>
            <w:tcW w:w="1318" w:type="dxa"/>
            <w:tcBorders>
              <w:top w:val="single" w:color="000000" w:sz="4" w:space="0"/>
              <w:left w:val="single" w:color="auto" w:sz="4" w:space="0"/>
              <w:bottom w:val="single" w:color="000000" w:sz="4" w:space="0"/>
              <w:right w:val="single" w:color="000000" w:sz="8" w:space="0"/>
            </w:tcBorders>
            <w:noWrap w:val="0"/>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sz w:val="20"/>
                <w:szCs w:val="20"/>
                <w:highlight w:val="none"/>
              </w:rPr>
              <w:t>国有资本经营预算财政拨款</w:t>
            </w:r>
          </w:p>
        </w:tc>
      </w:tr>
      <w:tr>
        <w:tblPrEx>
          <w:tblCellMar>
            <w:top w:w="0" w:type="dxa"/>
            <w:left w:w="0" w:type="dxa"/>
            <w:bottom w:w="0" w:type="dxa"/>
            <w:right w:w="0" w:type="dxa"/>
          </w:tblCellMar>
        </w:tblPrEx>
        <w:trPr>
          <w:gridAfter w:val="1"/>
          <w:wAfter w:w="27" w:type="dxa"/>
          <w:trHeight w:val="35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2"/>
                <w:szCs w:val="22"/>
                <w:highlight w:val="none"/>
                <w:lang w:bidi="ar"/>
              </w:rPr>
              <w:t>1</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    次</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300" w:type="dxa"/>
            <w:gridSpan w:val="3"/>
            <w:tcBorders>
              <w:top w:val="single" w:color="000000" w:sz="4" w:space="0"/>
              <w:left w:val="single" w:color="000000" w:sz="4" w:space="0"/>
              <w:bottom w:val="single" w:color="000000"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318" w:type="dxa"/>
            <w:tcBorders>
              <w:top w:val="single" w:color="000000" w:sz="4" w:space="0"/>
              <w:left w:val="single" w:color="auto" w:sz="4" w:space="0"/>
              <w:bottom w:val="single" w:color="000000" w:sz="4" w:space="0"/>
              <w:right w:val="single" w:color="000000" w:sz="8" w:space="0"/>
            </w:tcBorders>
            <w:shd w:val="clear" w:color="auto" w:fill="FFFFFF"/>
            <w:noWrap w:val="0"/>
            <w:vAlign w:val="top"/>
          </w:tcPr>
          <w:p>
            <w:pPr>
              <w:widowControl/>
              <w:jc w:val="center"/>
              <w:textAlignment w:val="center"/>
              <w:rPr>
                <w:rFonts w:hint="eastAsia" w:ascii="宋体" w:hAnsi="宋体" w:cs="宋体"/>
                <w:color w:val="000000"/>
                <w:kern w:val="0"/>
                <w:sz w:val="22"/>
                <w:szCs w:val="22"/>
                <w:highlight w:val="none"/>
                <w:lang w:bidi="ar"/>
              </w:rPr>
            </w:pPr>
            <w:r>
              <w:rPr>
                <w:rFonts w:ascii="宋体" w:hAnsi="宋体" w:cs="宋体"/>
                <w:color w:val="000000"/>
                <w:kern w:val="0"/>
                <w:sz w:val="22"/>
                <w:szCs w:val="22"/>
                <w:highlight w:val="none"/>
                <w:lang w:bidi="ar"/>
              </w:rPr>
              <w:t>5</w:t>
            </w:r>
          </w:p>
        </w:tc>
      </w:tr>
      <w:tr>
        <w:tblPrEx>
          <w:tblCellMar>
            <w:top w:w="0" w:type="dxa"/>
            <w:left w:w="0" w:type="dxa"/>
            <w:bottom w:w="0" w:type="dxa"/>
            <w:right w:w="0" w:type="dxa"/>
          </w:tblCellMar>
        </w:tblPrEx>
        <w:trPr>
          <w:gridAfter w:val="1"/>
          <w:wAfter w:w="27" w:type="dxa"/>
          <w:trHeight w:val="35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一、一般公共预算财政拨款</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8,124.83</w:t>
            </w: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一、一般公共服务支出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33</w:t>
            </w:r>
          </w:p>
        </w:tc>
        <w:tc>
          <w:tcPr>
            <w:tcW w:w="1140" w:type="dxa"/>
            <w:gridSpan w:val="3"/>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4.91</w:t>
            </w:r>
          </w:p>
        </w:tc>
        <w:tc>
          <w:tcPr>
            <w:tcW w:w="12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4.91</w:t>
            </w:r>
          </w:p>
        </w:tc>
        <w:tc>
          <w:tcPr>
            <w:tcW w:w="1300" w:type="dxa"/>
            <w:gridSpan w:val="3"/>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6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二、政府性基金预算财政拨款</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二、外交支出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34</w:t>
            </w:r>
          </w:p>
        </w:tc>
        <w:tc>
          <w:tcPr>
            <w:tcW w:w="1140" w:type="dxa"/>
            <w:gridSpan w:val="3"/>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1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三、国有资本经营预算财政拨款</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三、国防支出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35</w:t>
            </w:r>
          </w:p>
        </w:tc>
        <w:tc>
          <w:tcPr>
            <w:tcW w:w="1140" w:type="dxa"/>
            <w:gridSpan w:val="3"/>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5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四、公共安全支出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36</w:t>
            </w:r>
          </w:p>
        </w:tc>
        <w:tc>
          <w:tcPr>
            <w:tcW w:w="1140" w:type="dxa"/>
            <w:gridSpan w:val="3"/>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1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5</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五、教育支出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37</w:t>
            </w:r>
          </w:p>
        </w:tc>
        <w:tc>
          <w:tcPr>
            <w:tcW w:w="1140" w:type="dxa"/>
            <w:gridSpan w:val="3"/>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7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六、科学技术支出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38</w:t>
            </w:r>
          </w:p>
        </w:tc>
        <w:tc>
          <w:tcPr>
            <w:tcW w:w="1140" w:type="dxa"/>
            <w:gridSpan w:val="3"/>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6,160.80</w:t>
            </w:r>
          </w:p>
        </w:tc>
        <w:tc>
          <w:tcPr>
            <w:tcW w:w="12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6,160.80</w:t>
            </w:r>
          </w:p>
        </w:tc>
        <w:tc>
          <w:tcPr>
            <w:tcW w:w="1300" w:type="dxa"/>
            <w:gridSpan w:val="3"/>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3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7</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39</w:t>
            </w:r>
          </w:p>
        </w:tc>
        <w:tc>
          <w:tcPr>
            <w:tcW w:w="1140" w:type="dxa"/>
            <w:gridSpan w:val="3"/>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67"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8</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40</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699.84</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699.84</w:t>
            </w: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3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9</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九、卫生健康支出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41</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62.83</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62.83</w:t>
            </w: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17"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10</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十、节能环保支出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42</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2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11</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十一、城乡社区支出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43</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6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12</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十二、农林水支出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44</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1.41</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tabs>
                <w:tab w:val="left" w:pos="255"/>
              </w:tabs>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eastAsia="zh-CN"/>
              </w:rPr>
              <w:tab/>
            </w:r>
            <w:r>
              <w:rPr>
                <w:rFonts w:hint="eastAsia" w:ascii="宋体" w:hAnsi="宋体" w:cs="宋体"/>
                <w:color w:val="000000"/>
                <w:sz w:val="22"/>
                <w:szCs w:val="22"/>
                <w:highlight w:val="none"/>
                <w:lang w:val="en-US" w:eastAsia="zh-CN"/>
              </w:rPr>
              <w:t>1.41</w:t>
            </w: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6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13</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十三、交通运输支出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45</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7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14</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46</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tabs>
                <w:tab w:val="left" w:pos="355"/>
              </w:tabs>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1,416.78</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1,416.78</w:t>
            </w: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3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15</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47</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37"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16</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十六、金融支出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48</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5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17</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49</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2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18</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50</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4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19</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十九、住房保障支出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51</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3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20</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52</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0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21</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53</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67"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22</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54</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72"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23</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二十三、其他支出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55</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37"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24</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56</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57"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25</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57</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47"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26</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cs="宋体"/>
                <w:color w:val="000000"/>
                <w:kern w:val="0"/>
                <w:sz w:val="22"/>
                <w:szCs w:val="22"/>
                <w:highlight w:val="none"/>
                <w:lang w:val="en-US" w:eastAsia="zh-CN" w:bidi="ar"/>
              </w:rPr>
              <w:t>58</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77"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本年收入合计</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27</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8,124.83</w:t>
            </w: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本年支出合计</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59</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8,346.57</w:t>
            </w: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8,346.57</w:t>
            </w: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b/>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b/>
                <w:color w:val="000000"/>
                <w:sz w:val="20"/>
                <w:szCs w:val="20"/>
                <w:highlight w:val="none"/>
              </w:rPr>
            </w:pPr>
          </w:p>
        </w:tc>
      </w:tr>
      <w:tr>
        <w:tblPrEx>
          <w:tblCellMar>
            <w:top w:w="0" w:type="dxa"/>
            <w:left w:w="0" w:type="dxa"/>
            <w:bottom w:w="0" w:type="dxa"/>
            <w:right w:w="0" w:type="dxa"/>
          </w:tblCellMar>
        </w:tblPrEx>
        <w:trPr>
          <w:gridAfter w:val="1"/>
          <w:wAfter w:w="27" w:type="dxa"/>
          <w:trHeight w:val="377"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财政拨款结转和结余</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28</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221.74</w:t>
            </w: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年末财政拨款结转和结余</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60</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4"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67" w:hRule="atLeast"/>
        </w:trPr>
        <w:tc>
          <w:tcPr>
            <w:tcW w:w="2935" w:type="dxa"/>
            <w:gridSpan w:val="3"/>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400" w:firstLineChars="200"/>
              <w:jc w:val="both"/>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一般公共预算财政拨款</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29</w:t>
            </w:r>
          </w:p>
        </w:tc>
        <w:tc>
          <w:tcPr>
            <w:tcW w:w="137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221.74</w:t>
            </w:r>
          </w:p>
        </w:tc>
        <w:tc>
          <w:tcPr>
            <w:tcW w:w="3450" w:type="dxa"/>
            <w:gridSpan w:val="4"/>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61</w:t>
            </w:r>
          </w:p>
        </w:tc>
        <w:tc>
          <w:tcPr>
            <w:tcW w:w="1140" w:type="dxa"/>
            <w:gridSpan w:val="3"/>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4" w:space="0"/>
              <w:left w:val="nil"/>
              <w:bottom w:val="single" w:color="000000" w:sz="6" w:space="0"/>
              <w:right w:val="single" w:color="auto" w:sz="4"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4" w:space="0"/>
              <w:left w:val="single" w:color="auto" w:sz="4" w:space="0"/>
              <w:bottom w:val="single" w:color="000000" w:sz="6"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57" w:hRule="atLeast"/>
        </w:trPr>
        <w:tc>
          <w:tcPr>
            <w:tcW w:w="2935" w:type="dxa"/>
            <w:gridSpan w:val="3"/>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widowControl/>
              <w:ind w:firstLine="400" w:firstLineChars="200"/>
              <w:jc w:val="both"/>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政府性基金预算财政拨款</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30</w:t>
            </w:r>
          </w:p>
        </w:tc>
        <w:tc>
          <w:tcPr>
            <w:tcW w:w="1370" w:type="dxa"/>
            <w:gridSpan w:val="3"/>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62</w:t>
            </w:r>
          </w:p>
        </w:tc>
        <w:tc>
          <w:tcPr>
            <w:tcW w:w="1140" w:type="dxa"/>
            <w:gridSpan w:val="3"/>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tcBorders>
              <w:top w:val="single" w:color="000000" w:sz="4" w:space="0"/>
              <w:left w:val="single" w:color="000000" w:sz="4" w:space="0"/>
              <w:bottom w:val="single" w:color="000000" w:sz="4" w:space="0"/>
              <w:right w:val="single" w:color="000000" w:sz="6"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6" w:space="0"/>
              <w:left w:val="single" w:color="000000" w:sz="6" w:space="0"/>
              <w:bottom w:val="single" w:color="000000" w:sz="6" w:space="0"/>
              <w:right w:val="single" w:color="000000" w:sz="6"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6" w:space="0"/>
              <w:left w:val="single" w:color="000000" w:sz="6" w:space="0"/>
              <w:bottom w:val="single" w:color="000000" w:sz="6"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62" w:hRule="atLeast"/>
        </w:trPr>
        <w:tc>
          <w:tcPr>
            <w:tcW w:w="2935" w:type="dxa"/>
            <w:gridSpan w:val="3"/>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ind w:firstLine="400" w:firstLineChars="200"/>
              <w:jc w:val="both"/>
              <w:rPr>
                <w:rFonts w:hint="eastAsia" w:ascii="宋体" w:hAnsi="宋体" w:cs="宋体"/>
                <w:color w:val="000000"/>
                <w:sz w:val="20"/>
                <w:szCs w:val="20"/>
                <w:highlight w:val="none"/>
              </w:rPr>
            </w:pPr>
            <w:r>
              <w:rPr>
                <w:rFonts w:hint="eastAsia" w:ascii="宋体" w:hAnsi="宋体" w:cs="宋体"/>
                <w:color w:val="000000"/>
                <w:sz w:val="20"/>
                <w:szCs w:val="20"/>
                <w:highlight w:val="none"/>
              </w:rPr>
              <w:t>国有资本经营预算财政拨款</w:t>
            </w:r>
          </w:p>
        </w:tc>
        <w:tc>
          <w:tcPr>
            <w:tcW w:w="6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31</w:t>
            </w:r>
          </w:p>
        </w:tc>
        <w:tc>
          <w:tcPr>
            <w:tcW w:w="1370" w:type="dxa"/>
            <w:gridSpan w:val="3"/>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3450" w:type="dxa"/>
            <w:gridSpan w:val="4"/>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highlight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63</w:t>
            </w:r>
          </w:p>
        </w:tc>
        <w:tc>
          <w:tcPr>
            <w:tcW w:w="1140" w:type="dxa"/>
            <w:gridSpan w:val="3"/>
            <w:tcBorders>
              <w:top w:val="single" w:color="000000" w:sz="4" w:space="0"/>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240" w:type="dxa"/>
            <w:tcBorders>
              <w:top w:val="single" w:color="000000" w:sz="4" w:space="0"/>
              <w:left w:val="single" w:color="000000" w:sz="4" w:space="0"/>
              <w:bottom w:val="single" w:color="000000" w:sz="4" w:space="0"/>
              <w:right w:val="single" w:color="000000" w:sz="6" w:space="0"/>
            </w:tcBorders>
            <w:shd w:val="clear" w:color="auto" w:fill="FFFFFF"/>
            <w:noWrap/>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300" w:type="dxa"/>
            <w:gridSpan w:val="3"/>
            <w:tcBorders>
              <w:top w:val="single" w:color="000000" w:sz="6" w:space="0"/>
              <w:left w:val="single" w:color="000000" w:sz="6" w:space="0"/>
              <w:bottom w:val="single" w:color="000000" w:sz="6" w:space="0"/>
              <w:right w:val="single" w:color="000000" w:sz="6" w:space="0"/>
            </w:tcBorders>
            <w:noWrap/>
            <w:tcMar>
              <w:top w:w="15" w:type="dxa"/>
              <w:left w:w="15" w:type="dxa"/>
              <w:right w:w="15" w:type="dxa"/>
            </w:tcMar>
            <w:vAlign w:val="center"/>
          </w:tcPr>
          <w:p>
            <w:pPr>
              <w:jc w:val="right"/>
              <w:rPr>
                <w:rFonts w:hint="eastAsia" w:ascii="宋体" w:hAnsi="宋体" w:cs="宋体"/>
                <w:color w:val="000000"/>
                <w:sz w:val="20"/>
                <w:szCs w:val="20"/>
                <w:highlight w:val="none"/>
              </w:rPr>
            </w:pPr>
          </w:p>
        </w:tc>
        <w:tc>
          <w:tcPr>
            <w:tcW w:w="1318" w:type="dxa"/>
            <w:tcBorders>
              <w:top w:val="single" w:color="000000" w:sz="6" w:space="0"/>
              <w:left w:val="single" w:color="000000" w:sz="6" w:space="0"/>
              <w:bottom w:val="single" w:color="000000" w:sz="6" w:space="0"/>
              <w:right w:val="single" w:color="000000" w:sz="8" w:space="0"/>
            </w:tcBorders>
            <w:noWrap w:val="0"/>
            <w:vAlign w:val="top"/>
          </w:tcPr>
          <w:p>
            <w:pPr>
              <w:jc w:val="right"/>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27" w:type="dxa"/>
          <w:trHeight w:val="382" w:hRule="atLeast"/>
        </w:trPr>
        <w:tc>
          <w:tcPr>
            <w:tcW w:w="2935" w:type="dxa"/>
            <w:gridSpan w:val="3"/>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610"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32</w:t>
            </w:r>
          </w:p>
        </w:tc>
        <w:tc>
          <w:tcPr>
            <w:tcW w:w="1370" w:type="dxa"/>
            <w:gridSpan w:val="3"/>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8,346.57</w:t>
            </w:r>
          </w:p>
        </w:tc>
        <w:tc>
          <w:tcPr>
            <w:tcW w:w="3450" w:type="dxa"/>
            <w:gridSpan w:val="4"/>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highlight w:val="none"/>
              </w:rPr>
            </w:pPr>
            <w:r>
              <w:rPr>
                <w:rFonts w:hint="eastAsia" w:ascii="宋体" w:hAnsi="宋体" w:cs="宋体"/>
                <w:b/>
                <w:color w:val="000000"/>
                <w:kern w:val="0"/>
                <w:sz w:val="20"/>
                <w:szCs w:val="20"/>
                <w:highlight w:val="none"/>
                <w:lang w:bidi="ar"/>
              </w:rPr>
              <w:t>总计</w:t>
            </w:r>
          </w:p>
        </w:tc>
        <w:tc>
          <w:tcPr>
            <w:tcW w:w="610"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kern w:val="0"/>
                <w:sz w:val="22"/>
                <w:szCs w:val="22"/>
                <w:highlight w:val="none"/>
                <w:lang w:val="en-US" w:eastAsia="zh-CN" w:bidi="ar"/>
              </w:rPr>
              <w:t>64</w:t>
            </w:r>
          </w:p>
        </w:tc>
        <w:tc>
          <w:tcPr>
            <w:tcW w:w="1140" w:type="dxa"/>
            <w:gridSpan w:val="3"/>
            <w:tcBorders>
              <w:top w:val="single" w:color="000000" w:sz="4" w:space="0"/>
              <w:left w:val="nil"/>
              <w:bottom w:val="single" w:color="000000" w:sz="8" w:space="0"/>
              <w:right w:val="nil"/>
            </w:tcBorders>
            <w:shd w:val="clear" w:color="auto" w:fill="FFFFFF"/>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8,346.57</w:t>
            </w:r>
          </w:p>
        </w:tc>
        <w:tc>
          <w:tcPr>
            <w:tcW w:w="1240" w:type="dxa"/>
            <w:tcBorders>
              <w:top w:val="single" w:color="000000" w:sz="4" w:space="0"/>
              <w:left w:val="single" w:color="000000" w:sz="4" w:space="0"/>
              <w:bottom w:val="single" w:color="000000" w:sz="8" w:space="0"/>
              <w:right w:val="single" w:color="000000" w:sz="6" w:space="0"/>
            </w:tcBorders>
            <w:shd w:val="clear" w:color="auto" w:fill="FFFFFF"/>
            <w:noWrap/>
            <w:tcMar>
              <w:top w:w="15" w:type="dxa"/>
              <w:left w:w="15" w:type="dxa"/>
              <w:right w:w="15" w:type="dxa"/>
            </w:tcMar>
            <w:vAlign w:val="center"/>
          </w:tcPr>
          <w:p>
            <w:pPr>
              <w:tabs>
                <w:tab w:val="left" w:pos="375"/>
              </w:tabs>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8,346.57</w:t>
            </w:r>
          </w:p>
        </w:tc>
        <w:tc>
          <w:tcPr>
            <w:tcW w:w="1300" w:type="dxa"/>
            <w:gridSpan w:val="3"/>
            <w:tcBorders>
              <w:top w:val="single" w:color="000000" w:sz="6" w:space="0"/>
              <w:left w:val="single" w:color="000000" w:sz="6" w:space="0"/>
              <w:bottom w:val="single" w:color="000000" w:sz="8" w:space="0"/>
              <w:right w:val="single" w:color="000000" w:sz="6" w:space="0"/>
            </w:tcBorders>
            <w:noWrap/>
            <w:tcMar>
              <w:top w:w="15" w:type="dxa"/>
              <w:left w:w="15" w:type="dxa"/>
              <w:right w:w="15" w:type="dxa"/>
            </w:tcMar>
            <w:vAlign w:val="center"/>
          </w:tcPr>
          <w:p>
            <w:pPr>
              <w:jc w:val="right"/>
              <w:rPr>
                <w:rFonts w:hint="eastAsia" w:ascii="宋体" w:hAnsi="宋体" w:cs="宋体"/>
                <w:b/>
                <w:color w:val="000000"/>
                <w:sz w:val="20"/>
                <w:szCs w:val="20"/>
                <w:highlight w:val="none"/>
              </w:rPr>
            </w:pPr>
          </w:p>
        </w:tc>
        <w:tc>
          <w:tcPr>
            <w:tcW w:w="1318" w:type="dxa"/>
            <w:tcBorders>
              <w:top w:val="single" w:color="000000" w:sz="6" w:space="0"/>
              <w:left w:val="single" w:color="000000" w:sz="6" w:space="0"/>
              <w:bottom w:val="single" w:color="000000" w:sz="8" w:space="0"/>
              <w:right w:val="single" w:color="000000" w:sz="8" w:space="0"/>
            </w:tcBorders>
            <w:noWrap w:val="0"/>
            <w:vAlign w:val="top"/>
          </w:tcPr>
          <w:p>
            <w:pPr>
              <w:jc w:val="right"/>
              <w:rPr>
                <w:rFonts w:hint="eastAsia" w:ascii="宋体" w:hAnsi="宋体" w:cs="宋体"/>
                <w:b/>
                <w:color w:val="000000"/>
                <w:sz w:val="20"/>
                <w:szCs w:val="20"/>
                <w:highlight w:val="none"/>
              </w:rPr>
            </w:pPr>
          </w:p>
        </w:tc>
      </w:tr>
      <w:tr>
        <w:tblPrEx>
          <w:tblCellMar>
            <w:top w:w="0" w:type="dxa"/>
            <w:left w:w="0" w:type="dxa"/>
            <w:bottom w:w="0" w:type="dxa"/>
            <w:right w:w="0" w:type="dxa"/>
          </w:tblCellMar>
        </w:tblPrEx>
        <w:trPr>
          <w:gridAfter w:val="1"/>
          <w:wAfter w:w="27" w:type="dxa"/>
          <w:trHeight w:val="585" w:hRule="atLeast"/>
        </w:trPr>
        <w:tc>
          <w:tcPr>
            <w:tcW w:w="12655" w:type="dxa"/>
            <w:gridSpan w:val="20"/>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本年度一般公共预算财政拨款、政府性基金预算财政拨款和国有资本经营预算财政拨款的总收支和年末结转结余情况。本表金额转换为万元时，因四舍五入可能存在尾差。</w:t>
            </w:r>
          </w:p>
        </w:tc>
        <w:tc>
          <w:tcPr>
            <w:tcW w:w="1318" w:type="dxa"/>
            <w:tcBorders>
              <w:top w:val="single" w:color="000000" w:sz="8" w:space="0"/>
              <w:left w:val="nil"/>
              <w:bottom w:val="nil"/>
              <w:right w:val="nil"/>
            </w:tcBorders>
            <w:noWrap w:val="0"/>
            <w:vAlign w:val="top"/>
          </w:tcPr>
          <w:p>
            <w:pPr>
              <w:widowControl/>
              <w:jc w:val="left"/>
              <w:textAlignment w:val="center"/>
              <w:rPr>
                <w:rFonts w:hint="eastAsia" w:ascii="宋体" w:hAnsi="宋体" w:cs="宋体"/>
                <w:color w:val="000000"/>
                <w:kern w:val="0"/>
                <w:sz w:val="20"/>
                <w:szCs w:val="20"/>
                <w:highlight w:val="none"/>
                <w:lang w:bidi="ar"/>
              </w:rPr>
            </w:pP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1"/>
        <w:tblW w:w="0" w:type="auto"/>
        <w:tblInd w:w="0" w:type="dxa"/>
        <w:tblLayout w:type="fixed"/>
        <w:tblCellMar>
          <w:top w:w="0" w:type="dxa"/>
          <w:left w:w="0" w:type="dxa"/>
          <w:bottom w:w="0" w:type="dxa"/>
          <w:right w:w="0" w:type="dxa"/>
        </w:tblCellMar>
      </w:tblPr>
      <w:tblGrid>
        <w:gridCol w:w="726"/>
        <w:gridCol w:w="519"/>
        <w:gridCol w:w="4360"/>
        <w:gridCol w:w="3100"/>
        <w:gridCol w:w="2600"/>
        <w:gridCol w:w="2683"/>
      </w:tblGrid>
      <w:tr>
        <w:tblPrEx>
          <w:tblCellMar>
            <w:top w:w="0" w:type="dxa"/>
            <w:left w:w="0" w:type="dxa"/>
            <w:bottom w:w="0" w:type="dxa"/>
            <w:right w:w="0" w:type="dxa"/>
          </w:tblCellMar>
        </w:tblPrEx>
        <w:trPr>
          <w:trHeight w:val="600" w:hRule="atLeast"/>
        </w:trPr>
        <w:tc>
          <w:tcPr>
            <w:tcW w:w="13988" w:type="dxa"/>
            <w:gridSpan w:val="6"/>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19"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36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10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60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68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w:t>
            </w:r>
            <w:r>
              <w:rPr>
                <w:rStyle w:val="22"/>
                <w:rFonts w:hint="default"/>
                <w:highlight w:val="none"/>
                <w:lang w:bidi="ar"/>
              </w:rPr>
              <w:t>5表</w:t>
            </w:r>
          </w:p>
        </w:tc>
      </w:tr>
      <w:tr>
        <w:tblPrEx>
          <w:tblCellMar>
            <w:top w:w="0" w:type="dxa"/>
            <w:left w:w="0" w:type="dxa"/>
            <w:bottom w:w="0" w:type="dxa"/>
            <w:right w:w="0" w:type="dxa"/>
          </w:tblCellMar>
        </w:tblPrEx>
        <w:trPr>
          <w:trHeight w:val="300" w:hRule="atLeast"/>
        </w:trPr>
        <w:tc>
          <w:tcPr>
            <w:tcW w:w="5605" w:type="dxa"/>
            <w:gridSpan w:val="3"/>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highlight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：许昌市工业和信息化局</w:t>
            </w:r>
            <w:r>
              <w:rPr>
                <w:rFonts w:hint="eastAsia" w:ascii="宋体" w:hAnsi="宋体" w:cs="宋体"/>
                <w:color w:val="000000"/>
                <w:kern w:val="0"/>
                <w:sz w:val="20"/>
                <w:szCs w:val="20"/>
                <w:highlight w:val="none"/>
                <w:lang w:eastAsia="zh-CN" w:bidi="ar"/>
              </w:rPr>
              <w:t>（本级）</w:t>
            </w:r>
          </w:p>
        </w:tc>
        <w:tc>
          <w:tcPr>
            <w:tcW w:w="310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60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68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405" w:hRule="atLeast"/>
        </w:trPr>
        <w:tc>
          <w:tcPr>
            <w:tcW w:w="5605"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项 </w:t>
            </w:r>
            <w:r>
              <w:rPr>
                <w:rStyle w:val="19"/>
                <w:rFonts w:hint="default"/>
                <w:sz w:val="20"/>
                <w:szCs w:val="20"/>
                <w:highlight w:val="none"/>
                <w:lang w:bidi="ar"/>
              </w:rPr>
              <w:t xml:space="preserve">   </w:t>
            </w:r>
            <w:r>
              <w:rPr>
                <w:rStyle w:val="21"/>
                <w:rFonts w:hint="default"/>
                <w:sz w:val="20"/>
                <w:szCs w:val="20"/>
                <w:highlight w:val="none"/>
                <w:lang w:bidi="ar"/>
              </w:rPr>
              <w:t>目</w:t>
            </w:r>
          </w:p>
        </w:tc>
        <w:tc>
          <w:tcPr>
            <w:tcW w:w="8383"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w:t>
            </w:r>
          </w:p>
        </w:tc>
      </w:tr>
      <w:tr>
        <w:tblPrEx>
          <w:tblCellMar>
            <w:top w:w="0" w:type="dxa"/>
            <w:left w:w="0" w:type="dxa"/>
            <w:bottom w:w="0" w:type="dxa"/>
            <w:right w:w="0" w:type="dxa"/>
          </w:tblCellMar>
        </w:tblPrEx>
        <w:trPr>
          <w:trHeight w:val="495" w:hRule="atLeast"/>
        </w:trPr>
        <w:tc>
          <w:tcPr>
            <w:tcW w:w="1245"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43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3100"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2600"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2683"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r>
      <w:tr>
        <w:tblPrEx>
          <w:tblCellMar>
            <w:top w:w="0" w:type="dxa"/>
            <w:left w:w="0" w:type="dxa"/>
            <w:bottom w:w="0" w:type="dxa"/>
            <w:right w:w="0" w:type="dxa"/>
          </w:tblCellMar>
        </w:tblPrEx>
        <w:trPr>
          <w:trHeight w:val="360" w:hRule="atLeast"/>
        </w:trPr>
        <w:tc>
          <w:tcPr>
            <w:tcW w:w="1245"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3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10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60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683"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312" w:hRule="atLeast"/>
        </w:trPr>
        <w:tc>
          <w:tcPr>
            <w:tcW w:w="1245"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43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310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60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683"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450" w:hRule="atLeast"/>
        </w:trPr>
        <w:tc>
          <w:tcPr>
            <w:tcW w:w="5605"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r>
      <w:tr>
        <w:tblPrEx>
          <w:tblCellMar>
            <w:top w:w="0" w:type="dxa"/>
            <w:left w:w="0" w:type="dxa"/>
            <w:bottom w:w="0" w:type="dxa"/>
            <w:right w:w="0" w:type="dxa"/>
          </w:tblCellMar>
        </w:tblPrEx>
        <w:trPr>
          <w:trHeight w:val="450" w:hRule="atLeast"/>
        </w:trPr>
        <w:tc>
          <w:tcPr>
            <w:tcW w:w="5605"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8,346.57</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1,851.77</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default" w:ascii="宋体" w:hAnsi="宋体" w:eastAsia="宋体" w:cs="宋体"/>
                <w:b/>
                <w:bCs/>
                <w:color w:val="000000"/>
                <w:sz w:val="22"/>
                <w:szCs w:val="22"/>
                <w:highlight w:val="none"/>
                <w:lang w:val="en-US" w:eastAsia="zh-CN"/>
              </w:rPr>
            </w:pPr>
            <w:r>
              <w:rPr>
                <w:rFonts w:hint="eastAsia" w:ascii="宋体" w:hAnsi="宋体" w:cs="宋体"/>
                <w:b/>
                <w:bCs/>
                <w:color w:val="000000"/>
                <w:sz w:val="22"/>
                <w:szCs w:val="22"/>
                <w:highlight w:val="none"/>
                <w:lang w:val="en-US" w:eastAsia="zh-CN"/>
              </w:rPr>
              <w:t>6,494.81</w:t>
            </w: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201</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一般公共服务支出</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4.91</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4.91</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20129</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群众团体事务</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4.91</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4.91</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2012906</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4.91</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4.91</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206</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科学技术支出</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6,160.80</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6,160.80</w:t>
            </w: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20609</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科技重大项目</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6,160.80</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6,160.80</w:t>
            </w: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2060999</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其他科技重大项目</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6,160.80</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6,160.80</w:t>
            </w: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208</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699.84</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699.84</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20805</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576.45</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576.45</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2080501</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500.32</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500.32</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2080505</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76.12</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76.12</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20808</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抚恤</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123.39</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123.39</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2080801</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123.39</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123.39</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210</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62.83</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62.83</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21011</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62.83</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62.83</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2101101</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30.11</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30.11</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2101103</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32.72</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32.72</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213</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农林水支出</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1.41</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21301</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农业农村</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1.41</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2130102</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1.41</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1.41</w:t>
            </w: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215</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1,416.78</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1,084.18</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332.60</w:t>
            </w: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21505</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工业和信息产业监管</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1,416.78</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1,084.18</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332.60</w:t>
            </w: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2150501</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1,084.18</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1,084.18</w:t>
            </w: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450" w:hRule="atLeast"/>
        </w:trPr>
        <w:tc>
          <w:tcPr>
            <w:tcW w:w="1245"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2150502</w:t>
            </w:r>
          </w:p>
        </w:tc>
        <w:tc>
          <w:tcPr>
            <w:tcW w:w="4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31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332.60</w:t>
            </w:r>
          </w:p>
        </w:tc>
        <w:tc>
          <w:tcPr>
            <w:tcW w:w="2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2683"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332.60</w:t>
            </w:r>
          </w:p>
        </w:tc>
      </w:tr>
      <w:tr>
        <w:tblPrEx>
          <w:tblCellMar>
            <w:top w:w="0" w:type="dxa"/>
            <w:left w:w="0" w:type="dxa"/>
            <w:bottom w:w="0" w:type="dxa"/>
            <w:right w:w="0" w:type="dxa"/>
          </w:tblCellMar>
        </w:tblPrEx>
        <w:trPr>
          <w:trHeight w:val="645" w:hRule="atLeast"/>
        </w:trPr>
        <w:tc>
          <w:tcPr>
            <w:tcW w:w="13988" w:type="dxa"/>
            <w:gridSpan w:val="6"/>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本年度一般公共预算财政拨款支出情况。本表金额转换为万元时，因四舍五入可能存在尾差。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1"/>
        <w:tblW w:w="0" w:type="auto"/>
        <w:tblInd w:w="0" w:type="dxa"/>
        <w:tblLayout w:type="fixed"/>
        <w:tblCellMar>
          <w:top w:w="0" w:type="dxa"/>
          <w:left w:w="0" w:type="dxa"/>
          <w:bottom w:w="0" w:type="dxa"/>
          <w:right w:w="0" w:type="dxa"/>
        </w:tblCellMar>
      </w:tblPr>
      <w:tblGrid>
        <w:gridCol w:w="865"/>
        <w:gridCol w:w="2860"/>
        <w:gridCol w:w="1150"/>
        <w:gridCol w:w="920"/>
        <w:gridCol w:w="2150"/>
        <w:gridCol w:w="880"/>
        <w:gridCol w:w="890"/>
        <w:gridCol w:w="2810"/>
        <w:gridCol w:w="1463"/>
      </w:tblGrid>
      <w:tr>
        <w:tblPrEx>
          <w:tblCellMar>
            <w:top w:w="0" w:type="dxa"/>
            <w:left w:w="0" w:type="dxa"/>
            <w:bottom w:w="0" w:type="dxa"/>
            <w:right w:w="0" w:type="dxa"/>
          </w:tblCellMar>
        </w:tblPrEx>
        <w:trPr>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一般公共预算财政拨款基本支出决算明细表</w:t>
            </w:r>
          </w:p>
        </w:tc>
      </w:tr>
      <w:tr>
        <w:tblPrEx>
          <w:tblCellMar>
            <w:top w:w="0" w:type="dxa"/>
            <w:left w:w="0" w:type="dxa"/>
            <w:bottom w:w="0" w:type="dxa"/>
            <w:right w:w="0" w:type="dxa"/>
          </w:tblCellMar>
        </w:tblPrEx>
        <w:trPr>
          <w:trHeight w:val="405" w:hRule="atLeast"/>
        </w:trPr>
        <w:tc>
          <w:tcPr>
            <w:tcW w:w="86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286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92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8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89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281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46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公开06表</w:t>
            </w:r>
          </w:p>
        </w:tc>
      </w:tr>
      <w:tr>
        <w:tblPrEx>
          <w:tblCellMar>
            <w:top w:w="0" w:type="dxa"/>
            <w:left w:w="0" w:type="dxa"/>
            <w:bottom w:w="0" w:type="dxa"/>
            <w:right w:w="0" w:type="dxa"/>
          </w:tblCellMar>
        </w:tblPrEx>
        <w:trPr>
          <w:trHeight w:val="300" w:hRule="atLeast"/>
        </w:trPr>
        <w:tc>
          <w:tcPr>
            <w:tcW w:w="3725" w:type="dxa"/>
            <w:gridSpan w:val="2"/>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：许昌市工业和信息化局</w:t>
            </w:r>
            <w:r>
              <w:rPr>
                <w:rFonts w:hint="eastAsia" w:ascii="宋体" w:hAnsi="宋体" w:cs="宋体"/>
                <w:color w:val="000000"/>
                <w:kern w:val="0"/>
                <w:sz w:val="20"/>
                <w:szCs w:val="20"/>
                <w:highlight w:val="none"/>
                <w:lang w:eastAsia="zh-CN" w:bidi="ar"/>
              </w:rPr>
              <w:t>（本级）</w:t>
            </w:r>
          </w:p>
        </w:tc>
        <w:tc>
          <w:tcPr>
            <w:tcW w:w="115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92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215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88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89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281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highlight w:val="none"/>
              </w:rPr>
            </w:pPr>
          </w:p>
        </w:tc>
        <w:tc>
          <w:tcPr>
            <w:tcW w:w="1463" w:type="dxa"/>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615" w:hRule="atLeast"/>
        </w:trPr>
        <w:tc>
          <w:tcPr>
            <w:tcW w:w="865"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286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15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92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215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88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c>
          <w:tcPr>
            <w:tcW w:w="89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经济分类科目编码</w:t>
            </w:r>
          </w:p>
        </w:tc>
        <w:tc>
          <w:tcPr>
            <w:tcW w:w="281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463"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工资福利支出</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1,060.86</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商品和服务支出</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148.69</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307</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30101</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基本工资</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238.03</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30201</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办公费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8.76</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30701</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30102</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津贴补贴</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587.74</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30202</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印刷费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17.99</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30702</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30103</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奖金</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1.97</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30203</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咨询费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资本性支出</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3.08</w:t>
            </w: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30106</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伙食补助费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30204</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手续费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31001</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30107</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绩效工资</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1.86</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30205</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水费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31002</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2.71</w:t>
            </w: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30108</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机关事业单位基本养老保险费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80.79</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30206</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电费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31003</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0.37</w:t>
            </w: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30109</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职业年金缴费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30207</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邮电费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5.37</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31005</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30110</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职工基本医疗保险缴费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32.22</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30208</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取暖费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31006</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30111</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公务员医疗补助缴费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32.72</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30209</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物业管理费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31007</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30112</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其他社会保障缴费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1.62</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30211</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差旅费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18.58</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31008</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30113</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住房公积金</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62.75</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30212</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因公出国（境）费用</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31009</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30114</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医疗费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30213</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维修（护）费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2.81</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31010</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30199</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其他工资福利支出</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25.64</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30214</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租赁费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31011</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对个人和家庭的补助</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639.13</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30215</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会议费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4.74</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31012</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30301</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离休费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110.55</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30216</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培训费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31013</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30302</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退休费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389.77</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30217</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公务招待费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4.84</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31019</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30303</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退职（役）费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30218</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专用材料费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31021</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30304</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抚恤金</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123.39</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30224</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被装购置费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31022</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30305</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生活补助</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12.57</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30225</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专用燃料费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31099</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30306</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救济费</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30226</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劳务费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0.15</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399</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其他支出</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30307</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医疗费补助</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30227</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委托业务费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3.97</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39906</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赠与</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30308</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助学金</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30228</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工会经费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4.91</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39907</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30309</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奖励金</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30229</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福利费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9.27</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39908</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30310</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个人农业生产补贴</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30231</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公务用车运行维护费</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11.80</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39999</w:t>
            </w: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30399</w:t>
            </w: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对其他个人和家庭的补助支出</w:t>
            </w: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2.85</w:t>
            </w: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30239</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其他交通费用</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52.43</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30240</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税金及附加费用</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0.01</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865"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2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2"/>
                <w:szCs w:val="22"/>
                <w:highlight w:val="none"/>
              </w:rPr>
            </w:pPr>
          </w:p>
        </w:tc>
        <w:tc>
          <w:tcPr>
            <w:tcW w:w="9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30299</w:t>
            </w:r>
          </w:p>
        </w:tc>
        <w:tc>
          <w:tcPr>
            <w:tcW w:w="21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 xml:space="preserve">  其他商品和服务支出</w:t>
            </w:r>
          </w:p>
        </w:tc>
        <w:tc>
          <w:tcPr>
            <w:tcW w:w="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3.07</w:t>
            </w:r>
          </w:p>
        </w:tc>
        <w:tc>
          <w:tcPr>
            <w:tcW w:w="8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abs>
                <w:tab w:val="center" w:pos="430"/>
              </w:tabs>
              <w:jc w:val="left"/>
              <w:textAlignment w:val="center"/>
              <w:rPr>
                <w:rFonts w:hint="eastAsia" w:ascii="宋体" w:hAnsi="宋体" w:eastAsia="宋体" w:cs="宋体"/>
                <w:color w:val="000000"/>
                <w:sz w:val="22"/>
                <w:szCs w:val="22"/>
                <w:highlight w:val="none"/>
                <w:lang w:eastAsia="zh-CN"/>
              </w:rPr>
            </w:pPr>
          </w:p>
        </w:tc>
        <w:tc>
          <w:tcPr>
            <w:tcW w:w="2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p>
        </w:tc>
        <w:tc>
          <w:tcPr>
            <w:tcW w:w="146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2"/>
                <w:szCs w:val="22"/>
                <w:highlight w:val="none"/>
              </w:rPr>
            </w:pPr>
          </w:p>
        </w:tc>
      </w:tr>
      <w:tr>
        <w:tblPrEx>
          <w:tblCellMar>
            <w:top w:w="0" w:type="dxa"/>
            <w:left w:w="0" w:type="dxa"/>
            <w:bottom w:w="0" w:type="dxa"/>
            <w:right w:w="0" w:type="dxa"/>
          </w:tblCellMar>
        </w:tblPrEx>
        <w:trPr>
          <w:trHeight w:val="252" w:hRule="atLeast"/>
        </w:trPr>
        <w:tc>
          <w:tcPr>
            <w:tcW w:w="3725"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人员经费合计</w:t>
            </w:r>
          </w:p>
        </w:tc>
        <w:tc>
          <w:tcPr>
            <w:tcW w:w="1150"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1,699.99</w:t>
            </w:r>
          </w:p>
        </w:tc>
        <w:tc>
          <w:tcPr>
            <w:tcW w:w="7650"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公用经费合计</w:t>
            </w:r>
          </w:p>
        </w:tc>
        <w:tc>
          <w:tcPr>
            <w:tcW w:w="1463"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151.77</w:t>
            </w:r>
          </w:p>
        </w:tc>
      </w:tr>
      <w:tr>
        <w:tblPrEx>
          <w:tblCellMar>
            <w:top w:w="0" w:type="dxa"/>
            <w:left w:w="0" w:type="dxa"/>
            <w:bottom w:w="0" w:type="dxa"/>
            <w:right w:w="0" w:type="dxa"/>
          </w:tblCellMar>
        </w:tblPrEx>
        <w:trPr>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1"/>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公开07表</w:t>
            </w:r>
          </w:p>
        </w:tc>
      </w:tr>
      <w:tr>
        <w:tblPrEx>
          <w:tblCellMar>
            <w:top w:w="0" w:type="dxa"/>
            <w:left w:w="0" w:type="dxa"/>
            <w:bottom w:w="0" w:type="dxa"/>
            <w:right w:w="0" w:type="dxa"/>
          </w:tblCellMar>
        </w:tblPrEx>
        <w:trPr>
          <w:trHeight w:val="300" w:hRule="atLeast"/>
        </w:trPr>
        <w:tc>
          <w:tcPr>
            <w:tcW w:w="3450" w:type="dxa"/>
            <w:gridSpan w:val="3"/>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：许昌市工业和信息化局</w:t>
            </w:r>
            <w:r>
              <w:rPr>
                <w:rFonts w:hint="eastAsia" w:ascii="宋体" w:hAnsi="宋体" w:cs="宋体"/>
                <w:color w:val="000000"/>
                <w:kern w:val="0"/>
                <w:sz w:val="20"/>
                <w:szCs w:val="20"/>
                <w:highlight w:val="none"/>
                <w:lang w:eastAsia="zh-CN" w:bidi="ar"/>
              </w:rPr>
              <w:t>（本级）</w:t>
            </w: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bidi="ar"/>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bidi="ar"/>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bidi="ar"/>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cs="宋体"/>
                <w:color w:val="000000"/>
                <w:kern w:val="0"/>
                <w:sz w:val="20"/>
                <w:szCs w:val="20"/>
                <w:highlight w:val="none"/>
                <w:lang w:bidi="ar"/>
              </w:rPr>
              <w:t>公务用车</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16.84</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12.00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12.00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4.84</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16.64</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11.80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right"/>
              <w:rPr>
                <w:rFonts w:hint="eastAsia" w:ascii="宋体" w:hAnsi="宋体" w:cs="宋体"/>
                <w:color w:val="000000"/>
                <w:sz w:val="22"/>
                <w:szCs w:val="22"/>
                <w:highlight w:val="none"/>
              </w:rPr>
            </w:pP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11.80</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right"/>
              <w:rPr>
                <w:rFonts w:hint="default"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4.84</w:t>
            </w:r>
          </w:p>
        </w:tc>
      </w:tr>
      <w:tr>
        <w:tblPrEx>
          <w:tblCellMar>
            <w:top w:w="0" w:type="dxa"/>
            <w:left w:w="0" w:type="dxa"/>
            <w:bottom w:w="0" w:type="dxa"/>
            <w:right w:w="0" w:type="dxa"/>
          </w:tblCellMar>
        </w:tblPrEx>
        <w:trPr>
          <w:trHeight w:val="905"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 xml:space="preserve"> 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p>
            <w:pPr>
              <w:widowControl/>
              <w:jc w:val="left"/>
              <w:textAlignment w:val="center"/>
              <w:rPr>
                <w:rFonts w:hint="eastAsia" w:ascii="宋体" w:hAnsi="宋体" w:cs="宋体"/>
                <w:color w:val="000000"/>
                <w:kern w:val="0"/>
                <w:sz w:val="20"/>
                <w:szCs w:val="20"/>
                <w:highlight w:val="none"/>
                <w:lang w:bidi="ar"/>
              </w:rPr>
            </w:pP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1"/>
        <w:tblW w:w="14018" w:type="dxa"/>
        <w:tblInd w:w="0" w:type="dxa"/>
        <w:tblLayout w:type="fixed"/>
        <w:tblCellMar>
          <w:top w:w="0" w:type="dxa"/>
          <w:left w:w="0" w:type="dxa"/>
          <w:bottom w:w="0" w:type="dxa"/>
          <w:right w:w="0" w:type="dxa"/>
        </w:tblCellMar>
      </w:tblPr>
      <w:tblGrid>
        <w:gridCol w:w="612"/>
        <w:gridCol w:w="536"/>
        <w:gridCol w:w="1276"/>
        <w:gridCol w:w="1926"/>
        <w:gridCol w:w="30"/>
        <w:gridCol w:w="189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After w:w="30" w:type="dxa"/>
          <w:trHeight w:val="600" w:hRule="atLeast"/>
        </w:trPr>
        <w:tc>
          <w:tcPr>
            <w:tcW w:w="13988" w:type="dxa"/>
            <w:gridSpan w:val="14"/>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highlight w:val="none"/>
              </w:rPr>
            </w:pPr>
            <w:r>
              <w:rPr>
                <w:rFonts w:hint="eastAsia" w:ascii="华文中宋" w:hAnsi="华文中宋" w:eastAsia="华文中宋" w:cs="华文中宋"/>
                <w:color w:val="000000"/>
                <w:kern w:val="0"/>
                <w:sz w:val="32"/>
                <w:szCs w:val="32"/>
                <w:highlight w:val="none"/>
                <w:lang w:bidi="ar"/>
              </w:rPr>
              <w:t>政府性基金预算财政拨款收入支出决算表</w:t>
            </w:r>
          </w:p>
        </w:tc>
      </w:tr>
      <w:tr>
        <w:tblPrEx>
          <w:tblCellMar>
            <w:top w:w="0" w:type="dxa"/>
            <w:left w:w="0" w:type="dxa"/>
            <w:bottom w:w="0" w:type="dxa"/>
            <w:right w:w="0" w:type="dxa"/>
          </w:tblCellMar>
        </w:tblPrEx>
        <w:trPr>
          <w:gridAfter w:val="1"/>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53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公开08表</w:t>
            </w:r>
          </w:p>
        </w:tc>
      </w:tr>
      <w:tr>
        <w:tblPrEx>
          <w:tblCellMar>
            <w:top w:w="0" w:type="dxa"/>
            <w:left w:w="0" w:type="dxa"/>
            <w:bottom w:w="0" w:type="dxa"/>
            <w:right w:w="0" w:type="dxa"/>
          </w:tblCellMar>
        </w:tblPrEx>
        <w:trPr>
          <w:trHeight w:val="300" w:hRule="atLeast"/>
        </w:trPr>
        <w:tc>
          <w:tcPr>
            <w:tcW w:w="4380" w:type="dxa"/>
            <w:gridSpan w:val="5"/>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cs="宋体"/>
                <w:color w:val="000000"/>
                <w:sz w:val="20"/>
                <w:szCs w:val="20"/>
                <w:highlight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：许昌市工业和信息化局</w:t>
            </w:r>
            <w:r>
              <w:rPr>
                <w:rFonts w:hint="eastAsia" w:ascii="宋体" w:hAnsi="宋体" w:cs="宋体"/>
                <w:color w:val="000000"/>
                <w:kern w:val="0"/>
                <w:sz w:val="20"/>
                <w:szCs w:val="20"/>
                <w:highlight w:val="none"/>
                <w:lang w:eastAsia="zh-CN" w:bidi="ar"/>
              </w:rPr>
              <w:t>（本级）</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单位：万元</w:t>
            </w:r>
          </w:p>
        </w:tc>
      </w:tr>
      <w:tr>
        <w:tblPrEx>
          <w:tblCellMar>
            <w:top w:w="0" w:type="dxa"/>
            <w:left w:w="0" w:type="dxa"/>
            <w:bottom w:w="0" w:type="dxa"/>
            <w:right w:w="0" w:type="dxa"/>
          </w:tblCellMar>
        </w:tblPrEx>
        <w:trPr>
          <w:gridAfter w:val="1"/>
          <w:wAfter w:w="30" w:type="dxa"/>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eastAsia="zh-CN" w:bidi="ar"/>
              </w:rPr>
              <w:t>年初</w:t>
            </w:r>
            <w:r>
              <w:rPr>
                <w:rFonts w:hint="eastAsia" w:ascii="宋体" w:hAnsi="宋体" w:cs="宋体"/>
                <w:color w:val="000000"/>
                <w:kern w:val="0"/>
                <w:sz w:val="20"/>
                <w:szCs w:val="20"/>
                <w:highlight w:val="none"/>
                <w:lang w:bidi="ar"/>
              </w:rPr>
              <w:t>结转和结余</w:t>
            </w:r>
          </w:p>
        </w:tc>
        <w:tc>
          <w:tcPr>
            <w:tcW w:w="1926" w:type="dxa"/>
            <w:gridSpan w:val="2"/>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年末结转和结余</w:t>
            </w:r>
          </w:p>
        </w:tc>
      </w:tr>
      <w:tr>
        <w:tblPrEx>
          <w:tblCellMar>
            <w:top w:w="0" w:type="dxa"/>
            <w:left w:w="0" w:type="dxa"/>
            <w:bottom w:w="0" w:type="dxa"/>
            <w:right w:w="0" w:type="dxa"/>
          </w:tblCellMar>
        </w:tblPrEx>
        <w:trPr>
          <w:gridAfter w:val="1"/>
          <w:wAfter w:w="30" w:type="dxa"/>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功能分类</w:t>
            </w:r>
          </w:p>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r>
      <w:tr>
        <w:tblPrEx>
          <w:tblCellMar>
            <w:top w:w="0" w:type="dxa"/>
            <w:left w:w="0" w:type="dxa"/>
            <w:bottom w:w="0" w:type="dxa"/>
            <w:right w:w="0" w:type="dxa"/>
          </w:tblCellMar>
        </w:tblPrEx>
        <w:trPr>
          <w:gridAfter w:val="1"/>
          <w:wAfter w:w="30" w:type="dxa"/>
          <w:trHeight w:val="450" w:hRule="atLeast"/>
        </w:trPr>
        <w:tc>
          <w:tcPr>
            <w:tcW w:w="2424" w:type="dxa"/>
            <w:gridSpan w:val="3"/>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highlight w:val="none"/>
              </w:rPr>
            </w:pPr>
            <w:r>
              <w:rPr>
                <w:rFonts w:hint="eastAsia" w:ascii="宋体" w:hAnsi="宋体" w:cs="宋体"/>
                <w:color w:val="000000"/>
                <w:kern w:val="0"/>
                <w:sz w:val="20"/>
                <w:szCs w:val="20"/>
                <w:highlight w:val="none"/>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highlight w:val="none"/>
              </w:rPr>
            </w:pPr>
          </w:p>
        </w:tc>
        <w:tc>
          <w:tcPr>
            <w:tcW w:w="127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highlight w:val="none"/>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highlight w:val="none"/>
              </w:rPr>
            </w:pPr>
          </w:p>
        </w:tc>
      </w:tr>
      <w:tr>
        <w:tblPrEx>
          <w:tblCellMar>
            <w:top w:w="0" w:type="dxa"/>
            <w:left w:w="0" w:type="dxa"/>
            <w:bottom w:w="0" w:type="dxa"/>
            <w:right w:w="0" w:type="dxa"/>
          </w:tblCellMar>
        </w:tblPrEx>
        <w:trPr>
          <w:gridAfter w:val="1"/>
          <w:wAfter w:w="30" w:type="dxa"/>
          <w:trHeight w:val="645" w:hRule="atLeast"/>
        </w:trPr>
        <w:tc>
          <w:tcPr>
            <w:tcW w:w="13988" w:type="dxa"/>
            <w:gridSpan w:val="14"/>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注：本表反映</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本年度政府性基金预算财政拨款收入、支出及结转和结余情况。</w:t>
            </w:r>
          </w:p>
          <w:p>
            <w:pPr>
              <w:widowControl/>
              <w:jc w:val="left"/>
              <w:textAlignment w:val="center"/>
              <w:rPr>
                <w:rFonts w:hint="eastAsia" w:ascii="宋体" w:hAnsi="宋体" w:cs="宋体"/>
                <w:color w:val="000000"/>
                <w:kern w:val="0"/>
                <w:sz w:val="20"/>
                <w:szCs w:val="20"/>
                <w:highlight w:val="none"/>
                <w:lang w:bidi="ar"/>
              </w:rPr>
            </w:pPr>
            <w:r>
              <w:rPr>
                <w:rFonts w:hint="eastAsia" w:ascii="宋体" w:hAnsi="宋体" w:cs="宋体"/>
                <w:color w:val="000000"/>
                <w:kern w:val="0"/>
                <w:sz w:val="20"/>
                <w:szCs w:val="20"/>
                <w:highlight w:val="none"/>
                <w:lang w:bidi="ar"/>
              </w:rPr>
              <w:t>说明：我</w:t>
            </w:r>
            <w:r>
              <w:rPr>
                <w:rFonts w:hint="eastAsia" w:ascii="宋体" w:hAnsi="宋体" w:cs="宋体"/>
                <w:color w:val="000000"/>
                <w:kern w:val="0"/>
                <w:sz w:val="20"/>
                <w:szCs w:val="20"/>
                <w:highlight w:val="none"/>
                <w:lang w:eastAsia="zh-CN" w:bidi="ar"/>
              </w:rPr>
              <w:t>单位</w:t>
            </w:r>
            <w:r>
              <w:rPr>
                <w:rFonts w:hint="eastAsia" w:ascii="宋体" w:hAnsi="宋体" w:cs="宋体"/>
                <w:color w:val="000000"/>
                <w:kern w:val="0"/>
                <w:sz w:val="20"/>
                <w:szCs w:val="20"/>
                <w:highlight w:val="none"/>
                <w:lang w:bidi="ar"/>
              </w:rPr>
              <w:t>没有政府性基金收入，也没有使用政府性基金安排的支出，故本表无数据。</w:t>
            </w:r>
          </w:p>
          <w:p>
            <w:pPr>
              <w:widowControl/>
              <w:jc w:val="left"/>
              <w:textAlignment w:val="center"/>
              <w:rPr>
                <w:rFonts w:hint="eastAsia" w:ascii="宋体" w:hAnsi="宋体" w:cs="宋体"/>
                <w:color w:val="000000"/>
                <w:kern w:val="0"/>
                <w:sz w:val="20"/>
                <w:szCs w:val="20"/>
                <w:highlight w:val="none"/>
                <w:lang w:bidi="ar"/>
              </w:rPr>
            </w:pPr>
          </w:p>
          <w:p>
            <w:pPr>
              <w:widowControl/>
              <w:jc w:val="center"/>
              <w:textAlignment w:val="center"/>
              <w:rPr>
                <w:rFonts w:hint="eastAsia" w:ascii="宋体" w:hAnsi="宋体" w:cs="宋体"/>
                <w:color w:val="000000"/>
                <w:sz w:val="20"/>
                <w:szCs w:val="20"/>
                <w:highlight w:val="none"/>
              </w:rPr>
            </w:pPr>
          </w:p>
        </w:tc>
      </w:tr>
    </w:tbl>
    <w:p>
      <w:pPr>
        <w:widowControl/>
        <w:spacing w:line="590" w:lineRule="exact"/>
        <w:jc w:val="left"/>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widowControl/>
        <w:spacing w:line="59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2021年度收、支总计均为8346.57万元。与上年度相比，收、支总计各减少</w:t>
      </w:r>
      <w:r>
        <w:rPr>
          <w:rFonts w:hint="eastAsia" w:ascii="仿宋" w:hAnsi="仿宋" w:eastAsia="仿宋" w:cs="仿宋"/>
          <w:sz w:val="32"/>
          <w:szCs w:val="32"/>
          <w:highlight w:val="none"/>
          <w:lang w:val="en-US" w:eastAsia="zh-CN"/>
        </w:rPr>
        <w:t>8903.34</w:t>
      </w:r>
      <w:r>
        <w:rPr>
          <w:rFonts w:hint="eastAsia" w:ascii="仿宋" w:hAnsi="仿宋" w:eastAsia="仿宋" w:cs="仿宋"/>
          <w:sz w:val="32"/>
          <w:szCs w:val="32"/>
          <w:highlight w:val="none"/>
        </w:rPr>
        <w:t>万元，下降</w:t>
      </w:r>
      <w:r>
        <w:rPr>
          <w:rFonts w:hint="eastAsia" w:ascii="仿宋" w:hAnsi="仿宋" w:eastAsia="仿宋" w:cs="仿宋"/>
          <w:sz w:val="32"/>
          <w:szCs w:val="32"/>
          <w:highlight w:val="none"/>
          <w:lang w:val="en-US" w:eastAsia="zh-CN"/>
        </w:rPr>
        <w:t>51.61</w:t>
      </w:r>
      <w:r>
        <w:rPr>
          <w:rFonts w:hint="eastAsia" w:ascii="仿宋" w:hAnsi="仿宋" w:eastAsia="仿宋" w:cs="仿宋"/>
          <w:sz w:val="32"/>
          <w:szCs w:val="32"/>
          <w:highlight w:val="none"/>
        </w:rPr>
        <w:t>%。主要原因</w:t>
      </w:r>
      <w:r>
        <w:rPr>
          <w:rFonts w:hint="eastAsia" w:ascii="仿宋" w:hAnsi="仿宋" w:eastAsia="仿宋" w:cs="仿宋"/>
          <w:sz w:val="32"/>
          <w:szCs w:val="32"/>
          <w:highlight w:val="none"/>
          <w:lang w:eastAsia="zh-CN"/>
        </w:rPr>
        <w:t>是对破产或改制企业破产职工安置费和征地拆迁补偿金减少</w:t>
      </w:r>
      <w:r>
        <w:rPr>
          <w:rFonts w:hint="eastAsia" w:ascii="仿宋" w:hAnsi="仿宋" w:eastAsia="仿宋" w:cs="仿宋"/>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widowControl/>
        <w:spacing w:line="59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2021年度收入合计81</w:t>
      </w:r>
      <w:r>
        <w:rPr>
          <w:rFonts w:hint="eastAsia" w:ascii="仿宋" w:hAnsi="仿宋" w:eastAsia="仿宋" w:cs="仿宋"/>
          <w:sz w:val="32"/>
          <w:szCs w:val="32"/>
          <w:highlight w:val="none"/>
          <w:lang w:val="en-US" w:eastAsia="zh-CN"/>
        </w:rPr>
        <w:t>24.83</w:t>
      </w:r>
      <w:r>
        <w:rPr>
          <w:rFonts w:hint="eastAsia" w:ascii="仿宋" w:hAnsi="仿宋" w:eastAsia="仿宋" w:cs="仿宋"/>
          <w:sz w:val="32"/>
          <w:szCs w:val="32"/>
          <w:highlight w:val="none"/>
        </w:rPr>
        <w:t>万元，其中：财政拨款收入81</w:t>
      </w:r>
      <w:r>
        <w:rPr>
          <w:rFonts w:hint="eastAsia" w:ascii="仿宋" w:hAnsi="仿宋" w:eastAsia="仿宋" w:cs="仿宋"/>
          <w:sz w:val="32"/>
          <w:szCs w:val="32"/>
          <w:highlight w:val="none"/>
          <w:lang w:val="en-US" w:eastAsia="zh-CN"/>
        </w:rPr>
        <w:t>24.83</w:t>
      </w:r>
      <w:r>
        <w:rPr>
          <w:rFonts w:hint="eastAsia" w:ascii="仿宋" w:hAnsi="仿宋" w:eastAsia="仿宋" w:cs="仿宋"/>
          <w:sz w:val="32"/>
          <w:szCs w:val="32"/>
          <w:highlight w:val="none"/>
        </w:rPr>
        <w:t>万元，占</w:t>
      </w:r>
      <w:r>
        <w:rPr>
          <w:rFonts w:hint="eastAsia" w:ascii="仿宋" w:hAnsi="仿宋" w:eastAsia="仿宋" w:cs="仿宋"/>
          <w:sz w:val="32"/>
          <w:szCs w:val="32"/>
          <w:highlight w:val="none"/>
          <w:lang w:val="en-US" w:eastAsia="zh-CN"/>
        </w:rPr>
        <w:t>100</w:t>
      </w:r>
      <w:r>
        <w:rPr>
          <w:rFonts w:hint="eastAsia" w:ascii="仿宋" w:hAnsi="仿宋" w:eastAsia="仿宋" w:cs="仿宋"/>
          <w:sz w:val="32"/>
          <w:szCs w:val="32"/>
          <w:highlight w:val="none"/>
        </w:rPr>
        <w:t>%；上级补助收入</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万元，占</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%；事业收入</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万元，占</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%；经营收入</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万元，占</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%；附属单位上缴收入</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万元，占</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%；其他收入</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万元，占</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widowControl/>
        <w:spacing w:line="59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2021年度支出合计8346.57万元，其中：基本支出18</w:t>
      </w:r>
      <w:r>
        <w:rPr>
          <w:rFonts w:hint="eastAsia" w:ascii="仿宋" w:hAnsi="仿宋" w:eastAsia="仿宋" w:cs="仿宋"/>
          <w:sz w:val="32"/>
          <w:szCs w:val="32"/>
          <w:highlight w:val="none"/>
          <w:lang w:val="en-US" w:eastAsia="zh-CN"/>
        </w:rPr>
        <w:t>51.77</w:t>
      </w:r>
      <w:r>
        <w:rPr>
          <w:rFonts w:hint="eastAsia" w:ascii="仿宋" w:hAnsi="仿宋" w:eastAsia="仿宋" w:cs="仿宋"/>
          <w:sz w:val="32"/>
          <w:szCs w:val="32"/>
          <w:highlight w:val="none"/>
        </w:rPr>
        <w:t>万元，占</w:t>
      </w:r>
      <w:r>
        <w:rPr>
          <w:rFonts w:hint="eastAsia" w:ascii="仿宋" w:hAnsi="仿宋" w:eastAsia="仿宋" w:cs="仿宋"/>
          <w:sz w:val="32"/>
          <w:szCs w:val="32"/>
          <w:highlight w:val="none"/>
          <w:lang w:val="en-US" w:eastAsia="zh-CN"/>
        </w:rPr>
        <w:t>22.19</w:t>
      </w:r>
      <w:r>
        <w:rPr>
          <w:rFonts w:hint="eastAsia" w:ascii="仿宋" w:hAnsi="仿宋" w:eastAsia="仿宋" w:cs="仿宋"/>
          <w:sz w:val="32"/>
          <w:szCs w:val="32"/>
          <w:highlight w:val="none"/>
        </w:rPr>
        <w:t>%；项目支出6494.81万元，占</w:t>
      </w:r>
      <w:r>
        <w:rPr>
          <w:rFonts w:hint="eastAsia" w:ascii="仿宋" w:hAnsi="仿宋" w:eastAsia="仿宋" w:cs="仿宋"/>
          <w:sz w:val="32"/>
          <w:szCs w:val="32"/>
          <w:highlight w:val="none"/>
          <w:lang w:val="en-US" w:eastAsia="zh-CN"/>
        </w:rPr>
        <w:t>77.81</w:t>
      </w:r>
      <w:r>
        <w:rPr>
          <w:rFonts w:hint="eastAsia" w:ascii="仿宋" w:hAnsi="仿宋" w:eastAsia="仿宋" w:cs="仿宋"/>
          <w:sz w:val="32"/>
          <w:szCs w:val="32"/>
          <w:highlight w:val="none"/>
        </w:rPr>
        <w:t>%；上缴上级支出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万元，占</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%；经营支出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万元，占</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%；对附属单位补助支出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万元，占</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widowControl/>
        <w:spacing w:line="59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2021年度财政拨款收、支总计均为8346.57万元。与上年度相比，财政拨款收、支总计各减少</w:t>
      </w:r>
      <w:r>
        <w:rPr>
          <w:rFonts w:hint="eastAsia" w:ascii="仿宋" w:hAnsi="仿宋" w:eastAsia="仿宋" w:cs="仿宋"/>
          <w:sz w:val="32"/>
          <w:szCs w:val="32"/>
          <w:highlight w:val="none"/>
          <w:lang w:val="en-US" w:eastAsia="zh-CN"/>
        </w:rPr>
        <w:t>8903.34</w:t>
      </w:r>
      <w:r>
        <w:rPr>
          <w:rFonts w:hint="eastAsia" w:ascii="仿宋" w:hAnsi="仿宋" w:eastAsia="仿宋" w:cs="仿宋"/>
          <w:sz w:val="32"/>
          <w:szCs w:val="32"/>
          <w:highlight w:val="none"/>
        </w:rPr>
        <w:t>万元，下降</w:t>
      </w:r>
      <w:r>
        <w:rPr>
          <w:rFonts w:hint="eastAsia" w:ascii="仿宋" w:hAnsi="仿宋" w:eastAsia="仿宋" w:cs="仿宋"/>
          <w:sz w:val="32"/>
          <w:szCs w:val="32"/>
          <w:highlight w:val="none"/>
          <w:lang w:val="en-US" w:eastAsia="zh-CN"/>
        </w:rPr>
        <w:t>51.61</w:t>
      </w:r>
      <w:r>
        <w:rPr>
          <w:rFonts w:hint="eastAsia" w:ascii="仿宋" w:hAnsi="仿宋" w:eastAsia="仿宋" w:cs="仿宋"/>
          <w:sz w:val="32"/>
          <w:szCs w:val="32"/>
          <w:highlight w:val="none"/>
        </w:rPr>
        <w:t>%。主要原因是</w:t>
      </w:r>
      <w:r>
        <w:rPr>
          <w:rFonts w:hint="eastAsia" w:ascii="仿宋" w:hAnsi="仿宋" w:eastAsia="仿宋" w:cs="仿宋"/>
          <w:sz w:val="32"/>
          <w:szCs w:val="32"/>
          <w:highlight w:val="none"/>
          <w:lang w:eastAsia="zh-CN"/>
        </w:rPr>
        <w:t>对破产或改制企业职工安置费和征地拆迁补偿金减少</w:t>
      </w:r>
      <w:r>
        <w:rPr>
          <w:rFonts w:hint="eastAsia" w:ascii="仿宋" w:hAnsi="仿宋" w:eastAsia="仿宋" w:cs="仿宋"/>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widowControl/>
        <w:spacing w:line="590" w:lineRule="exact"/>
        <w:ind w:firstLine="643" w:firstLineChars="200"/>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（一）总体情况。</w:t>
      </w:r>
    </w:p>
    <w:p>
      <w:pPr>
        <w:widowControl/>
        <w:spacing w:line="59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2021年度一般公共预算财政拨</w:t>
      </w:r>
      <w:r>
        <w:rPr>
          <w:rFonts w:hint="eastAsia" w:ascii="仿宋" w:hAnsi="仿宋" w:eastAsia="仿宋" w:cs="仿宋"/>
          <w:sz w:val="32"/>
          <w:szCs w:val="32"/>
          <w:highlight w:val="none"/>
          <w:lang w:val="en-US" w:eastAsia="zh-CN"/>
        </w:rPr>
        <w:t>款支出8,346.57万</w:t>
      </w:r>
      <w:r>
        <w:rPr>
          <w:rFonts w:hint="eastAsia" w:ascii="仿宋" w:hAnsi="仿宋" w:eastAsia="仿宋" w:cs="仿宋"/>
          <w:sz w:val="32"/>
          <w:szCs w:val="32"/>
          <w:highlight w:val="none"/>
        </w:rPr>
        <w:t>元，占支出合计的100%。与上年度相比，一般公共预算财政拨款支出增加</w:t>
      </w:r>
      <w:r>
        <w:rPr>
          <w:rFonts w:hint="eastAsia" w:ascii="仿宋" w:hAnsi="仿宋" w:eastAsia="仿宋" w:cs="仿宋"/>
          <w:sz w:val="32"/>
          <w:szCs w:val="32"/>
          <w:highlight w:val="none"/>
          <w:lang w:val="en-US" w:eastAsia="zh-CN"/>
        </w:rPr>
        <w:t>3666.73</w:t>
      </w:r>
      <w:r>
        <w:rPr>
          <w:rFonts w:hint="eastAsia" w:ascii="仿宋" w:hAnsi="仿宋" w:eastAsia="仿宋" w:cs="仿宋"/>
          <w:sz w:val="32"/>
          <w:szCs w:val="32"/>
          <w:highlight w:val="none"/>
        </w:rPr>
        <w:t>万元，增长7</w:t>
      </w:r>
      <w:r>
        <w:rPr>
          <w:rFonts w:hint="eastAsia" w:ascii="仿宋" w:hAnsi="仿宋" w:eastAsia="仿宋" w:cs="仿宋"/>
          <w:sz w:val="32"/>
          <w:szCs w:val="32"/>
          <w:highlight w:val="none"/>
          <w:lang w:val="en-US" w:eastAsia="zh-CN"/>
        </w:rPr>
        <w:t>8.35</w:t>
      </w:r>
      <w:r>
        <w:rPr>
          <w:rFonts w:hint="eastAsia" w:ascii="仿宋" w:hAnsi="仿宋" w:eastAsia="仿宋" w:cs="仿宋"/>
          <w:sz w:val="32"/>
          <w:szCs w:val="32"/>
          <w:highlight w:val="none"/>
        </w:rPr>
        <w:t>%。主要原因是对企业奖励支出的增加。</w:t>
      </w:r>
    </w:p>
    <w:p>
      <w:pPr>
        <w:widowControl/>
        <w:spacing w:line="590" w:lineRule="exact"/>
        <w:ind w:firstLine="643" w:firstLineChars="200"/>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（二）结构情况。</w:t>
      </w:r>
    </w:p>
    <w:p>
      <w:pPr>
        <w:widowControl/>
        <w:spacing w:line="59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2021年度一般公共预算财政拨款支出8346.57万元，主要用于以下方面：一般公共服务（类）支出4.91万元，占0.06%；科学技术（类）支出6160.80万元，占73.81%；社会保障和就业（类）支出699.84万元，占8.38%；卫生健康支出（类）支出62.83万元，占0.75%；农林水（类）支出1.41万元，占0.02%；资源勘探工业信息（类）支出1416.78万元，占16.98%。</w:t>
      </w:r>
    </w:p>
    <w:p>
      <w:pPr>
        <w:widowControl/>
        <w:spacing w:line="590" w:lineRule="exact"/>
        <w:ind w:firstLine="643" w:firstLineChars="200"/>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（三）具体情况。</w:t>
      </w:r>
    </w:p>
    <w:p>
      <w:pPr>
        <w:widowControl/>
        <w:spacing w:line="59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2021年度一般公共预算财政拨款支出年初预算为1560.54万元，支出决算为</w:t>
      </w:r>
      <w:r>
        <w:rPr>
          <w:rFonts w:hint="default" w:ascii="仿宋" w:hAnsi="仿宋" w:eastAsia="仿宋" w:cs="仿宋"/>
          <w:sz w:val="32"/>
          <w:szCs w:val="32"/>
          <w:highlight w:val="none"/>
          <w:lang w:val="en-US" w:eastAsia="zh-CN"/>
        </w:rPr>
        <w:t>8346.57</w:t>
      </w:r>
      <w:r>
        <w:rPr>
          <w:rFonts w:hint="eastAsia" w:ascii="仿宋" w:hAnsi="仿宋" w:eastAsia="仿宋" w:cs="仿宋"/>
          <w:sz w:val="32"/>
          <w:szCs w:val="32"/>
          <w:highlight w:val="none"/>
          <w:lang w:val="en-US" w:eastAsia="zh-CN"/>
        </w:rPr>
        <w:t>万元，完成年初预算的53</w:t>
      </w:r>
      <w:r>
        <w:rPr>
          <w:rFonts w:hint="default" w:ascii="仿宋" w:hAnsi="仿宋" w:eastAsia="仿宋" w:cs="仿宋"/>
          <w:sz w:val="32"/>
          <w:szCs w:val="32"/>
          <w:highlight w:val="none"/>
          <w:lang w:val="en-US" w:eastAsia="zh-CN"/>
        </w:rPr>
        <w:t>4</w:t>
      </w:r>
      <w:r>
        <w:rPr>
          <w:rFonts w:hint="eastAsia" w:ascii="仿宋" w:hAnsi="仿宋" w:eastAsia="仿宋" w:cs="仿宋"/>
          <w:sz w:val="32"/>
          <w:szCs w:val="32"/>
          <w:highlight w:val="none"/>
          <w:lang w:val="en-US" w:eastAsia="zh-CN"/>
        </w:rPr>
        <w:t>.</w:t>
      </w:r>
      <w:r>
        <w:rPr>
          <w:rFonts w:hint="default" w:ascii="仿宋" w:hAnsi="仿宋" w:eastAsia="仿宋" w:cs="仿宋"/>
          <w:sz w:val="32"/>
          <w:szCs w:val="32"/>
          <w:highlight w:val="none"/>
          <w:lang w:val="en-US" w:eastAsia="zh-CN"/>
        </w:rPr>
        <w:t>85</w:t>
      </w:r>
      <w:r>
        <w:rPr>
          <w:rFonts w:hint="eastAsia" w:ascii="仿宋" w:hAnsi="仿宋" w:eastAsia="仿宋" w:cs="仿宋"/>
          <w:sz w:val="32"/>
          <w:szCs w:val="32"/>
          <w:highlight w:val="none"/>
          <w:lang w:val="en-US" w:eastAsia="zh-CN"/>
        </w:rPr>
        <w:t>%。其中：</w:t>
      </w:r>
    </w:p>
    <w:p>
      <w:pPr>
        <w:widowControl/>
        <w:spacing w:line="590" w:lineRule="exact"/>
        <w:ind w:firstLine="643" w:firstLineChars="200"/>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1.</w:t>
      </w:r>
      <w:r>
        <w:rPr>
          <w:rFonts w:hint="eastAsia" w:ascii="仿宋" w:hAnsi="仿宋" w:eastAsia="仿宋" w:cs="仿宋"/>
          <w:b/>
          <w:bCs/>
          <w:sz w:val="32"/>
          <w:szCs w:val="32"/>
          <w:highlight w:val="none"/>
        </w:rPr>
        <w:t>一般公共服务支出（类）群众团体事务（款）工会事务（项）。</w:t>
      </w:r>
      <w:r>
        <w:rPr>
          <w:rFonts w:hint="eastAsia" w:ascii="仿宋" w:hAnsi="仿宋" w:eastAsia="仿宋" w:cs="仿宋"/>
          <w:sz w:val="32"/>
          <w:szCs w:val="32"/>
          <w:highlight w:val="none"/>
          <w:lang w:val="en-US" w:eastAsia="zh-CN"/>
        </w:rPr>
        <w:t>年初预算为4.91万元，支出决算为4.91万元，完成年初预算的100%。2021年工会事务决算数与预算数不存在差异。</w:t>
      </w:r>
    </w:p>
    <w:p>
      <w:pPr>
        <w:widowControl/>
        <w:numPr>
          <w:ilvl w:val="0"/>
          <w:numId w:val="0"/>
        </w:numPr>
        <w:spacing w:line="590" w:lineRule="exact"/>
        <w:ind w:firstLine="643" w:firstLineChars="200"/>
        <w:rPr>
          <w:rFonts w:hint="eastAsia" w:ascii="仿宋" w:hAnsi="仿宋" w:eastAsia="仿宋" w:cs="仿宋"/>
          <w:sz w:val="32"/>
          <w:szCs w:val="32"/>
          <w:highlight w:val="none"/>
        </w:rPr>
      </w:pPr>
      <w:r>
        <w:rPr>
          <w:rFonts w:hint="eastAsia" w:ascii="仿宋" w:hAnsi="仿宋" w:eastAsia="仿宋" w:cs="仿宋"/>
          <w:b/>
          <w:bCs/>
          <w:sz w:val="32"/>
          <w:szCs w:val="32"/>
          <w:highlight w:val="none"/>
          <w:lang w:val="en-US" w:eastAsia="zh-CN"/>
        </w:rPr>
        <w:t>2．科学技术支出（类）科技重大项目（款）其他科技重大项目（项）。</w:t>
      </w:r>
      <w:r>
        <w:rPr>
          <w:rFonts w:hint="eastAsia" w:ascii="仿宋" w:hAnsi="仿宋" w:eastAsia="仿宋" w:cs="仿宋"/>
          <w:sz w:val="32"/>
          <w:szCs w:val="32"/>
          <w:highlight w:val="none"/>
          <w:lang w:eastAsia="zh-CN"/>
        </w:rPr>
        <w:t>年初</w:t>
      </w:r>
      <w:r>
        <w:rPr>
          <w:rFonts w:hint="eastAsia" w:ascii="仿宋" w:hAnsi="仿宋" w:eastAsia="仿宋" w:cs="仿宋"/>
          <w:sz w:val="32"/>
          <w:szCs w:val="32"/>
          <w:highlight w:val="none"/>
        </w:rPr>
        <w:t>预算为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万元，支出决算为</w:t>
      </w:r>
      <w:r>
        <w:rPr>
          <w:rFonts w:hint="eastAsia" w:ascii="仿宋" w:hAnsi="仿宋" w:eastAsia="仿宋" w:cs="仿宋"/>
          <w:sz w:val="32"/>
          <w:szCs w:val="32"/>
          <w:highlight w:val="none"/>
          <w:lang w:val="en-US" w:eastAsia="zh-CN"/>
        </w:rPr>
        <w:t>6160.80</w:t>
      </w:r>
      <w:r>
        <w:rPr>
          <w:rFonts w:hint="eastAsia" w:ascii="仿宋" w:hAnsi="仿宋" w:eastAsia="仿宋" w:cs="仿宋"/>
          <w:sz w:val="32"/>
          <w:szCs w:val="32"/>
          <w:highlight w:val="none"/>
        </w:rPr>
        <w:t>万元，决算数与</w:t>
      </w:r>
      <w:r>
        <w:rPr>
          <w:rFonts w:hint="eastAsia" w:ascii="仿宋" w:hAnsi="仿宋" w:eastAsia="仿宋" w:cs="仿宋"/>
          <w:sz w:val="32"/>
          <w:szCs w:val="32"/>
          <w:highlight w:val="none"/>
          <w:lang w:eastAsia="zh-CN"/>
        </w:rPr>
        <w:t>年初</w:t>
      </w:r>
      <w:r>
        <w:rPr>
          <w:rFonts w:hint="eastAsia" w:ascii="仿宋" w:hAnsi="仿宋" w:eastAsia="仿宋" w:cs="仿宋"/>
          <w:sz w:val="32"/>
          <w:szCs w:val="32"/>
          <w:highlight w:val="none"/>
        </w:rPr>
        <w:t>预算数存在差异的主要原因是</w:t>
      </w:r>
      <w:r>
        <w:rPr>
          <w:rFonts w:hint="eastAsia" w:ascii="仿宋" w:hAnsi="仿宋" w:eastAsia="仿宋" w:cs="仿宋"/>
          <w:sz w:val="32"/>
          <w:szCs w:val="32"/>
          <w:highlight w:val="none"/>
          <w:lang w:eastAsia="zh-CN"/>
        </w:rPr>
        <w:t>年中增加了对企业高质量发展奖励资金</w:t>
      </w:r>
      <w:r>
        <w:rPr>
          <w:rFonts w:hint="eastAsia" w:ascii="仿宋" w:hAnsi="仿宋" w:eastAsia="仿宋" w:cs="仿宋"/>
          <w:sz w:val="32"/>
          <w:szCs w:val="32"/>
          <w:highlight w:val="none"/>
        </w:rPr>
        <w:t>。</w:t>
      </w:r>
    </w:p>
    <w:p>
      <w:pPr>
        <w:widowControl/>
        <w:numPr>
          <w:ilvl w:val="0"/>
          <w:numId w:val="0"/>
        </w:numPr>
        <w:spacing w:line="590" w:lineRule="exact"/>
        <w:ind w:firstLine="643" w:firstLineChars="200"/>
        <w:rPr>
          <w:rFonts w:hint="eastAsia" w:ascii="仿宋" w:hAnsi="仿宋" w:eastAsia="仿宋" w:cs="仿宋"/>
          <w:sz w:val="32"/>
          <w:szCs w:val="32"/>
          <w:highlight w:val="none"/>
          <w:lang w:eastAsia="zh-CN"/>
        </w:rPr>
      </w:pPr>
      <w:r>
        <w:rPr>
          <w:rFonts w:hint="eastAsia" w:ascii="仿宋" w:hAnsi="仿宋" w:eastAsia="仿宋" w:cs="仿宋"/>
          <w:b/>
          <w:bCs/>
          <w:sz w:val="32"/>
          <w:szCs w:val="32"/>
          <w:highlight w:val="none"/>
          <w:lang w:val="en-US" w:eastAsia="zh-CN"/>
        </w:rPr>
        <w:t>3</w:t>
      </w:r>
      <w:r>
        <w:rPr>
          <w:rFonts w:hint="eastAsia" w:ascii="仿宋" w:hAnsi="仿宋" w:eastAsia="仿宋" w:cs="仿宋"/>
          <w:b/>
          <w:bCs/>
          <w:sz w:val="32"/>
          <w:szCs w:val="32"/>
          <w:highlight w:val="none"/>
        </w:rPr>
        <w:t>．社会保障和就业支出（类）行政事业单位养老支出（款）    行政单位离退休（项）。</w:t>
      </w:r>
      <w:r>
        <w:rPr>
          <w:rFonts w:hint="eastAsia" w:ascii="仿宋" w:hAnsi="仿宋" w:eastAsia="仿宋" w:cs="仿宋"/>
          <w:sz w:val="32"/>
          <w:szCs w:val="32"/>
          <w:highlight w:val="none"/>
          <w:lang w:eastAsia="zh-CN"/>
        </w:rPr>
        <w:t>年初预算为</w:t>
      </w:r>
      <w:r>
        <w:rPr>
          <w:rFonts w:hint="eastAsia" w:ascii="仿宋" w:hAnsi="仿宋" w:eastAsia="仿宋" w:cs="仿宋"/>
          <w:sz w:val="32"/>
          <w:szCs w:val="32"/>
          <w:highlight w:val="none"/>
          <w:lang w:val="en-US" w:eastAsia="zh-CN"/>
        </w:rPr>
        <w:t>452.46</w:t>
      </w:r>
      <w:r>
        <w:rPr>
          <w:rFonts w:hint="eastAsia" w:ascii="仿宋" w:hAnsi="仿宋" w:eastAsia="仿宋" w:cs="仿宋"/>
          <w:sz w:val="32"/>
          <w:szCs w:val="32"/>
          <w:highlight w:val="none"/>
          <w:lang w:eastAsia="zh-CN"/>
        </w:rPr>
        <w:t>万元，支出决算为</w:t>
      </w:r>
      <w:r>
        <w:rPr>
          <w:rFonts w:hint="eastAsia" w:ascii="仿宋" w:hAnsi="仿宋" w:eastAsia="仿宋" w:cs="仿宋"/>
          <w:sz w:val="32"/>
          <w:szCs w:val="32"/>
          <w:highlight w:val="none"/>
          <w:lang w:val="en-US" w:eastAsia="zh-CN"/>
        </w:rPr>
        <w:t>500.32</w:t>
      </w:r>
      <w:r>
        <w:rPr>
          <w:rFonts w:hint="eastAsia" w:ascii="仿宋" w:hAnsi="仿宋" w:eastAsia="仿宋" w:cs="仿宋"/>
          <w:sz w:val="32"/>
          <w:szCs w:val="32"/>
          <w:highlight w:val="none"/>
          <w:lang w:eastAsia="zh-CN"/>
        </w:rPr>
        <w:t>万元，完成年初预算的</w:t>
      </w:r>
      <w:r>
        <w:rPr>
          <w:rFonts w:hint="eastAsia" w:ascii="仿宋" w:hAnsi="仿宋" w:eastAsia="仿宋" w:cs="仿宋"/>
          <w:sz w:val="32"/>
          <w:szCs w:val="32"/>
          <w:highlight w:val="none"/>
          <w:lang w:val="en-US" w:eastAsia="zh-CN"/>
        </w:rPr>
        <w:t>110.58</w:t>
      </w:r>
      <w:r>
        <w:rPr>
          <w:rFonts w:hint="eastAsia" w:ascii="仿宋" w:hAnsi="仿宋" w:eastAsia="仿宋" w:cs="仿宋"/>
          <w:sz w:val="32"/>
          <w:szCs w:val="32"/>
          <w:highlight w:val="none"/>
          <w:lang w:eastAsia="zh-CN"/>
        </w:rPr>
        <w:t>%，决算数与年初预算数存在差异的主要原因是年中退休人员增多，行政单位退休支出增加。</w:t>
      </w:r>
    </w:p>
    <w:p>
      <w:pPr>
        <w:widowControl/>
        <w:numPr>
          <w:ilvl w:val="0"/>
          <w:numId w:val="0"/>
        </w:numPr>
        <w:spacing w:line="590" w:lineRule="exact"/>
        <w:ind w:firstLine="643" w:firstLineChars="200"/>
        <w:rPr>
          <w:rFonts w:hint="eastAsia" w:ascii="仿宋" w:hAnsi="仿宋" w:eastAsia="仿宋" w:cs="仿宋"/>
          <w:sz w:val="32"/>
          <w:szCs w:val="32"/>
          <w:highlight w:val="none"/>
          <w:lang w:eastAsia="zh-CN"/>
        </w:rPr>
      </w:pPr>
      <w:r>
        <w:rPr>
          <w:rFonts w:hint="eastAsia" w:ascii="仿宋" w:hAnsi="仿宋" w:eastAsia="仿宋" w:cs="仿宋"/>
          <w:b/>
          <w:bCs/>
          <w:sz w:val="32"/>
          <w:szCs w:val="32"/>
          <w:highlight w:val="none"/>
          <w:lang w:val="en-US" w:eastAsia="zh-CN"/>
        </w:rPr>
        <w:t>4．社会保障和就业支出（类）行政事业单位养老支出（款）机关事业单位基本养老保险缴费支出（项）。</w:t>
      </w:r>
      <w:r>
        <w:rPr>
          <w:rFonts w:hint="eastAsia" w:ascii="仿宋" w:hAnsi="仿宋" w:eastAsia="仿宋" w:cs="仿宋"/>
          <w:sz w:val="32"/>
          <w:szCs w:val="32"/>
          <w:highlight w:val="none"/>
          <w:lang w:eastAsia="zh-CN"/>
        </w:rPr>
        <w:t>年初</w:t>
      </w:r>
      <w:r>
        <w:rPr>
          <w:rFonts w:hint="eastAsia" w:ascii="仿宋" w:hAnsi="仿宋" w:eastAsia="仿宋" w:cs="仿宋"/>
          <w:sz w:val="32"/>
          <w:szCs w:val="32"/>
          <w:highlight w:val="none"/>
        </w:rPr>
        <w:t>预算为</w:t>
      </w:r>
      <w:r>
        <w:rPr>
          <w:rFonts w:hint="eastAsia" w:ascii="仿宋" w:hAnsi="仿宋" w:eastAsia="仿宋" w:cs="仿宋"/>
          <w:sz w:val="32"/>
          <w:szCs w:val="32"/>
          <w:highlight w:val="none"/>
          <w:lang w:val="en-US" w:eastAsia="zh-CN"/>
        </w:rPr>
        <w:t>60.05</w:t>
      </w:r>
      <w:r>
        <w:rPr>
          <w:rFonts w:hint="eastAsia" w:ascii="仿宋" w:hAnsi="仿宋" w:eastAsia="仿宋" w:cs="仿宋"/>
          <w:sz w:val="32"/>
          <w:szCs w:val="32"/>
          <w:highlight w:val="none"/>
        </w:rPr>
        <w:t>万元，支出决算为</w:t>
      </w:r>
      <w:r>
        <w:rPr>
          <w:rFonts w:hint="eastAsia" w:ascii="仿宋" w:hAnsi="仿宋" w:eastAsia="仿宋" w:cs="仿宋"/>
          <w:sz w:val="32"/>
          <w:szCs w:val="32"/>
          <w:highlight w:val="none"/>
          <w:lang w:val="en-US" w:eastAsia="zh-CN"/>
        </w:rPr>
        <w:t>76.12</w:t>
      </w:r>
      <w:r>
        <w:rPr>
          <w:rFonts w:hint="eastAsia" w:ascii="仿宋" w:hAnsi="仿宋" w:eastAsia="仿宋" w:cs="仿宋"/>
          <w:sz w:val="32"/>
          <w:szCs w:val="32"/>
          <w:highlight w:val="none"/>
        </w:rPr>
        <w:t>万元，完成</w:t>
      </w:r>
      <w:r>
        <w:rPr>
          <w:rFonts w:hint="eastAsia" w:ascii="仿宋" w:hAnsi="仿宋" w:eastAsia="仿宋" w:cs="仿宋"/>
          <w:sz w:val="32"/>
          <w:szCs w:val="32"/>
          <w:highlight w:val="none"/>
          <w:lang w:eastAsia="zh-CN"/>
        </w:rPr>
        <w:t>年初</w:t>
      </w:r>
      <w:r>
        <w:rPr>
          <w:rFonts w:hint="eastAsia" w:ascii="仿宋" w:hAnsi="仿宋" w:eastAsia="仿宋" w:cs="仿宋"/>
          <w:sz w:val="32"/>
          <w:szCs w:val="32"/>
          <w:highlight w:val="none"/>
        </w:rPr>
        <w:t>预算的</w:t>
      </w:r>
      <w:r>
        <w:rPr>
          <w:rFonts w:hint="eastAsia" w:ascii="仿宋" w:hAnsi="仿宋" w:eastAsia="仿宋" w:cs="仿宋"/>
          <w:sz w:val="32"/>
          <w:szCs w:val="32"/>
          <w:highlight w:val="none"/>
          <w:lang w:val="en-US" w:eastAsia="zh-CN"/>
        </w:rPr>
        <w:t>126.76</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决算数与</w:t>
      </w:r>
      <w:r>
        <w:rPr>
          <w:rFonts w:hint="eastAsia" w:ascii="仿宋" w:hAnsi="仿宋" w:eastAsia="仿宋" w:cs="仿宋"/>
          <w:sz w:val="32"/>
          <w:szCs w:val="32"/>
          <w:highlight w:val="none"/>
          <w:lang w:eastAsia="zh-CN"/>
        </w:rPr>
        <w:t>年初</w:t>
      </w:r>
      <w:r>
        <w:rPr>
          <w:rFonts w:hint="eastAsia" w:ascii="仿宋" w:hAnsi="仿宋" w:eastAsia="仿宋" w:cs="仿宋"/>
          <w:sz w:val="32"/>
          <w:szCs w:val="32"/>
          <w:highlight w:val="none"/>
        </w:rPr>
        <w:t>预算数存在差异的主要原因是</w:t>
      </w:r>
      <w:r>
        <w:rPr>
          <w:rFonts w:hint="eastAsia" w:ascii="仿宋" w:hAnsi="仿宋" w:eastAsia="仿宋" w:cs="仿宋"/>
          <w:sz w:val="32"/>
          <w:szCs w:val="32"/>
          <w:highlight w:val="none"/>
          <w:lang w:eastAsia="zh-CN"/>
        </w:rPr>
        <w:t>年中公务员总数增加，机关事业单位基本养老保险缴费支出增加。</w:t>
      </w:r>
    </w:p>
    <w:p>
      <w:pPr>
        <w:widowControl/>
        <w:numPr>
          <w:ilvl w:val="0"/>
          <w:numId w:val="0"/>
        </w:numPr>
        <w:spacing w:line="590" w:lineRule="exact"/>
        <w:ind w:firstLine="643" w:firstLineChars="200"/>
        <w:rPr>
          <w:rFonts w:hint="eastAsia" w:ascii="仿宋" w:hAnsi="仿宋" w:eastAsia="仿宋" w:cs="仿宋"/>
          <w:sz w:val="32"/>
          <w:szCs w:val="32"/>
          <w:highlight w:val="none"/>
          <w:lang w:eastAsia="zh-CN"/>
        </w:rPr>
      </w:pPr>
      <w:r>
        <w:rPr>
          <w:rFonts w:hint="eastAsia" w:ascii="仿宋" w:hAnsi="仿宋" w:eastAsia="仿宋" w:cs="仿宋"/>
          <w:b/>
          <w:bCs/>
          <w:sz w:val="32"/>
          <w:szCs w:val="32"/>
          <w:highlight w:val="none"/>
          <w:lang w:val="en-US" w:eastAsia="zh-CN"/>
        </w:rPr>
        <w:t>5.社会保障和就业支出（类）抚恤（项）死亡抚恤（款）。</w:t>
      </w:r>
      <w:r>
        <w:rPr>
          <w:rFonts w:hint="eastAsia" w:ascii="仿宋" w:hAnsi="仿宋" w:eastAsia="仿宋" w:cs="仿宋"/>
          <w:sz w:val="32"/>
          <w:szCs w:val="32"/>
          <w:highlight w:val="none"/>
          <w:lang w:eastAsia="zh-CN"/>
        </w:rPr>
        <w:t>年初预算为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lang w:eastAsia="zh-CN"/>
        </w:rPr>
        <w:t>万元，支出决算为</w:t>
      </w:r>
      <w:r>
        <w:rPr>
          <w:rFonts w:hint="eastAsia" w:ascii="仿宋" w:hAnsi="仿宋" w:eastAsia="仿宋" w:cs="仿宋"/>
          <w:sz w:val="32"/>
          <w:szCs w:val="32"/>
          <w:highlight w:val="none"/>
          <w:lang w:val="en-US" w:eastAsia="zh-CN"/>
        </w:rPr>
        <w:t>123.39</w:t>
      </w:r>
      <w:r>
        <w:rPr>
          <w:rFonts w:hint="eastAsia" w:ascii="仿宋" w:hAnsi="仿宋" w:eastAsia="仿宋" w:cs="仿宋"/>
          <w:sz w:val="32"/>
          <w:szCs w:val="32"/>
          <w:highlight w:val="none"/>
          <w:lang w:eastAsia="zh-CN"/>
        </w:rPr>
        <w:t>万元，决算数与年初预算数存在差异的主要原因是年中离退休人员病故，死亡抚恤增加。</w:t>
      </w:r>
    </w:p>
    <w:p>
      <w:pPr>
        <w:widowControl/>
        <w:numPr>
          <w:ilvl w:val="0"/>
          <w:numId w:val="0"/>
        </w:numPr>
        <w:spacing w:line="590" w:lineRule="exact"/>
        <w:ind w:firstLine="643" w:firstLineChars="200"/>
        <w:rPr>
          <w:rFonts w:hint="eastAsia" w:ascii="仿宋" w:hAnsi="仿宋" w:eastAsia="仿宋" w:cs="仿宋"/>
          <w:sz w:val="32"/>
          <w:szCs w:val="32"/>
          <w:highlight w:val="none"/>
        </w:rPr>
      </w:pPr>
      <w:r>
        <w:rPr>
          <w:rFonts w:hint="eastAsia" w:ascii="仿宋" w:hAnsi="仿宋" w:eastAsia="仿宋" w:cs="仿宋"/>
          <w:b/>
          <w:bCs/>
          <w:sz w:val="32"/>
          <w:szCs w:val="32"/>
          <w:highlight w:val="none"/>
          <w:lang w:val="en-US" w:eastAsia="zh-CN"/>
        </w:rPr>
        <w:t>6.卫生健康支出（类）行政事业单位医疗（款）行政单位医疗（项）。</w:t>
      </w:r>
      <w:r>
        <w:rPr>
          <w:rFonts w:hint="eastAsia" w:ascii="仿宋" w:hAnsi="仿宋" w:eastAsia="仿宋" w:cs="仿宋"/>
          <w:sz w:val="32"/>
          <w:szCs w:val="32"/>
          <w:highlight w:val="none"/>
          <w:lang w:eastAsia="zh-CN"/>
        </w:rPr>
        <w:t>年初</w:t>
      </w:r>
      <w:r>
        <w:rPr>
          <w:rFonts w:hint="eastAsia" w:ascii="仿宋" w:hAnsi="仿宋" w:eastAsia="仿宋" w:cs="仿宋"/>
          <w:sz w:val="32"/>
          <w:szCs w:val="32"/>
          <w:highlight w:val="none"/>
        </w:rPr>
        <w:t>预算为</w:t>
      </w:r>
      <w:r>
        <w:rPr>
          <w:rFonts w:hint="eastAsia" w:ascii="仿宋" w:hAnsi="仿宋" w:eastAsia="仿宋" w:cs="仿宋"/>
          <w:sz w:val="32"/>
          <w:szCs w:val="32"/>
          <w:highlight w:val="none"/>
          <w:lang w:val="en-US" w:eastAsia="zh-CN"/>
        </w:rPr>
        <w:t>30.83</w:t>
      </w:r>
      <w:r>
        <w:rPr>
          <w:rFonts w:hint="eastAsia" w:ascii="仿宋" w:hAnsi="仿宋" w:eastAsia="仿宋" w:cs="仿宋"/>
          <w:sz w:val="32"/>
          <w:szCs w:val="32"/>
          <w:highlight w:val="none"/>
        </w:rPr>
        <w:t>万元，支出决算为</w:t>
      </w:r>
      <w:r>
        <w:rPr>
          <w:rFonts w:hint="eastAsia" w:ascii="仿宋" w:hAnsi="仿宋" w:eastAsia="仿宋" w:cs="仿宋"/>
          <w:sz w:val="32"/>
          <w:szCs w:val="32"/>
          <w:highlight w:val="none"/>
          <w:lang w:val="en-US" w:eastAsia="zh-CN"/>
        </w:rPr>
        <w:t>30.11</w:t>
      </w:r>
      <w:r>
        <w:rPr>
          <w:rFonts w:hint="eastAsia" w:ascii="仿宋" w:hAnsi="仿宋" w:eastAsia="仿宋" w:cs="仿宋"/>
          <w:sz w:val="32"/>
          <w:szCs w:val="32"/>
          <w:highlight w:val="none"/>
        </w:rPr>
        <w:t>万元，完成</w:t>
      </w:r>
      <w:r>
        <w:rPr>
          <w:rFonts w:hint="eastAsia" w:ascii="仿宋" w:hAnsi="仿宋" w:eastAsia="仿宋" w:cs="仿宋"/>
          <w:sz w:val="32"/>
          <w:szCs w:val="32"/>
          <w:highlight w:val="none"/>
          <w:lang w:eastAsia="zh-CN"/>
        </w:rPr>
        <w:t>年初</w:t>
      </w:r>
      <w:r>
        <w:rPr>
          <w:rFonts w:hint="eastAsia" w:ascii="仿宋" w:hAnsi="仿宋" w:eastAsia="仿宋" w:cs="仿宋"/>
          <w:sz w:val="32"/>
          <w:szCs w:val="32"/>
          <w:highlight w:val="none"/>
        </w:rPr>
        <w:t>预算的</w:t>
      </w:r>
      <w:r>
        <w:rPr>
          <w:rFonts w:hint="eastAsia" w:ascii="仿宋" w:hAnsi="仿宋" w:eastAsia="仿宋" w:cs="仿宋"/>
          <w:sz w:val="32"/>
          <w:szCs w:val="32"/>
          <w:highlight w:val="none"/>
          <w:lang w:val="en-US" w:eastAsia="zh-CN"/>
        </w:rPr>
        <w:t>97.66</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决算数与</w:t>
      </w:r>
      <w:r>
        <w:rPr>
          <w:rFonts w:hint="eastAsia" w:ascii="仿宋" w:hAnsi="仿宋" w:eastAsia="仿宋" w:cs="仿宋"/>
          <w:sz w:val="32"/>
          <w:szCs w:val="32"/>
          <w:highlight w:val="none"/>
          <w:lang w:eastAsia="zh-CN"/>
        </w:rPr>
        <w:t>年初</w:t>
      </w:r>
      <w:r>
        <w:rPr>
          <w:rFonts w:hint="eastAsia" w:ascii="仿宋" w:hAnsi="仿宋" w:eastAsia="仿宋" w:cs="仿宋"/>
          <w:sz w:val="32"/>
          <w:szCs w:val="32"/>
          <w:highlight w:val="none"/>
        </w:rPr>
        <w:t>预算数存在差异的主要原因是</w:t>
      </w:r>
      <w:r>
        <w:rPr>
          <w:rFonts w:hint="eastAsia" w:ascii="仿宋" w:hAnsi="仿宋" w:eastAsia="仿宋" w:cs="仿宋"/>
          <w:sz w:val="32"/>
          <w:szCs w:val="32"/>
          <w:highlight w:val="none"/>
          <w:lang w:eastAsia="zh-CN"/>
        </w:rPr>
        <w:t>年度中实际医疗保险支出减少</w:t>
      </w:r>
      <w:r>
        <w:rPr>
          <w:rFonts w:hint="eastAsia" w:ascii="仿宋" w:hAnsi="仿宋" w:eastAsia="仿宋" w:cs="仿宋"/>
          <w:sz w:val="32"/>
          <w:szCs w:val="32"/>
          <w:highlight w:val="none"/>
        </w:rPr>
        <w:t>。</w:t>
      </w:r>
    </w:p>
    <w:p>
      <w:pPr>
        <w:widowControl/>
        <w:numPr>
          <w:ilvl w:val="0"/>
          <w:numId w:val="0"/>
        </w:numPr>
        <w:spacing w:line="590" w:lineRule="exact"/>
        <w:ind w:firstLine="643" w:firstLineChars="200"/>
        <w:rPr>
          <w:rFonts w:hint="default" w:ascii="仿宋_GB2312" w:hAnsi="仿宋_GB2312" w:eastAsia="仿宋_GB2312" w:cs="仿宋_GB2312"/>
          <w:sz w:val="32"/>
          <w:szCs w:val="32"/>
          <w:highlight w:val="none"/>
          <w:lang w:val="en-US" w:eastAsia="zh-CN"/>
        </w:rPr>
      </w:pPr>
      <w:r>
        <w:rPr>
          <w:rFonts w:hint="eastAsia" w:ascii="仿宋" w:hAnsi="仿宋" w:eastAsia="仿宋" w:cs="仿宋"/>
          <w:b/>
          <w:bCs/>
          <w:sz w:val="32"/>
          <w:szCs w:val="32"/>
          <w:highlight w:val="none"/>
          <w:lang w:val="en-US" w:eastAsia="zh-CN"/>
        </w:rPr>
        <w:t>7.卫生健康支出（类）行政事业单位医疗（款）公务员医疗补助（项）。</w:t>
      </w:r>
      <w:r>
        <w:rPr>
          <w:rFonts w:hint="eastAsia" w:ascii="仿宋" w:hAnsi="仿宋" w:eastAsia="仿宋" w:cs="仿宋"/>
          <w:sz w:val="32"/>
          <w:szCs w:val="32"/>
          <w:highlight w:val="none"/>
          <w:lang w:eastAsia="zh-CN"/>
        </w:rPr>
        <w:t>年初预算为</w:t>
      </w:r>
      <w:r>
        <w:rPr>
          <w:rFonts w:hint="eastAsia" w:ascii="仿宋" w:hAnsi="仿宋" w:eastAsia="仿宋" w:cs="仿宋"/>
          <w:sz w:val="32"/>
          <w:szCs w:val="32"/>
          <w:highlight w:val="none"/>
          <w:lang w:val="en-US" w:eastAsia="zh-CN"/>
        </w:rPr>
        <w:t>29.36</w:t>
      </w:r>
      <w:r>
        <w:rPr>
          <w:rFonts w:hint="eastAsia" w:ascii="仿宋" w:hAnsi="仿宋" w:eastAsia="仿宋" w:cs="仿宋"/>
          <w:sz w:val="32"/>
          <w:szCs w:val="32"/>
          <w:highlight w:val="none"/>
          <w:lang w:eastAsia="zh-CN"/>
        </w:rPr>
        <w:t>万元，支出决算为</w:t>
      </w:r>
      <w:r>
        <w:rPr>
          <w:rFonts w:hint="eastAsia" w:ascii="仿宋" w:hAnsi="仿宋" w:eastAsia="仿宋" w:cs="仿宋"/>
          <w:sz w:val="32"/>
          <w:szCs w:val="32"/>
          <w:highlight w:val="none"/>
          <w:lang w:val="en-US" w:eastAsia="zh-CN"/>
        </w:rPr>
        <w:t>32.72</w:t>
      </w:r>
      <w:r>
        <w:rPr>
          <w:rFonts w:hint="eastAsia" w:ascii="仿宋" w:hAnsi="仿宋" w:eastAsia="仿宋" w:cs="仿宋"/>
          <w:sz w:val="32"/>
          <w:szCs w:val="32"/>
          <w:highlight w:val="none"/>
          <w:lang w:eastAsia="zh-CN"/>
        </w:rPr>
        <w:t>万元，完成年初预算的</w:t>
      </w:r>
      <w:r>
        <w:rPr>
          <w:rFonts w:hint="eastAsia" w:ascii="仿宋" w:hAnsi="仿宋" w:eastAsia="仿宋" w:cs="仿宋"/>
          <w:sz w:val="32"/>
          <w:szCs w:val="32"/>
          <w:highlight w:val="none"/>
          <w:lang w:val="en-US" w:eastAsia="zh-CN"/>
        </w:rPr>
        <w:t>111.44</w:t>
      </w:r>
      <w:r>
        <w:rPr>
          <w:rFonts w:hint="eastAsia" w:ascii="仿宋" w:hAnsi="仿宋" w:eastAsia="仿宋" w:cs="仿宋"/>
          <w:sz w:val="32"/>
          <w:szCs w:val="32"/>
          <w:highlight w:val="none"/>
          <w:lang w:eastAsia="zh-CN"/>
        </w:rPr>
        <w:t>%，决算数与年初预算数存在差异的主要原因公务员医疗补助增加</w:t>
      </w:r>
      <w:r>
        <w:rPr>
          <w:rFonts w:hint="eastAsia" w:ascii="仿宋_GB2312" w:hAnsi="仿宋_GB2312" w:eastAsia="仿宋_GB2312" w:cs="仿宋_GB2312"/>
          <w:sz w:val="32"/>
          <w:szCs w:val="32"/>
          <w:highlight w:val="none"/>
          <w:lang w:eastAsia="zh-CN"/>
        </w:rPr>
        <w:t>。</w:t>
      </w:r>
    </w:p>
    <w:p>
      <w:pPr>
        <w:widowControl/>
        <w:numPr>
          <w:ilvl w:val="0"/>
          <w:numId w:val="0"/>
        </w:numPr>
        <w:spacing w:line="590" w:lineRule="exact"/>
        <w:ind w:firstLine="643" w:firstLineChars="200"/>
        <w:rPr>
          <w:rFonts w:hint="eastAsia" w:ascii="仿宋" w:hAnsi="仿宋" w:eastAsia="仿宋" w:cs="仿宋"/>
          <w:sz w:val="32"/>
          <w:szCs w:val="32"/>
          <w:highlight w:val="none"/>
        </w:rPr>
      </w:pPr>
      <w:r>
        <w:rPr>
          <w:rFonts w:hint="eastAsia" w:ascii="仿宋" w:hAnsi="仿宋" w:eastAsia="仿宋" w:cs="仿宋"/>
          <w:b/>
          <w:bCs/>
          <w:sz w:val="32"/>
          <w:szCs w:val="32"/>
          <w:highlight w:val="none"/>
          <w:lang w:val="en-US" w:eastAsia="zh-CN"/>
        </w:rPr>
        <w:t>8</w:t>
      </w:r>
      <w:r>
        <w:rPr>
          <w:rFonts w:hint="eastAsia" w:ascii="仿宋" w:hAnsi="仿宋" w:eastAsia="仿宋" w:cs="仿宋"/>
          <w:b/>
          <w:bCs/>
          <w:sz w:val="32"/>
          <w:szCs w:val="32"/>
          <w:highlight w:val="none"/>
        </w:rPr>
        <w:t>．农林水支出（类）农业农村（款）一般行政管理事务（项）。</w:t>
      </w:r>
      <w:r>
        <w:rPr>
          <w:rFonts w:hint="eastAsia" w:ascii="仿宋" w:hAnsi="仿宋" w:eastAsia="仿宋" w:cs="仿宋"/>
          <w:sz w:val="32"/>
          <w:szCs w:val="32"/>
          <w:highlight w:val="none"/>
          <w:lang w:eastAsia="zh-CN"/>
        </w:rPr>
        <w:t>年初</w:t>
      </w:r>
      <w:r>
        <w:rPr>
          <w:rFonts w:hint="eastAsia" w:ascii="仿宋" w:hAnsi="仿宋" w:eastAsia="仿宋" w:cs="仿宋"/>
          <w:sz w:val="32"/>
          <w:szCs w:val="32"/>
          <w:highlight w:val="none"/>
        </w:rPr>
        <w:t>预算为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万元，支出决算为</w:t>
      </w:r>
      <w:r>
        <w:rPr>
          <w:rFonts w:hint="eastAsia" w:ascii="仿宋" w:hAnsi="仿宋" w:eastAsia="仿宋" w:cs="仿宋"/>
          <w:sz w:val="32"/>
          <w:szCs w:val="32"/>
          <w:highlight w:val="none"/>
          <w:lang w:val="en-US" w:eastAsia="zh-CN"/>
        </w:rPr>
        <w:t>1.41</w:t>
      </w:r>
      <w:r>
        <w:rPr>
          <w:rFonts w:hint="eastAsia" w:ascii="仿宋" w:hAnsi="仿宋" w:eastAsia="仿宋" w:cs="仿宋"/>
          <w:sz w:val="32"/>
          <w:szCs w:val="32"/>
          <w:highlight w:val="none"/>
        </w:rPr>
        <w:t>万元，决算数与</w:t>
      </w:r>
      <w:r>
        <w:rPr>
          <w:rFonts w:hint="eastAsia" w:ascii="仿宋" w:hAnsi="仿宋" w:eastAsia="仿宋" w:cs="仿宋"/>
          <w:sz w:val="32"/>
          <w:szCs w:val="32"/>
          <w:highlight w:val="none"/>
          <w:lang w:eastAsia="zh-CN"/>
        </w:rPr>
        <w:t>年初</w:t>
      </w:r>
      <w:r>
        <w:rPr>
          <w:rFonts w:hint="eastAsia" w:ascii="仿宋" w:hAnsi="仿宋" w:eastAsia="仿宋" w:cs="仿宋"/>
          <w:sz w:val="32"/>
          <w:szCs w:val="32"/>
          <w:highlight w:val="none"/>
        </w:rPr>
        <w:t>预算数存在差异的主要原因是</w:t>
      </w:r>
      <w:r>
        <w:rPr>
          <w:rFonts w:hint="eastAsia" w:ascii="仿宋" w:hAnsi="仿宋" w:eastAsia="仿宋" w:cs="仿宋"/>
          <w:sz w:val="32"/>
          <w:szCs w:val="32"/>
          <w:highlight w:val="none"/>
          <w:lang w:val="en-US" w:eastAsia="zh-CN"/>
        </w:rPr>
        <w:t>专项资金增加</w:t>
      </w:r>
      <w:r>
        <w:rPr>
          <w:rFonts w:hint="eastAsia" w:ascii="仿宋" w:hAnsi="仿宋" w:eastAsia="仿宋" w:cs="仿宋"/>
          <w:sz w:val="32"/>
          <w:szCs w:val="32"/>
          <w:highlight w:val="none"/>
        </w:rPr>
        <w:t>。</w:t>
      </w:r>
    </w:p>
    <w:p>
      <w:pPr>
        <w:widowControl/>
        <w:numPr>
          <w:ilvl w:val="0"/>
          <w:numId w:val="0"/>
        </w:numPr>
        <w:spacing w:line="590" w:lineRule="exact"/>
        <w:ind w:firstLine="643" w:firstLineChars="200"/>
        <w:rPr>
          <w:rFonts w:hint="eastAsia" w:ascii="仿宋" w:hAnsi="仿宋" w:eastAsia="仿宋" w:cs="仿宋"/>
          <w:sz w:val="32"/>
          <w:szCs w:val="32"/>
          <w:highlight w:val="none"/>
          <w:lang w:eastAsia="zh-CN"/>
        </w:rPr>
      </w:pPr>
      <w:r>
        <w:rPr>
          <w:rFonts w:hint="eastAsia" w:ascii="仿宋" w:hAnsi="仿宋" w:eastAsia="仿宋" w:cs="仿宋"/>
          <w:b/>
          <w:bCs/>
          <w:sz w:val="32"/>
          <w:szCs w:val="32"/>
          <w:highlight w:val="none"/>
          <w:lang w:val="en-US" w:eastAsia="zh-CN"/>
        </w:rPr>
        <w:t>9．资源勘探工业信息等支出（类）工业和信息产业监管（款）    行政运行（项）。</w:t>
      </w:r>
      <w:r>
        <w:rPr>
          <w:rFonts w:hint="eastAsia" w:ascii="仿宋" w:hAnsi="仿宋" w:eastAsia="仿宋" w:cs="仿宋"/>
          <w:sz w:val="32"/>
          <w:szCs w:val="32"/>
          <w:highlight w:val="none"/>
          <w:lang w:eastAsia="zh-CN"/>
        </w:rPr>
        <w:t>年初预算为</w:t>
      </w:r>
      <w:r>
        <w:rPr>
          <w:rFonts w:hint="eastAsia" w:ascii="仿宋" w:hAnsi="仿宋" w:eastAsia="仿宋" w:cs="仿宋"/>
          <w:sz w:val="32"/>
          <w:szCs w:val="32"/>
          <w:highlight w:val="none"/>
          <w:lang w:val="en-US" w:eastAsia="zh-CN"/>
        </w:rPr>
        <w:t>982.93</w:t>
      </w:r>
      <w:r>
        <w:rPr>
          <w:rFonts w:hint="eastAsia" w:ascii="仿宋" w:hAnsi="仿宋" w:eastAsia="仿宋" w:cs="仿宋"/>
          <w:sz w:val="32"/>
          <w:szCs w:val="32"/>
          <w:highlight w:val="none"/>
          <w:lang w:eastAsia="zh-CN"/>
        </w:rPr>
        <w:t>万元，支出决算为</w:t>
      </w:r>
      <w:r>
        <w:rPr>
          <w:rFonts w:hint="eastAsia" w:ascii="仿宋" w:hAnsi="仿宋" w:eastAsia="仿宋" w:cs="仿宋"/>
          <w:sz w:val="32"/>
          <w:szCs w:val="32"/>
          <w:highlight w:val="none"/>
          <w:lang w:val="en-US" w:eastAsia="zh-CN"/>
        </w:rPr>
        <w:t>1084.18</w:t>
      </w:r>
      <w:r>
        <w:rPr>
          <w:rFonts w:hint="eastAsia" w:ascii="仿宋" w:hAnsi="仿宋" w:eastAsia="仿宋" w:cs="仿宋"/>
          <w:sz w:val="32"/>
          <w:szCs w:val="32"/>
          <w:highlight w:val="none"/>
          <w:lang w:eastAsia="zh-CN"/>
        </w:rPr>
        <w:t>万元，完成年初预算的</w:t>
      </w:r>
      <w:r>
        <w:rPr>
          <w:rFonts w:hint="eastAsia" w:ascii="仿宋" w:hAnsi="仿宋" w:eastAsia="仿宋" w:cs="仿宋"/>
          <w:sz w:val="32"/>
          <w:szCs w:val="32"/>
          <w:highlight w:val="none"/>
          <w:lang w:val="en-US" w:eastAsia="zh-CN"/>
        </w:rPr>
        <w:t>110.30</w:t>
      </w:r>
      <w:r>
        <w:rPr>
          <w:rFonts w:hint="eastAsia" w:ascii="仿宋" w:hAnsi="仿宋" w:eastAsia="仿宋" w:cs="仿宋"/>
          <w:sz w:val="32"/>
          <w:szCs w:val="32"/>
          <w:highlight w:val="none"/>
          <w:lang w:eastAsia="zh-CN"/>
        </w:rPr>
        <w:t>%，决算数与年初预算数存在差异的主要原因是工业和信息化任务增加。</w:t>
      </w:r>
    </w:p>
    <w:p>
      <w:pPr>
        <w:widowControl/>
        <w:numPr>
          <w:ilvl w:val="0"/>
          <w:numId w:val="0"/>
        </w:numPr>
        <w:spacing w:line="590" w:lineRule="exact"/>
        <w:ind w:firstLine="643" w:firstLineChars="200"/>
        <w:rPr>
          <w:rFonts w:hint="eastAsia" w:ascii="仿宋" w:hAnsi="仿宋" w:eastAsia="仿宋" w:cs="仿宋"/>
          <w:sz w:val="32"/>
          <w:szCs w:val="32"/>
          <w:highlight w:val="none"/>
          <w:lang w:eastAsia="zh-CN"/>
        </w:rPr>
      </w:pPr>
      <w:r>
        <w:rPr>
          <w:rFonts w:hint="eastAsia" w:ascii="仿宋" w:hAnsi="仿宋" w:eastAsia="仿宋" w:cs="仿宋"/>
          <w:b/>
          <w:bCs/>
          <w:sz w:val="32"/>
          <w:szCs w:val="32"/>
          <w:highlight w:val="none"/>
          <w:lang w:val="en-US" w:eastAsia="zh-CN"/>
        </w:rPr>
        <w:t>10．资源勘探工业信息等支出（类）工业和信息产业监管（款）一般行政管理事务（项）。</w:t>
      </w:r>
      <w:r>
        <w:rPr>
          <w:rFonts w:hint="eastAsia" w:ascii="仿宋" w:hAnsi="仿宋" w:eastAsia="仿宋" w:cs="仿宋"/>
          <w:sz w:val="32"/>
          <w:szCs w:val="32"/>
          <w:highlight w:val="none"/>
          <w:lang w:eastAsia="zh-CN"/>
        </w:rPr>
        <w:t>年初预算为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lang w:eastAsia="zh-CN"/>
        </w:rPr>
        <w:t>万元，支出决算为</w:t>
      </w:r>
      <w:r>
        <w:rPr>
          <w:rFonts w:hint="eastAsia" w:ascii="仿宋" w:hAnsi="仿宋" w:eastAsia="仿宋" w:cs="仿宋"/>
          <w:sz w:val="32"/>
          <w:szCs w:val="32"/>
          <w:highlight w:val="none"/>
          <w:lang w:val="en-US" w:eastAsia="zh-CN"/>
        </w:rPr>
        <w:t>332.60</w:t>
      </w:r>
      <w:r>
        <w:rPr>
          <w:rFonts w:hint="eastAsia" w:ascii="仿宋" w:hAnsi="仿宋" w:eastAsia="仿宋" w:cs="仿宋"/>
          <w:sz w:val="32"/>
          <w:szCs w:val="32"/>
          <w:highlight w:val="none"/>
          <w:lang w:eastAsia="zh-CN"/>
        </w:rPr>
        <w:t>万元，决算数与年初预算数存在差异的主要原因是年中</w:t>
      </w:r>
      <w:r>
        <w:rPr>
          <w:rFonts w:hint="eastAsia" w:ascii="仿宋" w:hAnsi="仿宋" w:eastAsia="仿宋" w:cs="仿宋"/>
          <w:sz w:val="32"/>
          <w:szCs w:val="32"/>
          <w:highlight w:val="none"/>
          <w:lang w:val="en-US" w:eastAsia="zh-CN"/>
        </w:rPr>
        <w:t>增加了许昌市“十四五”高质量发展规划编制经费等项目资金</w:t>
      </w:r>
      <w:r>
        <w:rPr>
          <w:rFonts w:hint="eastAsia" w:ascii="仿宋" w:hAnsi="仿宋" w:eastAsia="仿宋" w:cs="仿宋"/>
          <w:sz w:val="32"/>
          <w:szCs w:val="32"/>
          <w:highlight w:val="none"/>
          <w:lang w:eastAsia="zh-CN"/>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widowControl/>
        <w:numPr>
          <w:ilvl w:val="0"/>
          <w:numId w:val="0"/>
        </w:numPr>
        <w:spacing w:line="590" w:lineRule="exact"/>
        <w:ind w:firstLine="640" w:firstLineChars="200"/>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2021年度一般公共预算财政拨款基本支出1851.77万元。其中：人员经费1699.99万元，主要包括：基本工资、津贴补贴、奖金、绩效工资、机关事业单位基本养老保险缴费、职工基本医疗保险缴费、公务员医疗补助缴费、其他社会保障缴费、住房公积金、其他工资福利支出、对个人和家庭的补助、离休费、退休费、抚恤金、生活补助、其他对个人和家庭的补助支出；公用经费151.77万元，主要包括：办公费、印刷费、邮电费、差旅费、维修（护）费、会议费、公务招待费、劳务费、委托业务费、工会经费、福利费、公务用车运行维护费、其他交通费用、税金及附加费用、其他商品和服务支出、办公设备购置、专用设备购置。</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widowControl/>
        <w:spacing w:line="590" w:lineRule="exact"/>
        <w:ind w:firstLine="643" w:firstLineChars="200"/>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（一）“三公”经费财政拨款支出决算总体情况说明。</w:t>
      </w:r>
    </w:p>
    <w:p>
      <w:pPr>
        <w:widowControl/>
        <w:numPr>
          <w:ilvl w:val="0"/>
          <w:numId w:val="0"/>
        </w:numPr>
        <w:spacing w:line="590" w:lineRule="exact"/>
        <w:ind w:firstLine="640" w:firstLineChars="200"/>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2021年度“三公”经费财政拨款支出预算为16.84万元，支出决算为16.64万元，完成预算的98.81%。2021年度“三公”经费支出决算数与预算数存在差异的主要原因是减少公务活动，节约开支。</w:t>
      </w:r>
    </w:p>
    <w:p>
      <w:pPr>
        <w:widowControl/>
        <w:spacing w:line="590" w:lineRule="exact"/>
        <w:ind w:firstLine="643" w:firstLineChars="200"/>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highlight w:val="none"/>
        </w:rPr>
      </w:pPr>
      <w:r>
        <w:rPr>
          <w:rFonts w:hint="eastAsia" w:ascii="仿宋" w:hAnsi="仿宋" w:eastAsia="仿宋" w:cs="仿宋"/>
          <w:b w:val="0"/>
          <w:bCs w:val="0"/>
          <w:sz w:val="32"/>
          <w:szCs w:val="32"/>
          <w:highlight w:val="none"/>
          <w:lang w:val="en-US" w:eastAsia="zh-CN"/>
        </w:rPr>
        <w:t>2021年度“三公”经费财政拨款支出决算中，因公出国（境）费支出决算0.00万元；公务用车购置及运行费支出决算11.80万元，完成预算的98.33%，占70.91%；公务接待费支出决算4.84万元，完成预算的100%，占29.09%。具体情况如下：</w:t>
      </w:r>
    </w:p>
    <w:p>
      <w:pPr>
        <w:widowControl/>
        <w:spacing w:line="590" w:lineRule="exact"/>
        <w:ind w:firstLine="643" w:firstLineChars="200"/>
        <w:rPr>
          <w:rFonts w:hint="default" w:ascii="仿宋" w:hAnsi="仿宋" w:eastAsia="仿宋" w:cs="仿宋"/>
          <w:b w:val="0"/>
          <w:bCs w:val="0"/>
          <w:sz w:val="32"/>
          <w:szCs w:val="32"/>
          <w:highlight w:val="none"/>
          <w:lang w:val="en-US" w:eastAsia="zh-CN"/>
        </w:rPr>
      </w:pPr>
      <w:r>
        <w:rPr>
          <w:rFonts w:hint="eastAsia" w:ascii="仿宋" w:hAnsi="仿宋" w:eastAsia="仿宋" w:cs="仿宋"/>
          <w:b/>
          <w:bCs/>
          <w:sz w:val="32"/>
          <w:szCs w:val="32"/>
          <w:highlight w:val="none"/>
        </w:rPr>
        <w:t>1．因公出国（境）费</w:t>
      </w:r>
      <w:r>
        <w:rPr>
          <w:rFonts w:hint="eastAsia" w:ascii="仿宋" w:hAnsi="仿宋" w:eastAsia="仿宋" w:cs="仿宋"/>
          <w:b w:val="0"/>
          <w:bCs w:val="0"/>
          <w:sz w:val="32"/>
          <w:szCs w:val="32"/>
          <w:highlight w:val="none"/>
          <w:lang w:val="en-US" w:eastAsia="zh-CN"/>
        </w:rPr>
        <w:t>预算为0.00万元，支出决算为0.00万元。2021年因公出国（境）费决算数与预算数不存在差异。因公出国（境）团组数0个，因公出国（境）人次数0人。</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 w:hAnsi="仿宋" w:eastAsia="仿宋" w:cs="仿宋"/>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12.00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11.80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98.33</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eastAsia="zh-CN"/>
        </w:rPr>
        <w:t>加强了管理措施，节约了开支</w:t>
      </w:r>
      <w:r>
        <w:rPr>
          <w:rFonts w:hint="eastAsia" w:ascii="仿宋_GB2312" w:hAnsi="仿宋_GB2312" w:eastAsia="仿宋_GB2312" w:cs="仿宋_GB2312"/>
          <w:sz w:val="32"/>
          <w:szCs w:val="32"/>
          <w:highlight w:val="none"/>
        </w:rPr>
        <w:t>。其中：</w:t>
      </w:r>
    </w:p>
    <w:p>
      <w:pPr>
        <w:widowControl/>
        <w:spacing w:line="590" w:lineRule="exact"/>
        <w:ind w:firstLine="643" w:firstLineChars="200"/>
        <w:rPr>
          <w:rFonts w:hint="eastAsia" w:ascii="仿宋_GB2312" w:hAnsi="仿宋_GB2312" w:eastAsia="仿宋_GB2312" w:cs="仿宋_GB2312"/>
          <w:sz w:val="32"/>
          <w:szCs w:val="32"/>
          <w:highlight w:val="none"/>
        </w:rPr>
      </w:pPr>
      <w:r>
        <w:rPr>
          <w:rFonts w:hint="eastAsia" w:ascii="仿宋" w:hAnsi="仿宋" w:eastAsia="仿宋" w:cs="仿宋"/>
          <w:b/>
          <w:bCs/>
          <w:sz w:val="32"/>
          <w:szCs w:val="32"/>
          <w:highlight w:val="none"/>
        </w:rPr>
        <w:t>公务用车购置支出</w:t>
      </w:r>
      <w:r>
        <w:rPr>
          <w:rFonts w:hint="eastAsia" w:ascii="仿宋" w:hAnsi="仿宋" w:eastAsia="仿宋" w:cs="仿宋"/>
          <w:sz w:val="32"/>
          <w:szCs w:val="32"/>
          <w:highlight w:val="none"/>
        </w:rPr>
        <w:t>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万元，购置车辆</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台</w:t>
      </w:r>
      <w:r>
        <w:rPr>
          <w:rFonts w:hint="eastAsia" w:ascii="仿宋_GB2312" w:hAnsi="仿宋_GB2312" w:eastAsia="仿宋_GB2312" w:cs="仿宋_GB2312"/>
          <w:sz w:val="32"/>
          <w:szCs w:val="32"/>
          <w:highlight w:val="none"/>
        </w:rPr>
        <w:t>。</w:t>
      </w:r>
    </w:p>
    <w:p>
      <w:pPr>
        <w:widowControl/>
        <w:spacing w:line="590" w:lineRule="exact"/>
        <w:ind w:firstLine="643" w:firstLineChars="200"/>
        <w:rPr>
          <w:rFonts w:hint="eastAsia" w:ascii="仿宋" w:hAnsi="仿宋" w:eastAsia="仿宋" w:cs="仿宋"/>
          <w:sz w:val="32"/>
          <w:szCs w:val="32"/>
          <w:highlight w:val="none"/>
        </w:rPr>
      </w:pPr>
      <w:r>
        <w:rPr>
          <w:rFonts w:hint="eastAsia" w:ascii="仿宋" w:hAnsi="仿宋" w:eastAsia="仿宋" w:cs="仿宋"/>
          <w:b/>
          <w:bCs/>
          <w:sz w:val="32"/>
          <w:szCs w:val="32"/>
          <w:highlight w:val="none"/>
        </w:rPr>
        <w:t>公务用车运行支出</w:t>
      </w:r>
      <w:r>
        <w:rPr>
          <w:rFonts w:hint="eastAsia" w:ascii="仿宋" w:hAnsi="仿宋" w:eastAsia="仿宋" w:cs="仿宋"/>
          <w:sz w:val="32"/>
          <w:szCs w:val="32"/>
          <w:highlight w:val="none"/>
          <w:lang w:val="en-US" w:eastAsia="zh-CN"/>
        </w:rPr>
        <w:t>11.80</w:t>
      </w:r>
      <w:r>
        <w:rPr>
          <w:rFonts w:hint="eastAsia" w:ascii="仿宋" w:hAnsi="仿宋" w:eastAsia="仿宋" w:cs="仿宋"/>
          <w:sz w:val="32"/>
          <w:szCs w:val="32"/>
          <w:highlight w:val="none"/>
        </w:rPr>
        <w:t>万元。主要用于</w:t>
      </w:r>
      <w:r>
        <w:rPr>
          <w:rFonts w:hint="eastAsia" w:ascii="仿宋" w:hAnsi="仿宋" w:eastAsia="仿宋" w:cs="仿宋"/>
          <w:sz w:val="32"/>
          <w:szCs w:val="32"/>
          <w:highlight w:val="none"/>
          <w:lang w:eastAsia="zh-CN"/>
        </w:rPr>
        <w:t>公务活动保障</w:t>
      </w:r>
      <w:r>
        <w:rPr>
          <w:rFonts w:hint="eastAsia" w:ascii="仿宋" w:hAnsi="仿宋" w:eastAsia="仿宋" w:cs="仿宋"/>
          <w:sz w:val="32"/>
          <w:szCs w:val="32"/>
          <w:highlight w:val="none"/>
        </w:rPr>
        <w:t>。2021年期末，单位开支财政拨款的公务用车保有量为</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lang w:eastAsia="zh-CN"/>
        </w:rPr>
        <w:t>台</w:t>
      </w:r>
      <w:r>
        <w:rPr>
          <w:rFonts w:hint="eastAsia" w:ascii="仿宋" w:hAnsi="仿宋" w:eastAsia="仿宋" w:cs="仿宋"/>
          <w:sz w:val="32"/>
          <w:szCs w:val="32"/>
          <w:highlight w:val="none"/>
        </w:rPr>
        <w:t>。</w:t>
      </w:r>
    </w:p>
    <w:p>
      <w:pPr>
        <w:widowControl/>
        <w:spacing w:line="590" w:lineRule="exact"/>
        <w:ind w:firstLine="643" w:firstLineChars="200"/>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rPr>
        <w:t>3.公务接待费</w:t>
      </w:r>
      <w:r>
        <w:rPr>
          <w:rFonts w:hint="eastAsia" w:ascii="仿宋" w:hAnsi="仿宋" w:eastAsia="仿宋" w:cs="仿宋"/>
          <w:sz w:val="32"/>
          <w:szCs w:val="32"/>
          <w:highlight w:val="none"/>
          <w:lang w:val="en-US" w:eastAsia="zh-CN"/>
        </w:rPr>
        <w:t>预算为4.84万元，支出决算为4.84万元，完成预算的100%。2021年公务接待费预算数和决算数不存在差异。其中：</w:t>
      </w:r>
    </w:p>
    <w:p>
      <w:pPr>
        <w:widowControl/>
        <w:spacing w:line="590" w:lineRule="exact"/>
        <w:ind w:firstLine="643" w:firstLineChars="200"/>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rPr>
        <w:t>外宾接待支出</w:t>
      </w:r>
      <w:r>
        <w:rPr>
          <w:rFonts w:hint="eastAsia" w:ascii="仿宋" w:hAnsi="仿宋" w:eastAsia="仿宋" w:cs="仿宋"/>
          <w:sz w:val="32"/>
          <w:szCs w:val="32"/>
          <w:highlight w:val="none"/>
          <w:lang w:val="en-US" w:eastAsia="zh-CN"/>
        </w:rPr>
        <w:t>0.00万元。2021年共接待国（境）外来访团组0个、来访外宾0人次（不包括陪同人员）。</w:t>
      </w:r>
    </w:p>
    <w:p>
      <w:pPr>
        <w:widowControl/>
        <w:spacing w:line="590" w:lineRule="exact"/>
        <w:ind w:firstLine="643" w:firstLineChars="200"/>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rPr>
        <w:t>其他国内公务接待支出</w:t>
      </w:r>
      <w:r>
        <w:rPr>
          <w:rFonts w:hint="eastAsia" w:ascii="仿宋" w:hAnsi="仿宋" w:eastAsia="仿宋" w:cs="仿宋"/>
          <w:sz w:val="32"/>
          <w:szCs w:val="32"/>
          <w:highlight w:val="none"/>
          <w:lang w:val="en-US" w:eastAsia="zh-CN"/>
        </w:rPr>
        <w:t>4.84万元。主要用于工业和信息化公务活动保障。2021年共接待国内来访团组40个、来宾545人次（不包括陪同人员）。</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widowControl/>
        <w:numPr>
          <w:ilvl w:val="0"/>
          <w:numId w:val="0"/>
        </w:numPr>
        <w:spacing w:line="59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2021年度政府性基金预算财政拨款支出</w:t>
      </w:r>
      <w:r>
        <w:rPr>
          <w:rFonts w:hint="eastAsia" w:ascii="仿宋" w:hAnsi="仿宋" w:eastAsia="仿宋" w:cs="仿宋"/>
          <w:sz w:val="32"/>
          <w:szCs w:val="32"/>
          <w:highlight w:val="none"/>
          <w:lang w:eastAsia="zh-CN"/>
        </w:rPr>
        <w:t>年初</w:t>
      </w:r>
      <w:r>
        <w:rPr>
          <w:rFonts w:hint="eastAsia" w:ascii="仿宋" w:hAnsi="仿宋" w:eastAsia="仿宋" w:cs="仿宋"/>
          <w:sz w:val="32"/>
          <w:szCs w:val="32"/>
          <w:highlight w:val="none"/>
        </w:rPr>
        <w:t>预算为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万元，支出决算为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不存在项目年未结转和结余资金数额较大。我单位</w:t>
      </w:r>
      <w:r>
        <w:rPr>
          <w:rFonts w:hint="eastAsia" w:ascii="仿宋" w:hAnsi="仿宋" w:eastAsia="仿宋" w:cs="仿宋"/>
          <w:sz w:val="32"/>
          <w:szCs w:val="32"/>
          <w:highlight w:val="none"/>
          <w:lang w:val="en-US" w:eastAsia="zh-CN"/>
        </w:rPr>
        <w:t>2021年没有政府性基金收入，也没有使用政府性基金安排的支出。</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widowControl/>
        <w:numPr>
          <w:ilvl w:val="0"/>
          <w:numId w:val="0"/>
        </w:numPr>
        <w:spacing w:line="59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2021年度机关运行经费</w:t>
      </w:r>
      <w:r>
        <w:rPr>
          <w:rFonts w:hint="eastAsia" w:ascii="仿宋" w:hAnsi="仿宋" w:eastAsia="仿宋" w:cs="仿宋"/>
          <w:sz w:val="32"/>
          <w:szCs w:val="32"/>
          <w:highlight w:val="none"/>
          <w:lang w:eastAsia="zh-CN"/>
        </w:rPr>
        <w:t>年初</w:t>
      </w:r>
      <w:r>
        <w:rPr>
          <w:rFonts w:hint="eastAsia" w:ascii="仿宋" w:hAnsi="仿宋" w:eastAsia="仿宋" w:cs="仿宋"/>
          <w:sz w:val="32"/>
          <w:szCs w:val="32"/>
          <w:highlight w:val="none"/>
        </w:rPr>
        <w:t>预算为</w:t>
      </w:r>
      <w:r>
        <w:rPr>
          <w:rFonts w:hint="eastAsia" w:ascii="仿宋" w:hAnsi="仿宋" w:eastAsia="仿宋" w:cs="仿宋"/>
          <w:sz w:val="32"/>
          <w:szCs w:val="32"/>
          <w:highlight w:val="none"/>
          <w:lang w:val="en-US" w:eastAsia="zh-CN"/>
        </w:rPr>
        <w:t>152.92</w:t>
      </w:r>
      <w:r>
        <w:rPr>
          <w:rFonts w:hint="eastAsia" w:ascii="仿宋" w:hAnsi="仿宋" w:eastAsia="仿宋" w:cs="仿宋"/>
          <w:sz w:val="32"/>
          <w:szCs w:val="32"/>
          <w:highlight w:val="none"/>
          <w:lang w:eastAsia="zh-CN"/>
        </w:rPr>
        <w:t>万元，支出决算为</w:t>
      </w:r>
      <w:r>
        <w:rPr>
          <w:rFonts w:hint="eastAsia" w:ascii="仿宋" w:hAnsi="仿宋" w:eastAsia="仿宋" w:cs="仿宋"/>
          <w:sz w:val="32"/>
          <w:szCs w:val="32"/>
          <w:highlight w:val="none"/>
          <w:lang w:val="en-US" w:eastAsia="zh-CN"/>
        </w:rPr>
        <w:t>151.77</w:t>
      </w:r>
      <w:r>
        <w:rPr>
          <w:rFonts w:hint="eastAsia" w:ascii="仿宋" w:hAnsi="仿宋" w:eastAsia="仿宋" w:cs="仿宋"/>
          <w:sz w:val="32"/>
          <w:szCs w:val="32"/>
          <w:highlight w:val="none"/>
          <w:lang w:eastAsia="zh-CN"/>
        </w:rPr>
        <w:t>万元，完成年初预算的</w:t>
      </w:r>
      <w:r>
        <w:rPr>
          <w:rFonts w:hint="eastAsia" w:ascii="仿宋" w:hAnsi="仿宋" w:eastAsia="仿宋" w:cs="仿宋"/>
          <w:sz w:val="32"/>
          <w:szCs w:val="32"/>
          <w:highlight w:val="none"/>
          <w:lang w:val="en-US" w:eastAsia="zh-CN"/>
        </w:rPr>
        <w:t>99.25</w:t>
      </w:r>
      <w:r>
        <w:rPr>
          <w:rFonts w:hint="eastAsia" w:ascii="仿宋" w:hAnsi="仿宋" w:eastAsia="仿宋" w:cs="仿宋"/>
          <w:sz w:val="32"/>
          <w:szCs w:val="32"/>
          <w:highlight w:val="none"/>
          <w:lang w:eastAsia="zh-CN"/>
        </w:rPr>
        <w:t>%。决算数与年初</w:t>
      </w:r>
      <w:r>
        <w:rPr>
          <w:rFonts w:hint="eastAsia" w:ascii="仿宋" w:hAnsi="仿宋" w:eastAsia="仿宋" w:cs="仿宋"/>
          <w:sz w:val="32"/>
          <w:szCs w:val="32"/>
          <w:highlight w:val="none"/>
        </w:rPr>
        <w:t>预算数存在差异的主要原因是</w:t>
      </w:r>
      <w:r>
        <w:rPr>
          <w:rFonts w:hint="eastAsia" w:ascii="仿宋" w:hAnsi="仿宋" w:eastAsia="仿宋" w:cs="仿宋"/>
          <w:sz w:val="32"/>
          <w:szCs w:val="32"/>
          <w:highlight w:val="none"/>
          <w:lang w:eastAsia="zh-CN"/>
        </w:rPr>
        <w:t>管理措施加强节约了经费</w:t>
      </w:r>
      <w:r>
        <w:rPr>
          <w:rFonts w:hint="eastAsia" w:ascii="仿宋" w:hAnsi="仿宋" w:eastAsia="仿宋" w:cs="仿宋"/>
          <w:sz w:val="32"/>
          <w:szCs w:val="32"/>
          <w:highlight w:val="none"/>
        </w:rPr>
        <w:t>。</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widowControl/>
        <w:numPr>
          <w:ilvl w:val="0"/>
          <w:numId w:val="0"/>
        </w:numPr>
        <w:spacing w:line="59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2021年度政府采购支出总额</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万元、政府采购工程支出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万元。授予中小企业合同金额</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万元，其中：授予小微企业合同金额</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widowControl/>
        <w:numPr>
          <w:ilvl w:val="0"/>
          <w:numId w:val="0"/>
        </w:numPr>
        <w:spacing w:line="59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2021年期末，我单位共有车辆</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辆，其中：省级领导干部用车</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辆、主要领导干部用车</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辆、机要通信用车</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辆、应急保障车</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辆、执法执勤用车</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辆、特种专业技术用车</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辆、离退休干部用车</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辆、其他用车</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辆；单位价值50万元以上通用设备</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台（套），单位价值100万元以上专用设备</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台（套）。</w:t>
      </w:r>
    </w:p>
    <w:p>
      <w:pPr>
        <w:widowControl/>
        <w:spacing w:line="590" w:lineRule="exact"/>
        <w:ind w:firstLine="640" w:firstLineChars="200"/>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十二、预算绩效情况说明</w:t>
      </w:r>
    </w:p>
    <w:p>
      <w:pPr>
        <w:widowControl/>
        <w:spacing w:line="590" w:lineRule="exact"/>
        <w:ind w:firstLine="643" w:firstLineChars="200"/>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（一）绩效管理工作开展情况。</w:t>
      </w:r>
    </w:p>
    <w:p>
      <w:pPr>
        <w:widowControl/>
        <w:numPr>
          <w:ilvl w:val="0"/>
          <w:numId w:val="0"/>
        </w:numPr>
        <w:spacing w:line="59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首先，建立健全组织，提高认识。局党组上通过关于加强预算绩效工作的方案，统一了思想，健全了绩效工作领导小组，明确了分工，厘清了责任和义务，从思想上和组织上为绩效工作打下坚实的基础；其次，加强宣传教育。充分利用行政办公会、党组会，学习上级关于绩效工作的文件精神，提高绩效工作理论学习；再次，强化了预算绩效管理。2021年我单位纳入预算绩效管理的支出总额为7751.69万元，其中：基本支出1560.54万元；支出项目5个，支出金额6191.15万元。开展项目绩效自评项目5个，自评金额6191.15万元；纳入重点绩效评价1个，评价金额6160.80万元。</w:t>
      </w:r>
    </w:p>
    <w:p>
      <w:pPr>
        <w:widowControl/>
        <w:spacing w:line="590" w:lineRule="exact"/>
        <w:ind w:firstLine="643" w:firstLineChars="200"/>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（二）单位整体和项目绩效自评结果。</w:t>
      </w:r>
    </w:p>
    <w:p>
      <w:pPr>
        <w:widowControl/>
        <w:numPr>
          <w:ilvl w:val="0"/>
          <w:numId w:val="0"/>
        </w:numPr>
        <w:spacing w:line="59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按照《许昌市财政局关于开展2021年度市级预算绩效自评工作的通知》（许财效）〔2022〕1号）等文件精神，我单位对本单位整体绩效目标和项目支出绩效目标进行了自评。一是单位整体绩效自评情况为“优”。二是项目绩效自评情况。我单位共有5个项目批复了绩效目标，项目金额6191.15万元。其中：</w:t>
      </w:r>
    </w:p>
    <w:p>
      <w:pPr>
        <w:widowControl/>
        <w:numPr>
          <w:ilvl w:val="0"/>
          <w:numId w:val="0"/>
        </w:numPr>
        <w:spacing w:line="590" w:lineRule="exact"/>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许昌市工业和信息化局（本级）5个项目，项目金额6191.15万元。</w:t>
      </w:r>
    </w:p>
    <w:p>
      <w:pPr>
        <w:widowControl/>
        <w:numPr>
          <w:ilvl w:val="0"/>
          <w:numId w:val="0"/>
        </w:numPr>
        <w:spacing w:line="59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基于项目预期目标的实现程度，对2021年度项目支出绩效进行自评，绩效自评平均得分为90分。其中：5个项目评价等级为“优”、0个项目评价等级为“良”、0个项目评价等级为“中”、0个项目评价等级为“差”。</w:t>
      </w:r>
    </w:p>
    <w:p>
      <w:pPr>
        <w:widowControl/>
        <w:spacing w:line="590" w:lineRule="exact"/>
        <w:ind w:firstLine="643" w:firstLineChars="200"/>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（三）重点绩效评价结果。</w:t>
      </w:r>
    </w:p>
    <w:p>
      <w:pPr>
        <w:widowControl/>
        <w:numPr>
          <w:ilvl w:val="0"/>
          <w:numId w:val="0"/>
        </w:numPr>
        <w:spacing w:line="59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许昌市财政局和我单位取选取我单位1个项目开展重点绩效评价，等次为“良”。</w:t>
      </w:r>
    </w:p>
    <w:p>
      <w:pPr>
        <w:widowControl/>
        <w:numPr>
          <w:ilvl w:val="0"/>
          <w:numId w:val="0"/>
        </w:numPr>
        <w:spacing w:line="59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我单位将对照重点绩效评价发现问题进行整改，不断提高我单位项目和预算管理水平，提升财政资金使用效益。</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widowControl/>
        <w:spacing w:line="590" w:lineRule="exact"/>
        <w:ind w:firstLine="960" w:firstLineChars="20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一、财政拨款收入：单位从同级政府财政</w:t>
      </w:r>
      <w:r>
        <w:rPr>
          <w:rFonts w:hint="eastAsia" w:ascii="仿宋" w:hAnsi="仿宋" w:eastAsia="仿宋" w:cs="仿宋"/>
          <w:sz w:val="32"/>
          <w:szCs w:val="32"/>
          <w:highlight w:val="none"/>
          <w:lang w:eastAsia="zh-CN"/>
        </w:rPr>
        <w:t>（本级）</w:t>
      </w:r>
      <w:r>
        <w:rPr>
          <w:rFonts w:hint="eastAsia" w:ascii="仿宋" w:hAnsi="仿宋" w:eastAsia="仿宋" w:cs="仿宋"/>
          <w:sz w:val="32"/>
          <w:szCs w:val="32"/>
          <w:highlight w:val="none"/>
        </w:rPr>
        <w:t>取得的财政预算资金。</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二、事业收入：事业单位开展专业业务活动及其辅助活动取得的收入。</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三、上级补助收入：事业单位从主管</w:t>
      </w:r>
      <w:r>
        <w:rPr>
          <w:rFonts w:hint="eastAsia" w:ascii="仿宋" w:hAnsi="仿宋" w:eastAsia="仿宋" w:cs="仿宋"/>
          <w:sz w:val="32"/>
          <w:szCs w:val="32"/>
          <w:highlight w:val="none"/>
          <w:lang w:eastAsia="zh-CN"/>
        </w:rPr>
        <w:t>（本级）</w:t>
      </w:r>
      <w:r>
        <w:rPr>
          <w:rFonts w:hint="eastAsia" w:ascii="仿宋" w:hAnsi="仿宋" w:eastAsia="仿宋" w:cs="仿宋"/>
          <w:sz w:val="32"/>
          <w:szCs w:val="32"/>
          <w:highlight w:val="none"/>
        </w:rPr>
        <w:t>和上级单位取得的非财政补助收入。</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四、附属单位上缴收入：事业单位取得附属独立核算单位根据有关规定上缴的收入。</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八、基本支出：为保障机构正常运转、完成日常工作任务而发生的人员支出和公用支出。</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九、项目支出：基本支出之外为完成特定行政任务和事业发展目标所发生的支出。</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十三、商品和服务支出：单位购买商品和服务的支出。</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十四、对个人和家庭的补助支出：单位用于对个人和家庭的补助支出。</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CCu/GeIBAADMAwAADgAA&#10;AAAAAAABACAAAAAeAQAAZHJzL2Uyb0RvYy54bWxQSwUGAAAAAAYABgBZAQAAc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rPr>
                              <w:rFonts w:hint="eastAsia"/>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GewwJDjAQAAzwMAAA4A&#10;AAAAAAAAAQAgAAAAHgEAAGRycy9lMm9Eb2MueG1sUEsFBgAAAAAGAAYAWQEAAHM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2kRv5eIBAADMAwAADgAA&#10;AAAAAAABACAAAAAeAQAAZHJzL2Uyb0RvYy54bWxQSwUGAAAAAAYABgBZAQAAc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chineseCountingThousand"/>
      <w:pStyle w:val="4"/>
      <w:lvlText w:val="第%1章　"/>
      <w:lvlJc w:val="left"/>
      <w:pPr>
        <w:tabs>
          <w:tab w:val="left" w:pos="1440"/>
        </w:tabs>
        <w:ind w:left="720" w:hanging="720"/>
      </w:pPr>
      <w:rPr>
        <w:rFonts w:hint="eastAsia" w:cs="Times New Roman"/>
        <w:sz w:val="32"/>
      </w:rPr>
    </w:lvl>
    <w:lvl w:ilvl="1" w:tentative="0">
      <w:start w:val="1"/>
      <w:numFmt w:val="lowerRoman"/>
      <w:lvlText w:val="(%2)"/>
      <w:lvlJc w:val="left"/>
      <w:pPr>
        <w:tabs>
          <w:tab w:val="left" w:pos="861"/>
        </w:tabs>
        <w:ind w:left="861" w:hanging="720"/>
      </w:pPr>
      <w:rPr>
        <w:rFonts w:hint="eastAsia" w:cs="Times New Roman"/>
      </w:rPr>
    </w:lvl>
    <w:lvl w:ilvl="2" w:tentative="0">
      <w:start w:val="1"/>
      <w:numFmt w:val="lowerLetter"/>
      <w:lvlText w:val="(%3)"/>
      <w:lvlJc w:val="left"/>
      <w:pPr>
        <w:tabs>
          <w:tab w:val="left" w:pos="1335"/>
        </w:tabs>
        <w:ind w:left="1335" w:hanging="495"/>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2ZDQzZDk1YWFmMjk3ZTMzNzVkYjFkNTRlOWE5NTM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AD0"/>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2A3489A"/>
    <w:rsid w:val="02CA138D"/>
    <w:rsid w:val="033646FC"/>
    <w:rsid w:val="03601839"/>
    <w:rsid w:val="03C7367A"/>
    <w:rsid w:val="03C75F80"/>
    <w:rsid w:val="0478364D"/>
    <w:rsid w:val="04F33B3E"/>
    <w:rsid w:val="053D4C0D"/>
    <w:rsid w:val="0557532E"/>
    <w:rsid w:val="06093262"/>
    <w:rsid w:val="06741A00"/>
    <w:rsid w:val="0799329C"/>
    <w:rsid w:val="07DA663F"/>
    <w:rsid w:val="08397436"/>
    <w:rsid w:val="086F16A7"/>
    <w:rsid w:val="0A0F7225"/>
    <w:rsid w:val="0A2B7D82"/>
    <w:rsid w:val="0ADC40E9"/>
    <w:rsid w:val="0AE607F4"/>
    <w:rsid w:val="0B386127"/>
    <w:rsid w:val="0B451598"/>
    <w:rsid w:val="0B6A2392"/>
    <w:rsid w:val="0BEC73F4"/>
    <w:rsid w:val="0C392698"/>
    <w:rsid w:val="0C797E2E"/>
    <w:rsid w:val="0CE51369"/>
    <w:rsid w:val="0E641B4C"/>
    <w:rsid w:val="0FDF6DE2"/>
    <w:rsid w:val="0FEF4286"/>
    <w:rsid w:val="10BD36F6"/>
    <w:rsid w:val="10FE14EA"/>
    <w:rsid w:val="111632D8"/>
    <w:rsid w:val="11BF0649"/>
    <w:rsid w:val="11CC15E8"/>
    <w:rsid w:val="1223418E"/>
    <w:rsid w:val="123E3E08"/>
    <w:rsid w:val="133212F4"/>
    <w:rsid w:val="13D22E22"/>
    <w:rsid w:val="13E04243"/>
    <w:rsid w:val="13FE713C"/>
    <w:rsid w:val="14091138"/>
    <w:rsid w:val="142B6A9A"/>
    <w:rsid w:val="14FA32EB"/>
    <w:rsid w:val="154F1600"/>
    <w:rsid w:val="15806971"/>
    <w:rsid w:val="161C2DFF"/>
    <w:rsid w:val="16373578"/>
    <w:rsid w:val="16D3336B"/>
    <w:rsid w:val="17200028"/>
    <w:rsid w:val="176D1612"/>
    <w:rsid w:val="17806C36"/>
    <w:rsid w:val="179672AA"/>
    <w:rsid w:val="17A74F62"/>
    <w:rsid w:val="17FE1EE5"/>
    <w:rsid w:val="18A47774"/>
    <w:rsid w:val="19E16FD8"/>
    <w:rsid w:val="1A8D28EB"/>
    <w:rsid w:val="1A9F2D78"/>
    <w:rsid w:val="1AF8238C"/>
    <w:rsid w:val="1B2E6FD8"/>
    <w:rsid w:val="1B5548A6"/>
    <w:rsid w:val="1B877D21"/>
    <w:rsid w:val="1C4319A9"/>
    <w:rsid w:val="1DF13F5D"/>
    <w:rsid w:val="1E443B4B"/>
    <w:rsid w:val="1E994F4A"/>
    <w:rsid w:val="1EAF0224"/>
    <w:rsid w:val="1F2230A4"/>
    <w:rsid w:val="20210932"/>
    <w:rsid w:val="202448E0"/>
    <w:rsid w:val="20F614FE"/>
    <w:rsid w:val="21302EEA"/>
    <w:rsid w:val="2208041A"/>
    <w:rsid w:val="22376FB5"/>
    <w:rsid w:val="232B0864"/>
    <w:rsid w:val="238B47C5"/>
    <w:rsid w:val="23E152D7"/>
    <w:rsid w:val="23EE2489"/>
    <w:rsid w:val="23FE5570"/>
    <w:rsid w:val="2483022C"/>
    <w:rsid w:val="24C26FA6"/>
    <w:rsid w:val="255D43C8"/>
    <w:rsid w:val="25A06B4A"/>
    <w:rsid w:val="25CB1E8B"/>
    <w:rsid w:val="25E32202"/>
    <w:rsid w:val="26714EF8"/>
    <w:rsid w:val="26876BDD"/>
    <w:rsid w:val="26C756D4"/>
    <w:rsid w:val="2714632A"/>
    <w:rsid w:val="272735B8"/>
    <w:rsid w:val="27541E73"/>
    <w:rsid w:val="278005A1"/>
    <w:rsid w:val="27B0539E"/>
    <w:rsid w:val="29192F0D"/>
    <w:rsid w:val="29365CF8"/>
    <w:rsid w:val="299469B3"/>
    <w:rsid w:val="2A4B26DB"/>
    <w:rsid w:val="2A805789"/>
    <w:rsid w:val="2AC60E73"/>
    <w:rsid w:val="2ADC0D75"/>
    <w:rsid w:val="2B4A0E52"/>
    <w:rsid w:val="2B780A7F"/>
    <w:rsid w:val="2C975890"/>
    <w:rsid w:val="2CF00429"/>
    <w:rsid w:val="2D0E2475"/>
    <w:rsid w:val="2DEF21BB"/>
    <w:rsid w:val="2E297320"/>
    <w:rsid w:val="2E4A2F05"/>
    <w:rsid w:val="2E4F193C"/>
    <w:rsid w:val="2ECC1061"/>
    <w:rsid w:val="2EFA10EB"/>
    <w:rsid w:val="2F33035F"/>
    <w:rsid w:val="2F9F6E4A"/>
    <w:rsid w:val="2FA476AD"/>
    <w:rsid w:val="3013584E"/>
    <w:rsid w:val="303F7540"/>
    <w:rsid w:val="30751371"/>
    <w:rsid w:val="31DD00BF"/>
    <w:rsid w:val="32284E33"/>
    <w:rsid w:val="3293174C"/>
    <w:rsid w:val="32BB38D4"/>
    <w:rsid w:val="32BE5C64"/>
    <w:rsid w:val="32C9376D"/>
    <w:rsid w:val="32E1361A"/>
    <w:rsid w:val="33780472"/>
    <w:rsid w:val="33AF0905"/>
    <w:rsid w:val="34E42621"/>
    <w:rsid w:val="34F3526A"/>
    <w:rsid w:val="3509697C"/>
    <w:rsid w:val="352F14DA"/>
    <w:rsid w:val="355932F4"/>
    <w:rsid w:val="35611882"/>
    <w:rsid w:val="35AC2AF3"/>
    <w:rsid w:val="35D72186"/>
    <w:rsid w:val="366A6D9B"/>
    <w:rsid w:val="36746FC3"/>
    <w:rsid w:val="368763AE"/>
    <w:rsid w:val="37BE6E12"/>
    <w:rsid w:val="37E10009"/>
    <w:rsid w:val="37E4623D"/>
    <w:rsid w:val="395D59E7"/>
    <w:rsid w:val="39A93932"/>
    <w:rsid w:val="3A915562"/>
    <w:rsid w:val="3B8D4765"/>
    <w:rsid w:val="3C000DBA"/>
    <w:rsid w:val="3DC045D3"/>
    <w:rsid w:val="3DC4754F"/>
    <w:rsid w:val="3DE7009C"/>
    <w:rsid w:val="3E4D56DB"/>
    <w:rsid w:val="3E504FFB"/>
    <w:rsid w:val="3E615CD0"/>
    <w:rsid w:val="3E9C47F6"/>
    <w:rsid w:val="3ED64D82"/>
    <w:rsid w:val="3F8B0112"/>
    <w:rsid w:val="3FAB3095"/>
    <w:rsid w:val="3FE45947"/>
    <w:rsid w:val="41242965"/>
    <w:rsid w:val="41DD49F4"/>
    <w:rsid w:val="42207DFA"/>
    <w:rsid w:val="435671EA"/>
    <w:rsid w:val="43A01E09"/>
    <w:rsid w:val="440809E9"/>
    <w:rsid w:val="44136A7F"/>
    <w:rsid w:val="442407A6"/>
    <w:rsid w:val="44805EA1"/>
    <w:rsid w:val="45710696"/>
    <w:rsid w:val="46142B1B"/>
    <w:rsid w:val="47E60DD0"/>
    <w:rsid w:val="48735039"/>
    <w:rsid w:val="48D82045"/>
    <w:rsid w:val="492C684B"/>
    <w:rsid w:val="49500594"/>
    <w:rsid w:val="49D21A02"/>
    <w:rsid w:val="49E7604E"/>
    <w:rsid w:val="4A6452E6"/>
    <w:rsid w:val="4AA822F4"/>
    <w:rsid w:val="4B245A16"/>
    <w:rsid w:val="4BF67CDD"/>
    <w:rsid w:val="4D173441"/>
    <w:rsid w:val="4D603DD6"/>
    <w:rsid w:val="4DAE08E1"/>
    <w:rsid w:val="4DDE5F07"/>
    <w:rsid w:val="4E971861"/>
    <w:rsid w:val="4EBF010F"/>
    <w:rsid w:val="4EE01C53"/>
    <w:rsid w:val="4EF474AD"/>
    <w:rsid w:val="4F471EB0"/>
    <w:rsid w:val="4F500C99"/>
    <w:rsid w:val="4FCD042A"/>
    <w:rsid w:val="51331326"/>
    <w:rsid w:val="51740A7F"/>
    <w:rsid w:val="51A5541E"/>
    <w:rsid w:val="51C96242"/>
    <w:rsid w:val="5288688A"/>
    <w:rsid w:val="52DA2CE7"/>
    <w:rsid w:val="530432C1"/>
    <w:rsid w:val="53906AE1"/>
    <w:rsid w:val="540759A1"/>
    <w:rsid w:val="544B35B3"/>
    <w:rsid w:val="54F46F60"/>
    <w:rsid w:val="55A37BEA"/>
    <w:rsid w:val="56004989"/>
    <w:rsid w:val="56262642"/>
    <w:rsid w:val="56362CD2"/>
    <w:rsid w:val="565F5647"/>
    <w:rsid w:val="5784687B"/>
    <w:rsid w:val="57846959"/>
    <w:rsid w:val="578D049F"/>
    <w:rsid w:val="578E6A87"/>
    <w:rsid w:val="5AC2203A"/>
    <w:rsid w:val="5AF727FF"/>
    <w:rsid w:val="5C212858"/>
    <w:rsid w:val="5C2C42DD"/>
    <w:rsid w:val="5C9A4290"/>
    <w:rsid w:val="5CBB3334"/>
    <w:rsid w:val="5D115FAF"/>
    <w:rsid w:val="5D295CFA"/>
    <w:rsid w:val="5EE44E48"/>
    <w:rsid w:val="60010F25"/>
    <w:rsid w:val="600B5BA8"/>
    <w:rsid w:val="602A5424"/>
    <w:rsid w:val="604C444A"/>
    <w:rsid w:val="60593614"/>
    <w:rsid w:val="610A60F5"/>
    <w:rsid w:val="6175447D"/>
    <w:rsid w:val="62811722"/>
    <w:rsid w:val="62E75A72"/>
    <w:rsid w:val="642A45C3"/>
    <w:rsid w:val="64571880"/>
    <w:rsid w:val="649125B6"/>
    <w:rsid w:val="652F4C1A"/>
    <w:rsid w:val="666D37F1"/>
    <w:rsid w:val="66A84A32"/>
    <w:rsid w:val="66FB5425"/>
    <w:rsid w:val="67087D8F"/>
    <w:rsid w:val="671F687E"/>
    <w:rsid w:val="67F415F8"/>
    <w:rsid w:val="682640D1"/>
    <w:rsid w:val="684B73E5"/>
    <w:rsid w:val="69BA3375"/>
    <w:rsid w:val="6A047A2A"/>
    <w:rsid w:val="6ACA2F88"/>
    <w:rsid w:val="6C7B5754"/>
    <w:rsid w:val="6EA75E92"/>
    <w:rsid w:val="6EF20214"/>
    <w:rsid w:val="6EFB7548"/>
    <w:rsid w:val="6F3831C3"/>
    <w:rsid w:val="6F8B71C1"/>
    <w:rsid w:val="70753482"/>
    <w:rsid w:val="707B522A"/>
    <w:rsid w:val="713C37EC"/>
    <w:rsid w:val="73045661"/>
    <w:rsid w:val="73194D05"/>
    <w:rsid w:val="73A83B0E"/>
    <w:rsid w:val="744D3EF9"/>
    <w:rsid w:val="74794411"/>
    <w:rsid w:val="75867C40"/>
    <w:rsid w:val="75B10B26"/>
    <w:rsid w:val="76200A04"/>
    <w:rsid w:val="76432199"/>
    <w:rsid w:val="76F44829"/>
    <w:rsid w:val="7766127B"/>
    <w:rsid w:val="77A267C0"/>
    <w:rsid w:val="78882278"/>
    <w:rsid w:val="78B118A6"/>
    <w:rsid w:val="79051383"/>
    <w:rsid w:val="79135044"/>
    <w:rsid w:val="7A7D0F99"/>
    <w:rsid w:val="7B555BED"/>
    <w:rsid w:val="7C212A3F"/>
    <w:rsid w:val="7DD41DBA"/>
    <w:rsid w:val="7E4A0E7C"/>
    <w:rsid w:val="7E527594"/>
    <w:rsid w:val="7EFD449D"/>
    <w:rsid w:val="7F482D7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semiHidden="0"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3">
    <w:name w:val="Default Paragraph Font"/>
    <w:unhideWhenUsed/>
    <w:qFormat/>
    <w:uiPriority w:val="1"/>
  </w:style>
  <w:style w:type="table" w:default="1" w:styleId="11">
    <w:name w:val="Normal Table"/>
    <w:unhideWhenUsed/>
    <w:qFormat/>
    <w:uiPriority w:val="99"/>
    <w:tblPr>
      <w:tblStyle w:val="11"/>
      <w:tblCellMar>
        <w:top w:w="0" w:type="dxa"/>
        <w:left w:w="108" w:type="dxa"/>
        <w:bottom w:w="0" w:type="dxa"/>
        <w:right w:w="108" w:type="dxa"/>
      </w:tblCellMar>
    </w:tblPr>
  </w:style>
  <w:style w:type="paragraph" w:styleId="2">
    <w:name w:val="Body Text First Indent"/>
    <w:basedOn w:val="3"/>
    <w:next w:val="5"/>
    <w:qFormat/>
    <w:uiPriority w:val="0"/>
    <w:pPr>
      <w:ind w:firstLine="420" w:firstLineChars="100"/>
    </w:pPr>
  </w:style>
  <w:style w:type="paragraph" w:styleId="3">
    <w:name w:val="Body Text"/>
    <w:basedOn w:val="1"/>
    <w:next w:val="4"/>
    <w:qFormat/>
    <w:uiPriority w:val="0"/>
  </w:style>
  <w:style w:type="paragraph" w:customStyle="1" w:styleId="4">
    <w:name w:val="Body Text 21"/>
    <w:basedOn w:val="1"/>
    <w:qFormat/>
    <w:uiPriority w:val="0"/>
    <w:pPr>
      <w:widowControl/>
      <w:numPr>
        <w:ilvl w:val="0"/>
        <w:numId w:val="1"/>
      </w:numPr>
      <w:spacing w:beforeLines="50" w:line="336" w:lineRule="auto"/>
      <w:ind w:left="0" w:firstLine="0"/>
    </w:pPr>
    <w:rPr>
      <w:rFonts w:ascii="Times New Roman" w:hAnsi="Times New Roman" w:eastAsia="黑体" w:cs="Times New Roman"/>
      <w:szCs w:val="20"/>
    </w:rPr>
  </w:style>
  <w:style w:type="paragraph" w:styleId="5">
    <w:name w:val="Body Text First Indent 2"/>
    <w:basedOn w:val="6"/>
    <w:next w:val="6"/>
    <w:qFormat/>
    <w:uiPriority w:val="0"/>
    <w:pPr>
      <w:ind w:firstLine="420"/>
    </w:pPr>
    <w:rPr>
      <w:rFonts w:ascii="Calibri" w:hAnsi="Calibri" w:eastAsia="宋体" w:cs="Times New Roman"/>
    </w:rPr>
  </w:style>
  <w:style w:type="paragraph" w:styleId="6">
    <w:name w:val="Body Text Indent"/>
    <w:basedOn w:val="1"/>
    <w:next w:val="7"/>
    <w:qFormat/>
    <w:uiPriority w:val="0"/>
    <w:pPr>
      <w:ind w:firstLine="640" w:firstLineChars="200"/>
    </w:pPr>
    <w:rPr>
      <w:rFonts w:ascii="Times New Roman" w:hAnsi="Times New Roman" w:eastAsia="宋体" w:cs="Times New Roman"/>
      <w:kern w:val="0"/>
    </w:rPr>
  </w:style>
  <w:style w:type="paragraph" w:styleId="7">
    <w:name w:val="index 7"/>
    <w:next w:val="1"/>
    <w:qFormat/>
    <w:uiPriority w:val="0"/>
    <w:pPr>
      <w:widowControl w:val="0"/>
      <w:ind w:left="2520"/>
      <w:jc w:val="both"/>
    </w:pPr>
    <w:rPr>
      <w:rFonts w:ascii="Calibri" w:hAnsi="Calibri" w:eastAsia="宋体" w:cs="Times New Roman"/>
      <w:kern w:val="2"/>
      <w:sz w:val="21"/>
      <w:szCs w:val="24"/>
      <w:lang w:val="en-US" w:eastAsia="zh-CN" w:bidi="ar-SA"/>
    </w:rPr>
  </w:style>
  <w:style w:type="paragraph" w:styleId="8">
    <w:name w:val="Balloon Text"/>
    <w:basedOn w:val="1"/>
    <w:link w:val="16"/>
    <w:unhideWhenUsed/>
    <w:uiPriority w:val="99"/>
    <w:rPr>
      <w:sz w:val="18"/>
      <w:szCs w:val="18"/>
    </w:rPr>
  </w:style>
  <w:style w:type="paragraph" w:styleId="9">
    <w:name w:val="footer"/>
    <w:basedOn w:val="1"/>
    <w:link w:val="17"/>
    <w:unhideWhenUsed/>
    <w:uiPriority w:val="99"/>
    <w:pPr>
      <w:tabs>
        <w:tab w:val="center" w:pos="4153"/>
        <w:tab w:val="right" w:pos="8306"/>
      </w:tabs>
      <w:snapToGrid w:val="0"/>
      <w:jc w:val="left"/>
    </w:pPr>
    <w:rPr>
      <w:sz w:val="18"/>
      <w:szCs w:val="18"/>
    </w:rPr>
  </w:style>
  <w:style w:type="paragraph" w:styleId="10">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uiPriority w:val="59"/>
    <w:pPr>
      <w:widowControl w:val="0"/>
      <w:jc w:val="both"/>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unhideWhenUsed/>
    <w:uiPriority w:val="99"/>
    <w:rPr>
      <w:color w:val="800080"/>
      <w:u w:val="single"/>
    </w:rPr>
  </w:style>
  <w:style w:type="character" w:styleId="15">
    <w:name w:val="Hyperlink"/>
    <w:unhideWhenUsed/>
    <w:uiPriority w:val="99"/>
    <w:rPr>
      <w:color w:val="0000FF"/>
      <w:u w:val="single"/>
    </w:rPr>
  </w:style>
  <w:style w:type="character" w:customStyle="1" w:styleId="16">
    <w:name w:val="批注框文本 Char"/>
    <w:link w:val="8"/>
    <w:semiHidden/>
    <w:uiPriority w:val="99"/>
    <w:rPr>
      <w:kern w:val="2"/>
      <w:sz w:val="18"/>
      <w:szCs w:val="18"/>
    </w:rPr>
  </w:style>
  <w:style w:type="character" w:customStyle="1" w:styleId="17">
    <w:name w:val="页脚 Char"/>
    <w:link w:val="9"/>
    <w:uiPriority w:val="99"/>
    <w:rPr>
      <w:kern w:val="2"/>
      <w:sz w:val="18"/>
      <w:szCs w:val="18"/>
    </w:rPr>
  </w:style>
  <w:style w:type="character" w:customStyle="1" w:styleId="18">
    <w:name w:val="页眉 Char"/>
    <w:link w:val="10"/>
    <w:uiPriority w:val="99"/>
    <w:rPr>
      <w:kern w:val="2"/>
      <w:sz w:val="18"/>
      <w:szCs w:val="18"/>
    </w:rPr>
  </w:style>
  <w:style w:type="character" w:customStyle="1" w:styleId="19">
    <w:name w:val="font01"/>
    <w:uiPriority w:val="0"/>
    <w:rPr>
      <w:rFonts w:hint="eastAsia" w:ascii="宋体" w:hAnsi="宋体" w:eastAsia="宋体" w:cs="宋体"/>
      <w:color w:val="000000"/>
      <w:sz w:val="22"/>
      <w:szCs w:val="22"/>
      <w:u w:val="none"/>
    </w:rPr>
  </w:style>
  <w:style w:type="character" w:customStyle="1" w:styleId="20">
    <w:name w:val="font21"/>
    <w:uiPriority w:val="0"/>
    <w:rPr>
      <w:rFonts w:hint="eastAsia" w:ascii="宋体" w:hAnsi="宋体" w:eastAsia="宋体" w:cs="宋体"/>
      <w:color w:val="000000"/>
      <w:sz w:val="22"/>
      <w:szCs w:val="22"/>
      <w:u w:val="none"/>
    </w:rPr>
  </w:style>
  <w:style w:type="character" w:customStyle="1" w:styleId="21">
    <w:name w:val="font51"/>
    <w:uiPriority w:val="0"/>
    <w:rPr>
      <w:rFonts w:hint="eastAsia" w:ascii="宋体" w:hAnsi="宋体" w:eastAsia="宋体" w:cs="宋体"/>
      <w:color w:val="000000"/>
      <w:sz w:val="24"/>
      <w:szCs w:val="24"/>
      <w:u w:val="none"/>
    </w:rPr>
  </w:style>
  <w:style w:type="character" w:customStyle="1" w:styleId="22">
    <w:name w:val="font11"/>
    <w:uiPriority w:val="0"/>
    <w:rPr>
      <w:rFonts w:hint="eastAsia" w:ascii="宋体" w:hAnsi="宋体" w:eastAsia="宋体" w:cs="宋体"/>
      <w:color w:val="000000"/>
      <w:sz w:val="20"/>
      <w:szCs w:val="20"/>
      <w:u w:val="none"/>
    </w:rPr>
  </w:style>
  <w:style w:type="character" w:customStyle="1" w:styleId="23">
    <w:name w:val="font41"/>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35</Pages>
  <Words>10148</Words>
  <Characters>12611</Characters>
  <Lines>60</Lines>
  <Paragraphs>16</Paragraphs>
  <TotalTime>34</TotalTime>
  <ScaleCrop>false</ScaleCrop>
  <LinksUpToDate>false</LinksUpToDate>
  <CharactersWithSpaces>12957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悟の</cp:lastModifiedBy>
  <cp:lastPrinted>2023-05-09T13:27:40Z</cp:lastPrinted>
  <dcterms:modified xsi:type="dcterms:W3CDTF">2023-05-30T00:12:24Z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3AEE6C1F596D49BF8400B690E73468F8_13</vt:lpwstr>
  </property>
</Properties>
</file>