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许昌市安全生产宣传教育中心</w:t>
      </w:r>
    </w:p>
    <w:p>
      <w:pPr>
        <w:jc w:val="center"/>
        <w:rPr>
          <w:rFonts w:ascii="黑体" w:hAnsi="黑体" w:eastAsia="黑体" w:cs="黑体"/>
          <w:sz w:val="52"/>
          <w:szCs w:val="52"/>
        </w:rPr>
      </w:pPr>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许昌市安全生产宣传教育中心概况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val="en-US"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numPr>
          <w:ilvl w:val="0"/>
          <w:numId w:val="2"/>
        </w:numPr>
        <w:jc w:val="center"/>
        <w:outlineLvl w:val="0"/>
        <w:rPr>
          <w:rFonts w:hint="eastAsia" w:ascii="黑体" w:hAnsi="黑体" w:eastAsia="黑体" w:cs="黑体"/>
          <w:sz w:val="48"/>
          <w:szCs w:val="48"/>
        </w:rPr>
      </w:pPr>
      <w:r>
        <w:rPr>
          <w:rFonts w:hint="eastAsia" w:ascii="黑体" w:hAnsi="黑体" w:eastAsia="黑体" w:cs="黑体"/>
          <w:sz w:val="48"/>
          <w:szCs w:val="48"/>
        </w:rPr>
        <w:t xml:space="preserve"> 许昌市安全生产宣传教育</w:t>
      </w:r>
    </w:p>
    <w:p>
      <w:pPr>
        <w:widowControl/>
        <w:numPr>
          <w:ilvl w:val="0"/>
          <w:numId w:val="0"/>
        </w:numPr>
        <w:ind w:firstLine="4320" w:firstLineChars="900"/>
        <w:jc w:val="both"/>
        <w:outlineLvl w:val="0"/>
        <w:rPr>
          <w:rFonts w:ascii="黑体" w:hAnsi="宋体" w:eastAsia="黑体" w:cs="宋体"/>
          <w:kern w:val="0"/>
          <w:sz w:val="48"/>
          <w:szCs w:val="48"/>
        </w:rPr>
      </w:pPr>
      <w:r>
        <w:rPr>
          <w:rFonts w:hint="eastAsia" w:ascii="黑体" w:hAnsi="黑体" w:eastAsia="黑体" w:cs="黑体"/>
          <w:sz w:val="48"/>
          <w:szCs w:val="48"/>
        </w:rPr>
        <w:t>中心概况</w:t>
      </w:r>
    </w:p>
    <w:p>
      <w:pPr>
        <w:widowControl/>
        <w:ind w:firstLine="1040" w:firstLineChars="200"/>
        <w:jc w:val="left"/>
        <w:outlineLvl w:val="1"/>
        <w:rPr>
          <w:rFonts w:ascii="黑体" w:hAnsi="黑体" w:eastAsia="黑体" w:cs="黑体"/>
          <w:kern w:val="0"/>
          <w:sz w:val="52"/>
          <w:szCs w:val="5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宣传国家安全生产法律、法规和方针政策，开展安全生产宣传教育活动；依法组织特种作业人员（特种设备作业人员除外）和生产经营单位主要负责人及安全生产管理人员、从业人员培训工作；负责对工矿商贸生产经营单位安全有关设备（特种设备除外）进行检验；负责安全生产方面的技术服务和咨询工作</w:t>
      </w:r>
      <w:r>
        <w:rPr>
          <w:rFonts w:hint="eastAsia" w:ascii="仿宋_GB2312" w:hAnsi="宋体" w:eastAsia="仿宋_GB2312" w:cs="宋体"/>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许昌市安全生产宣传教育中心内设机构1个，即办公室。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从决算单位构成看，许昌市安全生产宣传教育中心单位决算包括：本级决算。</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1.许昌市安全生产宣传教育中心</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5"/>
        <w:tblW w:w="0" w:type="auto"/>
        <w:tblInd w:w="1112" w:type="dxa"/>
        <w:tblLayout w:type="fixed"/>
        <w:tblCellMar>
          <w:top w:w="0" w:type="dxa"/>
          <w:left w:w="108" w:type="dxa"/>
          <w:bottom w:w="0" w:type="dxa"/>
          <w:right w:w="108" w:type="dxa"/>
        </w:tblCellMar>
      </w:tblPr>
      <w:tblGrid>
        <w:gridCol w:w="3637"/>
        <w:gridCol w:w="638"/>
        <w:gridCol w:w="1406"/>
        <w:gridCol w:w="3469"/>
        <w:gridCol w:w="806"/>
        <w:gridCol w:w="1913"/>
      </w:tblGrid>
      <w:tr>
        <w:tblPrEx>
          <w:tblCellMar>
            <w:top w:w="0" w:type="dxa"/>
            <w:left w:w="108" w:type="dxa"/>
            <w:bottom w:w="0" w:type="dxa"/>
            <w:right w:w="108" w:type="dxa"/>
          </w:tblCellMar>
        </w:tblPrEx>
        <w:trPr>
          <w:trHeight w:val="390" w:hRule="atLeast"/>
        </w:trPr>
        <w:tc>
          <w:tcPr>
            <w:tcW w:w="11869"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3637"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638"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1406"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3469"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806"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1913" w:type="dxa"/>
            <w:tcBorders>
              <w:top w:val="nil"/>
              <w:left w:val="nil"/>
              <w:bottom w:val="nil"/>
              <w:right w:val="nil"/>
            </w:tcBorders>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3637" w:type="dxa"/>
            <w:tcBorders>
              <w:top w:val="nil"/>
              <w:left w:val="nil"/>
              <w:bottom w:val="nil"/>
              <w:right w:val="nil"/>
            </w:tcBorders>
            <w:noWrap/>
            <w:vAlign w:val="bottom"/>
          </w:tcPr>
          <w:p>
            <w:pPr>
              <w:widowControl/>
              <w:jc w:val="left"/>
              <w:textAlignment w:val="bottom"/>
              <w:rPr>
                <w:rFonts w:hint="eastAsia" w:ascii="宋体" w:hAnsi="宋体" w:eastAsia="宋体" w:cs="宋体"/>
                <w:color w:val="000000"/>
                <w:sz w:val="20"/>
                <w:szCs w:val="20"/>
              </w:rPr>
            </w:pPr>
            <w:r>
              <w:rPr>
                <w:rFonts w:hint="eastAsia" w:ascii="宋体" w:hAnsi="宋体" w:cs="宋体"/>
                <w:color w:val="000000"/>
                <w:kern w:val="0"/>
                <w:sz w:val="18"/>
                <w:szCs w:val="18"/>
              </w:rPr>
              <w:t>单位</w:t>
            </w:r>
            <w:r>
              <w:rPr>
                <w:rFonts w:hint="eastAsia" w:ascii="宋体" w:hAnsi="宋体" w:eastAsia="宋体" w:cs="宋体"/>
                <w:color w:val="000000"/>
                <w:kern w:val="0"/>
                <w:sz w:val="20"/>
                <w:szCs w:val="20"/>
              </w:rPr>
              <w:t>：许昌市安全生产宣传教育中心</w:t>
            </w:r>
          </w:p>
        </w:tc>
        <w:tc>
          <w:tcPr>
            <w:tcW w:w="638"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1406"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3469"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806" w:type="dxa"/>
            <w:tcBorders>
              <w:top w:val="nil"/>
              <w:left w:val="nil"/>
              <w:bottom w:val="nil"/>
              <w:right w:val="nil"/>
            </w:tcBorders>
            <w:noWrap/>
            <w:vAlign w:val="bottom"/>
          </w:tcPr>
          <w:p>
            <w:pPr>
              <w:rPr>
                <w:rFonts w:hint="eastAsia" w:ascii="宋体" w:hAnsi="宋体" w:eastAsia="宋体" w:cs="宋体"/>
                <w:color w:val="000000"/>
                <w:sz w:val="20"/>
                <w:szCs w:val="20"/>
              </w:rPr>
            </w:pPr>
          </w:p>
        </w:tc>
        <w:tc>
          <w:tcPr>
            <w:tcW w:w="1913" w:type="dxa"/>
            <w:tcBorders>
              <w:top w:val="nil"/>
              <w:left w:val="nil"/>
              <w:bottom w:val="nil"/>
              <w:right w:val="nil"/>
            </w:tcBorders>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68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收入</w:t>
            </w:r>
          </w:p>
        </w:tc>
        <w:tc>
          <w:tcPr>
            <w:tcW w:w="6188"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支出</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项目</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行次</w:t>
            </w:r>
          </w:p>
        </w:tc>
        <w:tc>
          <w:tcPr>
            <w:tcW w:w="14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金额</w:t>
            </w:r>
          </w:p>
        </w:tc>
        <w:tc>
          <w:tcPr>
            <w:tcW w:w="3469"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项目</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行次</w:t>
            </w:r>
          </w:p>
        </w:tc>
        <w:tc>
          <w:tcPr>
            <w:tcW w:w="1913"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金额</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栏次</w:t>
            </w:r>
          </w:p>
        </w:tc>
        <w:tc>
          <w:tcPr>
            <w:tcW w:w="638" w:type="dxa"/>
            <w:tcBorders>
              <w:top w:val="nil"/>
              <w:left w:val="nil"/>
              <w:bottom w:val="single" w:color="000000" w:sz="4" w:space="0"/>
              <w:right w:val="single" w:color="000000" w:sz="4" w:space="0"/>
            </w:tcBorders>
            <w:noWrap/>
            <w:vAlign w:val="center"/>
          </w:tcPr>
          <w:p>
            <w:pPr>
              <w:jc w:val="center"/>
              <w:rPr>
                <w:rFonts w:cs="宋体" w:asciiTheme="majorEastAsia" w:hAnsiTheme="majorEastAsia" w:eastAsiaTheme="majorEastAsia"/>
                <w:color w:val="000000"/>
                <w:sz w:val="22"/>
              </w:rPr>
            </w:pPr>
          </w:p>
        </w:tc>
        <w:tc>
          <w:tcPr>
            <w:tcW w:w="14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w:t>
            </w:r>
          </w:p>
        </w:tc>
        <w:tc>
          <w:tcPr>
            <w:tcW w:w="3469"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栏次</w:t>
            </w:r>
          </w:p>
        </w:tc>
        <w:tc>
          <w:tcPr>
            <w:tcW w:w="806" w:type="dxa"/>
            <w:tcBorders>
              <w:top w:val="nil"/>
              <w:left w:val="nil"/>
              <w:bottom w:val="single" w:color="000000" w:sz="4" w:space="0"/>
              <w:right w:val="single" w:color="000000" w:sz="4" w:space="0"/>
            </w:tcBorders>
            <w:noWrap/>
            <w:vAlign w:val="center"/>
          </w:tcPr>
          <w:p>
            <w:pPr>
              <w:jc w:val="center"/>
              <w:rPr>
                <w:rFonts w:cs="宋体" w:asciiTheme="majorEastAsia" w:hAnsiTheme="majorEastAsia" w:eastAsiaTheme="majorEastAsia"/>
                <w:color w:val="000000"/>
                <w:sz w:val="22"/>
              </w:rPr>
            </w:pPr>
          </w:p>
        </w:tc>
        <w:tc>
          <w:tcPr>
            <w:tcW w:w="1913"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2</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一、一般公共预算财政拨款收入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w:t>
            </w:r>
          </w:p>
        </w:tc>
        <w:tc>
          <w:tcPr>
            <w:tcW w:w="140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147.89</w:t>
            </w: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一、一般公共服务支出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32</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1.38</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二、政府性基金预算财政拨款收入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2</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二、外交支出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33</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三、国有资本经营预算财政拨款收入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三、国防支出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34</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四、上级补助收入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四、公共安全支出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35</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五、事业收入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5</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五、教育支出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36</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六、经营收入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6</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六、科学技术支出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37</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七、附属单位上缴收入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7</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七、文化旅游体育与传媒支出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38</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八、其他收入</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8</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八、社会保障和就业支出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39</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26.55</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9</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九、卫生健康支出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40</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1.56</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10</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十、节能环保支出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41</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11</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十一、城乡社区支出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42</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12</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十二、农林水支出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43</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13</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十三、交通运输支出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44</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14</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十四、资源勘探工业信息等支出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45</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15</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十五、商业服务业等支出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46</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cs="宋体" w:asciiTheme="majorEastAsia" w:hAnsiTheme="majorEastAsia" w:eastAsiaTheme="majorEastAsia"/>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16</w:t>
            </w:r>
          </w:p>
        </w:tc>
        <w:tc>
          <w:tcPr>
            <w:tcW w:w="1406"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十六、金融支出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000000"/>
                <w:sz w:val="22"/>
              </w:rPr>
            </w:pPr>
            <w:r>
              <w:rPr>
                <w:rFonts w:hint="eastAsia" w:cs="宋体" w:asciiTheme="majorEastAsia" w:hAnsiTheme="majorEastAsia" w:eastAsiaTheme="majorEastAsia"/>
                <w:color w:val="000000"/>
                <w:kern w:val="0"/>
                <w:sz w:val="22"/>
              </w:rPr>
              <w:t>47</w:t>
            </w:r>
          </w:p>
        </w:tc>
        <w:tc>
          <w:tcPr>
            <w:tcW w:w="1913" w:type="dxa"/>
            <w:tcBorders>
              <w:top w:val="nil"/>
              <w:left w:val="nil"/>
              <w:bottom w:val="single" w:color="000000" w:sz="4" w:space="0"/>
              <w:right w:val="single" w:color="000000" w:sz="4" w:space="0"/>
            </w:tcBorders>
            <w:noWrap/>
            <w:vAlign w:val="center"/>
          </w:tcPr>
          <w:p>
            <w:pPr>
              <w:jc w:val="right"/>
              <w:rPr>
                <w:rFonts w:cs="宋体" w:asciiTheme="majorEastAsia" w:hAnsiTheme="majorEastAsia" w:eastAsiaTheme="majorEastAsia"/>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140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147.89</w:t>
            </w:r>
          </w:p>
        </w:tc>
        <w:tc>
          <w:tcPr>
            <w:tcW w:w="346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140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127.29</w:t>
            </w:r>
          </w:p>
        </w:tc>
        <w:tc>
          <w:tcPr>
            <w:tcW w:w="346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1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6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140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469"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1913"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3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638"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140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c>
          <w:tcPr>
            <w:tcW w:w="346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80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r>
      <w:tr>
        <w:tblPrEx>
          <w:tblCellMar>
            <w:top w:w="0" w:type="dxa"/>
            <w:left w:w="108" w:type="dxa"/>
            <w:bottom w:w="0" w:type="dxa"/>
            <w:right w:w="108" w:type="dxa"/>
          </w:tblCellMar>
        </w:tblPrEx>
        <w:trPr>
          <w:trHeight w:val="308" w:hRule="atLeast"/>
        </w:trPr>
        <w:tc>
          <w:tcPr>
            <w:tcW w:w="11869" w:type="dxa"/>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3" w:right="0" w:bottom="1803" w:left="1162" w:header="720" w:footer="720" w:gutter="0"/>
          <w:pgNumType w:fmt="numberInDash"/>
          <w:cols w:space="720" w:num="1"/>
          <w:docGrid w:type="lines" w:linePitch="312" w:charSpace="0"/>
        </w:sectPr>
      </w:pPr>
    </w:p>
    <w:tbl>
      <w:tblPr>
        <w:tblStyle w:val="5"/>
        <w:tblpPr w:leftFromText="180" w:rightFromText="180" w:vertAnchor="text" w:horzAnchor="page" w:tblpX="1553" w:tblpY="187"/>
        <w:tblOverlap w:val="never"/>
        <w:tblW w:w="5000" w:type="pct"/>
        <w:tblInd w:w="0" w:type="dxa"/>
        <w:tblLayout w:type="autofit"/>
        <w:tblCellMar>
          <w:top w:w="0" w:type="dxa"/>
          <w:left w:w="108" w:type="dxa"/>
          <w:bottom w:w="0" w:type="dxa"/>
          <w:right w:w="108" w:type="dxa"/>
        </w:tblCellMar>
      </w:tblPr>
      <w:tblGrid>
        <w:gridCol w:w="3597"/>
        <w:gridCol w:w="232"/>
        <w:gridCol w:w="232"/>
        <w:gridCol w:w="3705"/>
        <w:gridCol w:w="1123"/>
        <w:gridCol w:w="1123"/>
        <w:gridCol w:w="612"/>
        <w:gridCol w:w="612"/>
        <w:gridCol w:w="612"/>
        <w:gridCol w:w="613"/>
        <w:gridCol w:w="1713"/>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269" w:type="pct"/>
            <w:tcBorders>
              <w:top w:val="nil"/>
              <w:left w:val="nil"/>
              <w:bottom w:val="nil"/>
              <w:right w:val="nil"/>
            </w:tcBorders>
            <w:noWrap/>
            <w:vAlign w:val="bottom"/>
          </w:tcPr>
          <w:p>
            <w:pPr>
              <w:rPr>
                <w:rFonts w:ascii="Arial" w:hAnsi="Arial" w:cs="Arial"/>
                <w:color w:val="000000"/>
                <w:sz w:val="20"/>
                <w:szCs w:val="20"/>
              </w:rPr>
            </w:pPr>
          </w:p>
        </w:tc>
        <w:tc>
          <w:tcPr>
            <w:tcW w:w="82" w:type="pct"/>
            <w:tcBorders>
              <w:top w:val="nil"/>
              <w:left w:val="nil"/>
              <w:bottom w:val="nil"/>
              <w:right w:val="nil"/>
            </w:tcBorders>
            <w:noWrap/>
            <w:vAlign w:val="bottom"/>
          </w:tcPr>
          <w:p>
            <w:pPr>
              <w:rPr>
                <w:rFonts w:ascii="Arial" w:hAnsi="Arial" w:cs="Arial"/>
                <w:color w:val="000000"/>
                <w:sz w:val="20"/>
                <w:szCs w:val="20"/>
              </w:rPr>
            </w:pPr>
          </w:p>
        </w:tc>
        <w:tc>
          <w:tcPr>
            <w:tcW w:w="82" w:type="pct"/>
            <w:tcBorders>
              <w:top w:val="nil"/>
              <w:left w:val="nil"/>
              <w:bottom w:val="nil"/>
              <w:right w:val="nil"/>
            </w:tcBorders>
            <w:noWrap/>
            <w:vAlign w:val="bottom"/>
          </w:tcPr>
          <w:p>
            <w:pPr>
              <w:rPr>
                <w:rFonts w:ascii="Arial" w:hAnsi="Arial" w:cs="Arial"/>
                <w:color w:val="000000"/>
                <w:sz w:val="20"/>
                <w:szCs w:val="20"/>
              </w:rPr>
            </w:pPr>
          </w:p>
        </w:tc>
        <w:tc>
          <w:tcPr>
            <w:tcW w:w="1306" w:type="pct"/>
            <w:tcBorders>
              <w:top w:val="nil"/>
              <w:left w:val="nil"/>
              <w:bottom w:val="nil"/>
              <w:right w:val="nil"/>
            </w:tcBorders>
            <w:noWrap/>
            <w:vAlign w:val="bottom"/>
          </w:tcPr>
          <w:p>
            <w:pPr>
              <w:rPr>
                <w:rFonts w:ascii="Arial" w:hAnsi="Arial" w:cs="Arial"/>
                <w:color w:val="000000"/>
                <w:sz w:val="20"/>
                <w:szCs w:val="20"/>
              </w:rPr>
            </w:pPr>
          </w:p>
        </w:tc>
        <w:tc>
          <w:tcPr>
            <w:tcW w:w="396" w:type="pct"/>
            <w:tcBorders>
              <w:top w:val="nil"/>
              <w:left w:val="nil"/>
              <w:bottom w:val="nil"/>
              <w:right w:val="nil"/>
            </w:tcBorders>
            <w:noWrap/>
            <w:vAlign w:val="bottom"/>
          </w:tcPr>
          <w:p>
            <w:pPr>
              <w:rPr>
                <w:rFonts w:ascii="Arial" w:hAnsi="Arial" w:cs="Arial"/>
                <w:color w:val="000000"/>
                <w:sz w:val="20"/>
                <w:szCs w:val="20"/>
              </w:rPr>
            </w:pPr>
          </w:p>
        </w:tc>
        <w:tc>
          <w:tcPr>
            <w:tcW w:w="39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602" w:type="pct"/>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1269" w:type="pct"/>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rPr>
              <w:t>单位</w:t>
            </w:r>
            <w:r>
              <w:rPr>
                <w:rFonts w:hint="eastAsia" w:ascii="宋体" w:hAnsi="宋体" w:cs="宋体"/>
                <w:color w:val="000000"/>
                <w:kern w:val="0"/>
                <w:sz w:val="20"/>
                <w:szCs w:val="20"/>
              </w:rPr>
              <w:t>：许昌市安全生产宣传教育中心</w:t>
            </w:r>
          </w:p>
        </w:tc>
        <w:tc>
          <w:tcPr>
            <w:tcW w:w="82" w:type="pct"/>
            <w:tcBorders>
              <w:top w:val="nil"/>
              <w:left w:val="nil"/>
              <w:bottom w:val="nil"/>
              <w:right w:val="nil"/>
            </w:tcBorders>
            <w:noWrap/>
            <w:vAlign w:val="bottom"/>
          </w:tcPr>
          <w:p>
            <w:pPr>
              <w:rPr>
                <w:rFonts w:ascii="Arial" w:hAnsi="Arial" w:cs="Arial"/>
                <w:color w:val="000000"/>
                <w:sz w:val="20"/>
                <w:szCs w:val="20"/>
              </w:rPr>
            </w:pPr>
          </w:p>
        </w:tc>
        <w:tc>
          <w:tcPr>
            <w:tcW w:w="82" w:type="pct"/>
            <w:tcBorders>
              <w:top w:val="nil"/>
              <w:left w:val="nil"/>
              <w:bottom w:val="nil"/>
              <w:right w:val="nil"/>
            </w:tcBorders>
            <w:noWrap/>
            <w:vAlign w:val="bottom"/>
          </w:tcPr>
          <w:p>
            <w:pPr>
              <w:rPr>
                <w:rFonts w:ascii="Arial" w:hAnsi="Arial" w:cs="Arial"/>
                <w:color w:val="000000"/>
                <w:sz w:val="20"/>
                <w:szCs w:val="20"/>
              </w:rPr>
            </w:pPr>
          </w:p>
        </w:tc>
        <w:tc>
          <w:tcPr>
            <w:tcW w:w="1306" w:type="pct"/>
            <w:tcBorders>
              <w:top w:val="nil"/>
              <w:left w:val="nil"/>
              <w:bottom w:val="nil"/>
              <w:right w:val="nil"/>
            </w:tcBorders>
            <w:noWrap/>
            <w:vAlign w:val="bottom"/>
          </w:tcPr>
          <w:p>
            <w:pPr>
              <w:rPr>
                <w:rFonts w:ascii="Arial" w:hAnsi="Arial" w:cs="Arial"/>
                <w:color w:val="000000"/>
                <w:sz w:val="20"/>
                <w:szCs w:val="20"/>
              </w:rPr>
            </w:pPr>
          </w:p>
        </w:tc>
        <w:tc>
          <w:tcPr>
            <w:tcW w:w="396" w:type="pct"/>
            <w:tcBorders>
              <w:top w:val="nil"/>
              <w:left w:val="nil"/>
              <w:bottom w:val="nil"/>
              <w:right w:val="nil"/>
            </w:tcBorders>
            <w:noWrap/>
            <w:vAlign w:val="bottom"/>
          </w:tcPr>
          <w:p>
            <w:pPr>
              <w:rPr>
                <w:rFonts w:ascii="Arial" w:hAnsi="Arial" w:cs="Arial"/>
                <w:color w:val="000000"/>
                <w:sz w:val="20"/>
                <w:szCs w:val="20"/>
              </w:rPr>
            </w:pPr>
          </w:p>
        </w:tc>
        <w:tc>
          <w:tcPr>
            <w:tcW w:w="39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216" w:type="pct"/>
            <w:tcBorders>
              <w:top w:val="nil"/>
              <w:left w:val="nil"/>
              <w:bottom w:val="nil"/>
              <w:right w:val="nil"/>
            </w:tcBorders>
            <w:noWrap/>
            <w:vAlign w:val="bottom"/>
          </w:tcPr>
          <w:p>
            <w:pPr>
              <w:rPr>
                <w:rFonts w:ascii="Arial" w:hAnsi="Arial" w:cs="Arial"/>
                <w:color w:val="000000"/>
                <w:sz w:val="20"/>
                <w:szCs w:val="20"/>
              </w:rPr>
            </w:pPr>
          </w:p>
        </w:tc>
        <w:tc>
          <w:tcPr>
            <w:tcW w:w="602" w:type="pct"/>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740"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9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39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21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21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21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21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602"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1433" w:type="pct"/>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1306" w:type="pct"/>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9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39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02"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433" w:type="pct"/>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306" w:type="pct"/>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39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39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02"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433" w:type="pct"/>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306" w:type="pct"/>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39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39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21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02"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740"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9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9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1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1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21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1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602"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2740"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147.89</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147.89</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8.76</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8.76</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8.76</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8.76</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3.33</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3.33</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2080506</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机关事业单位职业年金缴费支出</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5.43</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5.43</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应急管理事务</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2240199</w:t>
            </w:r>
          </w:p>
        </w:tc>
        <w:tc>
          <w:tcPr>
            <w:tcW w:w="1306"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其他应急管理支出</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396"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139.14</w:t>
            </w: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306"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306"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33"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306"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1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02"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本年度取得的各项收入情况。本表金额转换为万元时，因四舍五入可能存在尾差。</w:t>
            </w:r>
          </w:p>
        </w:tc>
      </w:tr>
    </w:tbl>
    <w:tbl>
      <w:tblPr>
        <w:tblStyle w:val="5"/>
        <w:tblpPr w:leftFromText="180" w:rightFromText="180" w:vertAnchor="text" w:horzAnchor="page" w:tblpX="1736" w:tblpY="175"/>
        <w:tblOverlap w:val="never"/>
        <w:tblW w:w="13250" w:type="dxa"/>
        <w:tblInd w:w="0" w:type="dxa"/>
        <w:tblLayout w:type="fixed"/>
        <w:tblCellMar>
          <w:top w:w="0" w:type="dxa"/>
          <w:left w:w="108" w:type="dxa"/>
          <w:bottom w:w="0" w:type="dxa"/>
          <w:right w:w="108" w:type="dxa"/>
        </w:tblCellMar>
      </w:tblPr>
      <w:tblGrid>
        <w:gridCol w:w="3416"/>
        <w:gridCol w:w="222"/>
        <w:gridCol w:w="222"/>
        <w:gridCol w:w="3956"/>
        <w:gridCol w:w="1051"/>
        <w:gridCol w:w="1216"/>
        <w:gridCol w:w="525"/>
        <w:gridCol w:w="454"/>
        <w:gridCol w:w="572"/>
        <w:gridCol w:w="1616"/>
      </w:tblGrid>
      <w:tr>
        <w:tblPrEx>
          <w:tblCellMar>
            <w:top w:w="0" w:type="dxa"/>
            <w:left w:w="108" w:type="dxa"/>
            <w:bottom w:w="0" w:type="dxa"/>
            <w:right w:w="108" w:type="dxa"/>
          </w:tblCellMar>
        </w:tblPrEx>
        <w:trPr>
          <w:trHeight w:val="390" w:hRule="atLeast"/>
        </w:trPr>
        <w:tc>
          <w:tcPr>
            <w:tcW w:w="1325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val="en-US" w:eastAsia="zh-CN"/>
              </w:rPr>
              <w:t>支出</w:t>
            </w:r>
            <w:r>
              <w:rPr>
                <w:rFonts w:hint="eastAsia" w:ascii="宋体" w:hAnsi="宋体" w:cs="宋体"/>
                <w:color w:val="000000"/>
                <w:kern w:val="0"/>
                <w:sz w:val="30"/>
                <w:szCs w:val="30"/>
              </w:rPr>
              <w:t>决算表</w:t>
            </w:r>
          </w:p>
        </w:tc>
      </w:tr>
      <w:tr>
        <w:tblPrEx>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1051" w:type="dxa"/>
            <w:tcBorders>
              <w:top w:val="nil"/>
              <w:left w:val="nil"/>
              <w:bottom w:val="nil"/>
              <w:right w:val="nil"/>
            </w:tcBorders>
            <w:noWrap/>
            <w:vAlign w:val="bottom"/>
          </w:tcPr>
          <w:p>
            <w:pPr>
              <w:rPr>
                <w:rFonts w:ascii="Arial" w:hAnsi="Arial" w:cs="Arial"/>
                <w:color w:val="000000"/>
                <w:sz w:val="20"/>
                <w:szCs w:val="20"/>
              </w:rPr>
            </w:pPr>
          </w:p>
        </w:tc>
        <w:tc>
          <w:tcPr>
            <w:tcW w:w="1216" w:type="dxa"/>
            <w:tcBorders>
              <w:top w:val="nil"/>
              <w:left w:val="nil"/>
              <w:bottom w:val="nil"/>
              <w:right w:val="nil"/>
            </w:tcBorders>
            <w:noWrap/>
            <w:vAlign w:val="bottom"/>
          </w:tcPr>
          <w:p>
            <w:pPr>
              <w:rPr>
                <w:rFonts w:ascii="Arial" w:hAnsi="Arial" w:cs="Arial"/>
                <w:color w:val="000000"/>
                <w:sz w:val="20"/>
                <w:szCs w:val="20"/>
              </w:rPr>
            </w:pPr>
          </w:p>
        </w:tc>
        <w:tc>
          <w:tcPr>
            <w:tcW w:w="525" w:type="dxa"/>
            <w:tcBorders>
              <w:top w:val="nil"/>
              <w:left w:val="nil"/>
              <w:bottom w:val="nil"/>
              <w:right w:val="nil"/>
            </w:tcBorders>
            <w:noWrap/>
            <w:vAlign w:val="bottom"/>
          </w:tcPr>
          <w:p>
            <w:pPr>
              <w:rPr>
                <w:rFonts w:ascii="Arial" w:hAnsi="Arial" w:cs="Arial"/>
                <w:color w:val="000000"/>
                <w:sz w:val="20"/>
                <w:szCs w:val="20"/>
              </w:rPr>
            </w:pPr>
          </w:p>
        </w:tc>
        <w:tc>
          <w:tcPr>
            <w:tcW w:w="454" w:type="dxa"/>
            <w:tcBorders>
              <w:top w:val="nil"/>
              <w:left w:val="nil"/>
              <w:bottom w:val="nil"/>
              <w:right w:val="nil"/>
            </w:tcBorders>
            <w:noWrap/>
            <w:vAlign w:val="bottom"/>
          </w:tcPr>
          <w:p>
            <w:pPr>
              <w:rPr>
                <w:rFonts w:ascii="Arial" w:hAnsi="Arial" w:cs="Arial"/>
                <w:color w:val="000000"/>
                <w:sz w:val="20"/>
                <w:szCs w:val="20"/>
              </w:rPr>
            </w:pPr>
          </w:p>
        </w:tc>
        <w:tc>
          <w:tcPr>
            <w:tcW w:w="572" w:type="dxa"/>
            <w:tcBorders>
              <w:top w:val="nil"/>
              <w:left w:val="nil"/>
              <w:bottom w:val="nil"/>
              <w:right w:val="nil"/>
            </w:tcBorders>
            <w:noWrap/>
            <w:vAlign w:val="bottom"/>
          </w:tcPr>
          <w:p>
            <w:pPr>
              <w:rPr>
                <w:rFonts w:ascii="Arial" w:hAnsi="Arial" w:cs="Arial"/>
                <w:color w:val="000000"/>
                <w:sz w:val="20"/>
                <w:szCs w:val="20"/>
              </w:rPr>
            </w:pPr>
          </w:p>
        </w:tc>
        <w:tc>
          <w:tcPr>
            <w:tcW w:w="1616"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rPr>
              <w:t>单位</w:t>
            </w:r>
            <w:r>
              <w:rPr>
                <w:rFonts w:hint="eastAsia" w:ascii="宋体" w:hAnsi="宋体" w:cs="宋体"/>
                <w:color w:val="000000"/>
                <w:kern w:val="0"/>
                <w:sz w:val="20"/>
                <w:szCs w:val="20"/>
              </w:rPr>
              <w:t>：许昌市安全生产宣传教育中心</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1051" w:type="dxa"/>
            <w:tcBorders>
              <w:top w:val="nil"/>
              <w:left w:val="nil"/>
              <w:bottom w:val="nil"/>
              <w:right w:val="nil"/>
            </w:tcBorders>
            <w:noWrap/>
            <w:vAlign w:val="bottom"/>
          </w:tcPr>
          <w:p>
            <w:pPr>
              <w:rPr>
                <w:rFonts w:ascii="Arial" w:hAnsi="Arial" w:cs="Arial"/>
                <w:color w:val="000000"/>
                <w:sz w:val="20"/>
                <w:szCs w:val="20"/>
              </w:rPr>
            </w:pPr>
          </w:p>
        </w:tc>
        <w:tc>
          <w:tcPr>
            <w:tcW w:w="1216" w:type="dxa"/>
            <w:tcBorders>
              <w:top w:val="nil"/>
              <w:left w:val="nil"/>
              <w:bottom w:val="nil"/>
              <w:right w:val="nil"/>
            </w:tcBorders>
            <w:noWrap/>
            <w:vAlign w:val="bottom"/>
          </w:tcPr>
          <w:p>
            <w:pPr>
              <w:rPr>
                <w:rFonts w:ascii="Arial" w:hAnsi="Arial" w:cs="Arial"/>
                <w:color w:val="000000"/>
                <w:sz w:val="20"/>
                <w:szCs w:val="20"/>
              </w:rPr>
            </w:pPr>
          </w:p>
        </w:tc>
        <w:tc>
          <w:tcPr>
            <w:tcW w:w="525" w:type="dxa"/>
            <w:tcBorders>
              <w:top w:val="nil"/>
              <w:left w:val="nil"/>
              <w:bottom w:val="nil"/>
              <w:right w:val="nil"/>
            </w:tcBorders>
            <w:noWrap/>
            <w:vAlign w:val="bottom"/>
          </w:tcPr>
          <w:p>
            <w:pPr>
              <w:rPr>
                <w:rFonts w:ascii="Arial" w:hAnsi="Arial" w:cs="Arial"/>
                <w:color w:val="000000"/>
                <w:sz w:val="20"/>
                <w:szCs w:val="20"/>
              </w:rPr>
            </w:pPr>
          </w:p>
        </w:tc>
        <w:tc>
          <w:tcPr>
            <w:tcW w:w="454" w:type="dxa"/>
            <w:tcBorders>
              <w:top w:val="nil"/>
              <w:left w:val="nil"/>
              <w:bottom w:val="nil"/>
              <w:right w:val="nil"/>
            </w:tcBorders>
            <w:noWrap/>
            <w:vAlign w:val="bottom"/>
          </w:tcPr>
          <w:p>
            <w:pPr>
              <w:rPr>
                <w:rFonts w:ascii="Arial" w:hAnsi="Arial" w:cs="Arial"/>
                <w:color w:val="000000"/>
                <w:sz w:val="20"/>
                <w:szCs w:val="20"/>
              </w:rPr>
            </w:pPr>
          </w:p>
        </w:tc>
        <w:tc>
          <w:tcPr>
            <w:tcW w:w="572" w:type="dxa"/>
            <w:tcBorders>
              <w:top w:val="nil"/>
              <w:left w:val="nil"/>
              <w:bottom w:val="nil"/>
              <w:right w:val="nil"/>
            </w:tcBorders>
            <w:noWrap/>
            <w:vAlign w:val="bottom"/>
          </w:tcPr>
          <w:p>
            <w:pPr>
              <w:rPr>
                <w:rFonts w:ascii="Arial" w:hAnsi="Arial" w:cs="Arial"/>
                <w:color w:val="000000"/>
                <w:sz w:val="20"/>
                <w:szCs w:val="20"/>
              </w:rPr>
            </w:pPr>
          </w:p>
        </w:tc>
        <w:tc>
          <w:tcPr>
            <w:tcW w:w="1616"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05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2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5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45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57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38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05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1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45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7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8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1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45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7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8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5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1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45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7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05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1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5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5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57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275.19</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275.19</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4.92</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4.92</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7.50</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7.50</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机关事业单位职业年金缴费支出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应急管理事务</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2240150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5.40</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5.40</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其他应急管理支出</w:t>
            </w:r>
          </w:p>
        </w:tc>
        <w:tc>
          <w:tcPr>
            <w:tcW w:w="105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121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52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45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7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1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250"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本年度各项支出情况。本表金额转换为万元时，因四舍五入可能存在尾差。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40" w:type="dxa"/>
        <w:tblInd w:w="93" w:type="dxa"/>
        <w:tblLayout w:type="fixed"/>
        <w:tblCellMar>
          <w:top w:w="0" w:type="dxa"/>
          <w:left w:w="108" w:type="dxa"/>
          <w:bottom w:w="0" w:type="dxa"/>
          <w:right w:w="108" w:type="dxa"/>
        </w:tblCellMar>
      </w:tblPr>
      <w:tblGrid>
        <w:gridCol w:w="3502"/>
        <w:gridCol w:w="450"/>
        <w:gridCol w:w="963"/>
        <w:gridCol w:w="3912"/>
        <w:gridCol w:w="543"/>
        <w:gridCol w:w="919"/>
        <w:gridCol w:w="908"/>
        <w:gridCol w:w="986"/>
        <w:gridCol w:w="1457"/>
      </w:tblGrid>
      <w:tr>
        <w:tblPrEx>
          <w:tblCellMar>
            <w:top w:w="0" w:type="dxa"/>
            <w:left w:w="108" w:type="dxa"/>
            <w:bottom w:w="0" w:type="dxa"/>
            <w:right w:w="108" w:type="dxa"/>
          </w:tblCellMar>
        </w:tblPrEx>
        <w:trPr>
          <w:trHeight w:val="390" w:hRule="atLeast"/>
        </w:trPr>
        <w:tc>
          <w:tcPr>
            <w:tcW w:w="13640"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502" w:type="dxa"/>
            <w:tcBorders>
              <w:top w:val="nil"/>
              <w:left w:val="nil"/>
              <w:bottom w:val="nil"/>
              <w:right w:val="nil"/>
            </w:tcBorders>
            <w:noWrap/>
            <w:vAlign w:val="bottom"/>
          </w:tcPr>
          <w:p>
            <w:pPr>
              <w:rPr>
                <w:rFonts w:ascii="Arial" w:hAnsi="Arial" w:cs="Arial"/>
                <w:color w:val="000000"/>
                <w:sz w:val="20"/>
                <w:szCs w:val="20"/>
              </w:rPr>
            </w:pPr>
          </w:p>
        </w:tc>
        <w:tc>
          <w:tcPr>
            <w:tcW w:w="450" w:type="dxa"/>
            <w:tcBorders>
              <w:top w:val="nil"/>
              <w:left w:val="nil"/>
              <w:bottom w:val="nil"/>
              <w:right w:val="nil"/>
            </w:tcBorders>
            <w:noWrap/>
            <w:vAlign w:val="bottom"/>
          </w:tcPr>
          <w:p>
            <w:pPr>
              <w:rPr>
                <w:rFonts w:ascii="Arial" w:hAnsi="Arial" w:cs="Arial"/>
                <w:color w:val="000000"/>
                <w:sz w:val="20"/>
                <w:szCs w:val="20"/>
              </w:rPr>
            </w:pPr>
          </w:p>
        </w:tc>
        <w:tc>
          <w:tcPr>
            <w:tcW w:w="963" w:type="dxa"/>
            <w:tcBorders>
              <w:top w:val="nil"/>
              <w:left w:val="nil"/>
              <w:bottom w:val="nil"/>
              <w:right w:val="nil"/>
            </w:tcBorders>
            <w:noWrap/>
            <w:vAlign w:val="bottom"/>
          </w:tcPr>
          <w:p>
            <w:pPr>
              <w:rPr>
                <w:rFonts w:ascii="Arial" w:hAnsi="Arial" w:cs="Arial"/>
                <w:color w:val="000000"/>
                <w:sz w:val="20"/>
                <w:szCs w:val="20"/>
              </w:rPr>
            </w:pPr>
          </w:p>
        </w:tc>
        <w:tc>
          <w:tcPr>
            <w:tcW w:w="3912" w:type="dxa"/>
            <w:tcBorders>
              <w:top w:val="nil"/>
              <w:left w:val="nil"/>
              <w:bottom w:val="nil"/>
              <w:right w:val="nil"/>
            </w:tcBorders>
            <w:noWrap/>
            <w:vAlign w:val="bottom"/>
          </w:tcPr>
          <w:p>
            <w:pPr>
              <w:rPr>
                <w:rFonts w:ascii="Arial" w:hAnsi="Arial" w:cs="Arial"/>
                <w:color w:val="000000"/>
                <w:sz w:val="20"/>
                <w:szCs w:val="20"/>
              </w:rPr>
            </w:pPr>
          </w:p>
        </w:tc>
        <w:tc>
          <w:tcPr>
            <w:tcW w:w="543" w:type="dxa"/>
            <w:tcBorders>
              <w:top w:val="nil"/>
              <w:left w:val="nil"/>
              <w:bottom w:val="nil"/>
              <w:right w:val="nil"/>
            </w:tcBorders>
            <w:noWrap/>
            <w:vAlign w:val="bottom"/>
          </w:tcPr>
          <w:p>
            <w:pPr>
              <w:rPr>
                <w:rFonts w:ascii="Arial" w:hAnsi="Arial" w:cs="Arial"/>
                <w:color w:val="000000"/>
                <w:sz w:val="20"/>
                <w:szCs w:val="20"/>
              </w:rPr>
            </w:pPr>
          </w:p>
        </w:tc>
        <w:tc>
          <w:tcPr>
            <w:tcW w:w="919" w:type="dxa"/>
            <w:tcBorders>
              <w:top w:val="nil"/>
              <w:left w:val="nil"/>
              <w:bottom w:val="nil"/>
              <w:right w:val="nil"/>
            </w:tcBorders>
            <w:noWrap/>
            <w:vAlign w:val="bottom"/>
          </w:tcPr>
          <w:p>
            <w:pPr>
              <w:rPr>
                <w:rFonts w:ascii="Arial" w:hAnsi="Arial" w:cs="Arial"/>
                <w:color w:val="000000"/>
                <w:sz w:val="20"/>
                <w:szCs w:val="20"/>
              </w:rPr>
            </w:pPr>
          </w:p>
        </w:tc>
        <w:tc>
          <w:tcPr>
            <w:tcW w:w="908" w:type="dxa"/>
            <w:tcBorders>
              <w:top w:val="nil"/>
              <w:left w:val="nil"/>
              <w:bottom w:val="nil"/>
              <w:right w:val="nil"/>
            </w:tcBorders>
            <w:noWrap/>
            <w:vAlign w:val="bottom"/>
          </w:tcPr>
          <w:p>
            <w:pPr>
              <w:rPr>
                <w:rFonts w:ascii="Arial" w:hAnsi="Arial" w:cs="Arial"/>
                <w:color w:val="000000"/>
                <w:sz w:val="20"/>
                <w:szCs w:val="20"/>
              </w:rPr>
            </w:pPr>
          </w:p>
        </w:tc>
        <w:tc>
          <w:tcPr>
            <w:tcW w:w="986" w:type="dxa"/>
            <w:tcBorders>
              <w:top w:val="nil"/>
              <w:left w:val="nil"/>
              <w:bottom w:val="nil"/>
              <w:right w:val="nil"/>
            </w:tcBorders>
            <w:noWrap/>
            <w:vAlign w:val="bottom"/>
          </w:tcPr>
          <w:p>
            <w:pPr>
              <w:rPr>
                <w:rFonts w:ascii="Arial" w:hAnsi="Arial" w:cs="Arial"/>
                <w:color w:val="000000"/>
                <w:sz w:val="20"/>
                <w:szCs w:val="20"/>
              </w:rPr>
            </w:pPr>
          </w:p>
        </w:tc>
        <w:tc>
          <w:tcPr>
            <w:tcW w:w="1457"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55" w:hRule="atLeast"/>
        </w:trPr>
        <w:tc>
          <w:tcPr>
            <w:tcW w:w="3502"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rPr>
              <w:t>单位</w:t>
            </w:r>
            <w:r>
              <w:rPr>
                <w:rFonts w:hint="eastAsia" w:ascii="宋体" w:hAnsi="宋体" w:cs="宋体"/>
                <w:color w:val="000000"/>
                <w:kern w:val="0"/>
                <w:sz w:val="20"/>
                <w:szCs w:val="20"/>
              </w:rPr>
              <w:t>：许昌市安全生产宣传教育中心</w:t>
            </w:r>
          </w:p>
        </w:tc>
        <w:tc>
          <w:tcPr>
            <w:tcW w:w="450" w:type="dxa"/>
            <w:tcBorders>
              <w:top w:val="nil"/>
              <w:left w:val="nil"/>
              <w:bottom w:val="nil"/>
              <w:right w:val="nil"/>
            </w:tcBorders>
            <w:noWrap/>
            <w:vAlign w:val="bottom"/>
          </w:tcPr>
          <w:p>
            <w:pPr>
              <w:rPr>
                <w:rFonts w:ascii="Arial" w:hAnsi="Arial" w:cs="Arial"/>
                <w:color w:val="000000"/>
                <w:sz w:val="20"/>
                <w:szCs w:val="20"/>
              </w:rPr>
            </w:pPr>
          </w:p>
        </w:tc>
        <w:tc>
          <w:tcPr>
            <w:tcW w:w="963" w:type="dxa"/>
            <w:tcBorders>
              <w:top w:val="nil"/>
              <w:left w:val="nil"/>
              <w:bottom w:val="nil"/>
              <w:right w:val="nil"/>
            </w:tcBorders>
            <w:noWrap/>
            <w:vAlign w:val="bottom"/>
          </w:tcPr>
          <w:p>
            <w:pPr>
              <w:rPr>
                <w:rFonts w:ascii="Arial" w:hAnsi="Arial" w:cs="Arial"/>
                <w:color w:val="000000"/>
                <w:sz w:val="20"/>
                <w:szCs w:val="20"/>
              </w:rPr>
            </w:pPr>
          </w:p>
        </w:tc>
        <w:tc>
          <w:tcPr>
            <w:tcW w:w="3912" w:type="dxa"/>
            <w:tcBorders>
              <w:top w:val="nil"/>
              <w:left w:val="nil"/>
              <w:bottom w:val="nil"/>
              <w:right w:val="nil"/>
            </w:tcBorders>
            <w:noWrap/>
            <w:vAlign w:val="bottom"/>
          </w:tcPr>
          <w:p>
            <w:pPr>
              <w:rPr>
                <w:rFonts w:ascii="Arial" w:hAnsi="Arial" w:cs="Arial"/>
                <w:color w:val="000000"/>
                <w:sz w:val="20"/>
                <w:szCs w:val="20"/>
              </w:rPr>
            </w:pPr>
          </w:p>
        </w:tc>
        <w:tc>
          <w:tcPr>
            <w:tcW w:w="543" w:type="dxa"/>
            <w:tcBorders>
              <w:top w:val="nil"/>
              <w:left w:val="nil"/>
              <w:bottom w:val="nil"/>
              <w:right w:val="nil"/>
            </w:tcBorders>
            <w:noWrap/>
            <w:vAlign w:val="bottom"/>
          </w:tcPr>
          <w:p>
            <w:pPr>
              <w:rPr>
                <w:rFonts w:ascii="Arial" w:hAnsi="Arial" w:cs="Arial"/>
                <w:color w:val="000000"/>
                <w:sz w:val="20"/>
                <w:szCs w:val="20"/>
              </w:rPr>
            </w:pPr>
          </w:p>
        </w:tc>
        <w:tc>
          <w:tcPr>
            <w:tcW w:w="919" w:type="dxa"/>
            <w:tcBorders>
              <w:top w:val="nil"/>
              <w:left w:val="nil"/>
              <w:bottom w:val="nil"/>
              <w:right w:val="nil"/>
            </w:tcBorders>
            <w:noWrap/>
            <w:vAlign w:val="bottom"/>
          </w:tcPr>
          <w:p>
            <w:pPr>
              <w:rPr>
                <w:rFonts w:ascii="Arial" w:hAnsi="Arial" w:cs="Arial"/>
                <w:color w:val="000000"/>
                <w:sz w:val="20"/>
                <w:szCs w:val="20"/>
              </w:rPr>
            </w:pPr>
          </w:p>
        </w:tc>
        <w:tc>
          <w:tcPr>
            <w:tcW w:w="908" w:type="dxa"/>
            <w:tcBorders>
              <w:top w:val="nil"/>
              <w:left w:val="nil"/>
              <w:bottom w:val="nil"/>
              <w:right w:val="nil"/>
            </w:tcBorders>
            <w:noWrap/>
            <w:vAlign w:val="bottom"/>
          </w:tcPr>
          <w:p>
            <w:pPr>
              <w:rPr>
                <w:rFonts w:ascii="Arial" w:hAnsi="Arial" w:cs="Arial"/>
                <w:color w:val="000000"/>
                <w:sz w:val="20"/>
                <w:szCs w:val="20"/>
              </w:rPr>
            </w:pPr>
          </w:p>
        </w:tc>
        <w:tc>
          <w:tcPr>
            <w:tcW w:w="986" w:type="dxa"/>
            <w:tcBorders>
              <w:top w:val="nil"/>
              <w:left w:val="nil"/>
              <w:bottom w:val="nil"/>
              <w:right w:val="nil"/>
            </w:tcBorders>
            <w:noWrap/>
            <w:vAlign w:val="bottom"/>
          </w:tcPr>
          <w:p>
            <w:pPr>
              <w:rPr>
                <w:rFonts w:ascii="Arial" w:hAnsi="Arial" w:cs="Arial"/>
                <w:color w:val="000000"/>
                <w:sz w:val="20"/>
                <w:szCs w:val="20"/>
              </w:rPr>
            </w:pPr>
          </w:p>
        </w:tc>
        <w:tc>
          <w:tcPr>
            <w:tcW w:w="1457"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9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872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2" w:hRule="atLeast"/>
        </w:trPr>
        <w:tc>
          <w:tcPr>
            <w:tcW w:w="350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4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96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91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4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919"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90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98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45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502"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6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91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4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19"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0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8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5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450"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91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43"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1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0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98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45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9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147.89</w:t>
            </w: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90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90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90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90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9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147.89</w:t>
            </w:r>
          </w:p>
        </w:tc>
        <w:tc>
          <w:tcPr>
            <w:tcW w:w="391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c>
          <w:tcPr>
            <w:tcW w:w="90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9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127.29</w:t>
            </w:r>
          </w:p>
        </w:tc>
        <w:tc>
          <w:tcPr>
            <w:tcW w:w="391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9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127.29</w:t>
            </w:r>
          </w:p>
        </w:tc>
        <w:tc>
          <w:tcPr>
            <w:tcW w:w="391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4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96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1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0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50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450"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9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c>
          <w:tcPr>
            <w:tcW w:w="391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54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c>
          <w:tcPr>
            <w:tcW w:w="90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275.19</w:t>
            </w:r>
          </w:p>
        </w:tc>
        <w:tc>
          <w:tcPr>
            <w:tcW w:w="98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45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640"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179" w:right="0" w:bottom="669" w:left="873" w:header="720" w:footer="720" w:gutter="0"/>
          <w:pgNumType w:fmt="numberInDash"/>
          <w:cols w:space="720" w:num="1"/>
          <w:docGrid w:type="lines" w:linePitch="312" w:charSpace="0"/>
        </w:sectPr>
      </w:pPr>
    </w:p>
    <w:tbl>
      <w:tblPr>
        <w:tblStyle w:val="5"/>
        <w:tblW w:w="11670" w:type="dxa"/>
        <w:tblInd w:w="93" w:type="dxa"/>
        <w:tblLayout w:type="autofit"/>
        <w:tblCellMar>
          <w:top w:w="0" w:type="dxa"/>
          <w:left w:w="108" w:type="dxa"/>
          <w:bottom w:w="0" w:type="dxa"/>
          <w:right w:w="108" w:type="dxa"/>
        </w:tblCellMar>
      </w:tblPr>
      <w:tblGrid>
        <w:gridCol w:w="3376"/>
        <w:gridCol w:w="222"/>
        <w:gridCol w:w="222"/>
        <w:gridCol w:w="3956"/>
        <w:gridCol w:w="1019"/>
        <w:gridCol w:w="1019"/>
        <w:gridCol w:w="1857"/>
      </w:tblGrid>
      <w:tr>
        <w:tblPrEx>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rPr>
              <w:t>单位</w:t>
            </w:r>
            <w:r>
              <w:rPr>
                <w:rFonts w:hint="eastAsia" w:ascii="宋体" w:hAnsi="宋体" w:cs="宋体"/>
                <w:color w:val="000000"/>
                <w:kern w:val="0"/>
                <w:sz w:val="20"/>
                <w:szCs w:val="20"/>
              </w:rPr>
              <w:t>：许昌市安全生产宣传教育中心</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275.19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275.19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应急管理事务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245.69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240.29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236" w:right="0" w:bottom="1803" w:left="3118"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1116"/>
        <w:gridCol w:w="2767"/>
        <w:gridCol w:w="964"/>
        <w:gridCol w:w="1144"/>
        <w:gridCol w:w="1856"/>
        <w:gridCol w:w="919"/>
        <w:gridCol w:w="1125"/>
        <w:gridCol w:w="2500"/>
        <w:gridCol w:w="1690"/>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1116" w:type="dxa"/>
            <w:tcBorders>
              <w:top w:val="nil"/>
              <w:left w:val="nil"/>
              <w:bottom w:val="nil"/>
              <w:right w:val="nil"/>
            </w:tcBorders>
            <w:noWrap/>
            <w:vAlign w:val="bottom"/>
          </w:tcPr>
          <w:p>
            <w:pPr>
              <w:rPr>
                <w:rFonts w:ascii="Arial" w:hAnsi="Arial" w:cs="Arial"/>
                <w:color w:val="000000"/>
                <w:sz w:val="18"/>
                <w:szCs w:val="18"/>
              </w:rPr>
            </w:pPr>
          </w:p>
        </w:tc>
        <w:tc>
          <w:tcPr>
            <w:tcW w:w="2767" w:type="dxa"/>
            <w:tcBorders>
              <w:top w:val="nil"/>
              <w:left w:val="nil"/>
              <w:bottom w:val="nil"/>
              <w:right w:val="nil"/>
            </w:tcBorders>
            <w:noWrap/>
            <w:vAlign w:val="bottom"/>
          </w:tcPr>
          <w:p>
            <w:pPr>
              <w:rPr>
                <w:rFonts w:ascii="Arial" w:hAnsi="Arial" w:cs="Arial"/>
                <w:color w:val="000000"/>
                <w:sz w:val="20"/>
                <w:szCs w:val="20"/>
              </w:rPr>
            </w:pPr>
          </w:p>
        </w:tc>
        <w:tc>
          <w:tcPr>
            <w:tcW w:w="964" w:type="dxa"/>
            <w:tcBorders>
              <w:top w:val="nil"/>
              <w:left w:val="nil"/>
              <w:bottom w:val="nil"/>
              <w:right w:val="nil"/>
            </w:tcBorders>
            <w:noWrap/>
            <w:vAlign w:val="bottom"/>
          </w:tcPr>
          <w:p>
            <w:pPr>
              <w:rPr>
                <w:rFonts w:ascii="Arial" w:hAnsi="Arial" w:cs="Arial"/>
                <w:color w:val="000000"/>
                <w:sz w:val="20"/>
                <w:szCs w:val="20"/>
              </w:rPr>
            </w:pPr>
          </w:p>
        </w:tc>
        <w:tc>
          <w:tcPr>
            <w:tcW w:w="1144" w:type="dxa"/>
            <w:tcBorders>
              <w:top w:val="nil"/>
              <w:left w:val="nil"/>
              <w:bottom w:val="nil"/>
              <w:right w:val="nil"/>
            </w:tcBorders>
            <w:noWrap/>
            <w:vAlign w:val="bottom"/>
          </w:tcPr>
          <w:p>
            <w:pPr>
              <w:rPr>
                <w:rFonts w:ascii="Arial" w:hAnsi="Arial" w:cs="Arial"/>
                <w:color w:val="000000"/>
                <w:sz w:val="20"/>
                <w:szCs w:val="20"/>
              </w:rPr>
            </w:pPr>
          </w:p>
        </w:tc>
        <w:tc>
          <w:tcPr>
            <w:tcW w:w="1856" w:type="dxa"/>
            <w:tcBorders>
              <w:top w:val="nil"/>
              <w:left w:val="nil"/>
              <w:bottom w:val="nil"/>
              <w:right w:val="nil"/>
            </w:tcBorders>
            <w:noWrap/>
            <w:vAlign w:val="bottom"/>
          </w:tcPr>
          <w:p>
            <w:pPr>
              <w:rPr>
                <w:rFonts w:ascii="Arial" w:hAnsi="Arial" w:cs="Arial"/>
                <w:color w:val="000000"/>
                <w:sz w:val="20"/>
                <w:szCs w:val="20"/>
              </w:rPr>
            </w:pPr>
          </w:p>
        </w:tc>
        <w:tc>
          <w:tcPr>
            <w:tcW w:w="919" w:type="dxa"/>
            <w:tcBorders>
              <w:top w:val="nil"/>
              <w:left w:val="nil"/>
              <w:bottom w:val="nil"/>
              <w:right w:val="nil"/>
            </w:tcBorders>
            <w:noWrap/>
            <w:vAlign w:val="bottom"/>
          </w:tcPr>
          <w:p>
            <w:pPr>
              <w:rPr>
                <w:rFonts w:ascii="Arial" w:hAnsi="Arial" w:cs="Arial"/>
                <w:color w:val="000000"/>
                <w:sz w:val="20"/>
                <w:szCs w:val="20"/>
              </w:rPr>
            </w:pPr>
          </w:p>
        </w:tc>
        <w:tc>
          <w:tcPr>
            <w:tcW w:w="1125" w:type="dxa"/>
            <w:tcBorders>
              <w:top w:val="nil"/>
              <w:left w:val="nil"/>
              <w:bottom w:val="nil"/>
              <w:right w:val="nil"/>
            </w:tcBorders>
            <w:noWrap/>
            <w:vAlign w:val="bottom"/>
          </w:tcPr>
          <w:p>
            <w:pPr>
              <w:rPr>
                <w:rFonts w:ascii="Arial" w:hAnsi="Arial" w:cs="Arial"/>
                <w:color w:val="000000"/>
                <w:sz w:val="20"/>
                <w:szCs w:val="20"/>
              </w:rPr>
            </w:pPr>
          </w:p>
        </w:tc>
        <w:tc>
          <w:tcPr>
            <w:tcW w:w="2500" w:type="dxa"/>
            <w:tcBorders>
              <w:top w:val="nil"/>
              <w:left w:val="nil"/>
              <w:bottom w:val="nil"/>
              <w:right w:val="nil"/>
            </w:tcBorders>
            <w:noWrap/>
            <w:vAlign w:val="bottom"/>
          </w:tcPr>
          <w:p>
            <w:pPr>
              <w:rPr>
                <w:rFonts w:ascii="Arial" w:hAnsi="Arial" w:cs="Arial"/>
                <w:color w:val="000000"/>
                <w:sz w:val="20"/>
                <w:szCs w:val="20"/>
              </w:rPr>
            </w:pPr>
          </w:p>
        </w:tc>
        <w:tc>
          <w:tcPr>
            <w:tcW w:w="169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108" w:type="dxa"/>
            <w:bottom w:w="0" w:type="dxa"/>
            <w:right w:w="108" w:type="dxa"/>
          </w:tblCellMar>
        </w:tblPrEx>
        <w:trPr>
          <w:trHeight w:val="255" w:hRule="atLeast"/>
        </w:trPr>
        <w:tc>
          <w:tcPr>
            <w:tcW w:w="3883" w:type="dxa"/>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18"/>
                <w:szCs w:val="18"/>
              </w:rPr>
              <w:t>单位</w:t>
            </w:r>
            <w:r>
              <w:rPr>
                <w:rFonts w:hint="eastAsia" w:ascii="宋体" w:hAnsi="宋体" w:cs="宋体"/>
                <w:color w:val="000000"/>
                <w:kern w:val="0"/>
                <w:sz w:val="20"/>
                <w:szCs w:val="20"/>
              </w:rPr>
              <w:t>：许昌市安全生产宣传教育中心</w:t>
            </w:r>
          </w:p>
        </w:tc>
        <w:tc>
          <w:tcPr>
            <w:tcW w:w="964" w:type="dxa"/>
            <w:tcBorders>
              <w:top w:val="nil"/>
              <w:left w:val="nil"/>
              <w:bottom w:val="nil"/>
              <w:right w:val="nil"/>
            </w:tcBorders>
            <w:noWrap/>
            <w:vAlign w:val="bottom"/>
          </w:tcPr>
          <w:p>
            <w:pPr>
              <w:rPr>
                <w:rFonts w:ascii="Arial" w:hAnsi="Arial" w:cs="Arial"/>
                <w:color w:val="000000"/>
                <w:sz w:val="20"/>
                <w:szCs w:val="20"/>
              </w:rPr>
            </w:pPr>
          </w:p>
        </w:tc>
        <w:tc>
          <w:tcPr>
            <w:tcW w:w="1144" w:type="dxa"/>
            <w:tcBorders>
              <w:top w:val="nil"/>
              <w:left w:val="nil"/>
              <w:bottom w:val="nil"/>
              <w:right w:val="nil"/>
            </w:tcBorders>
            <w:noWrap/>
            <w:vAlign w:val="bottom"/>
          </w:tcPr>
          <w:p>
            <w:pPr>
              <w:rPr>
                <w:rFonts w:ascii="Arial" w:hAnsi="Arial" w:cs="Arial"/>
                <w:color w:val="000000"/>
                <w:sz w:val="20"/>
                <w:szCs w:val="20"/>
              </w:rPr>
            </w:pPr>
          </w:p>
        </w:tc>
        <w:tc>
          <w:tcPr>
            <w:tcW w:w="1856" w:type="dxa"/>
            <w:tcBorders>
              <w:top w:val="nil"/>
              <w:left w:val="nil"/>
              <w:bottom w:val="nil"/>
              <w:right w:val="nil"/>
            </w:tcBorders>
            <w:noWrap/>
            <w:vAlign w:val="bottom"/>
          </w:tcPr>
          <w:p>
            <w:pPr>
              <w:rPr>
                <w:rFonts w:ascii="Arial" w:hAnsi="Arial" w:cs="Arial"/>
                <w:color w:val="000000"/>
                <w:sz w:val="20"/>
                <w:szCs w:val="20"/>
              </w:rPr>
            </w:pPr>
          </w:p>
        </w:tc>
        <w:tc>
          <w:tcPr>
            <w:tcW w:w="919" w:type="dxa"/>
            <w:tcBorders>
              <w:top w:val="nil"/>
              <w:left w:val="nil"/>
              <w:bottom w:val="nil"/>
              <w:right w:val="nil"/>
            </w:tcBorders>
            <w:noWrap/>
            <w:vAlign w:val="bottom"/>
          </w:tcPr>
          <w:p>
            <w:pPr>
              <w:rPr>
                <w:rFonts w:ascii="Arial" w:hAnsi="Arial" w:cs="Arial"/>
                <w:color w:val="000000"/>
                <w:sz w:val="20"/>
                <w:szCs w:val="20"/>
              </w:rPr>
            </w:pPr>
          </w:p>
        </w:tc>
        <w:tc>
          <w:tcPr>
            <w:tcW w:w="1125" w:type="dxa"/>
            <w:tcBorders>
              <w:top w:val="nil"/>
              <w:left w:val="nil"/>
              <w:bottom w:val="nil"/>
              <w:right w:val="nil"/>
            </w:tcBorders>
            <w:noWrap/>
            <w:vAlign w:val="bottom"/>
          </w:tcPr>
          <w:p>
            <w:pPr>
              <w:rPr>
                <w:rFonts w:ascii="Arial" w:hAnsi="Arial" w:cs="Arial"/>
                <w:color w:val="000000"/>
                <w:sz w:val="20"/>
                <w:szCs w:val="20"/>
              </w:rPr>
            </w:pPr>
          </w:p>
        </w:tc>
        <w:tc>
          <w:tcPr>
            <w:tcW w:w="2500" w:type="dxa"/>
            <w:tcBorders>
              <w:top w:val="nil"/>
              <w:left w:val="nil"/>
              <w:bottom w:val="nil"/>
              <w:right w:val="nil"/>
            </w:tcBorders>
            <w:noWrap/>
            <w:vAlign w:val="bottom"/>
          </w:tcPr>
          <w:p>
            <w:pPr>
              <w:rPr>
                <w:rFonts w:ascii="Arial" w:hAnsi="Arial" w:cs="Arial"/>
                <w:color w:val="000000"/>
                <w:sz w:val="20"/>
                <w:szCs w:val="20"/>
              </w:rPr>
            </w:pPr>
          </w:p>
        </w:tc>
        <w:tc>
          <w:tcPr>
            <w:tcW w:w="169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08" w:hRule="atLeast"/>
        </w:trPr>
        <w:tc>
          <w:tcPr>
            <w:tcW w:w="4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234"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111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76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6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14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185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1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5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6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1116"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276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6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4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8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1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5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6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256.28</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12.05</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43.07</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0.88</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9.35</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17.58</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0.40</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33.79</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28.49</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20.64</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0.80</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12.74</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6.74</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信息网络及软件购置更新</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2.35</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1.02</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34.79</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46.74</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地上附着物和青苗补偿</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5.54</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1.30</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0.03</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91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0.70</w:t>
            </w:r>
          </w:p>
        </w:tc>
        <w:tc>
          <w:tcPr>
            <w:tcW w:w="112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50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50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76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50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11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76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4"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18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91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50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69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883"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96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263.14</w:t>
            </w:r>
          </w:p>
        </w:tc>
        <w:tc>
          <w:tcPr>
            <w:tcW w:w="7544"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69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12.05</w:t>
            </w:r>
          </w:p>
        </w:tc>
      </w:tr>
      <w:tr>
        <w:trPr>
          <w:trHeight w:val="308" w:hRule="atLeast"/>
        </w:trPr>
        <w:tc>
          <w:tcPr>
            <w:tcW w:w="14081"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3725"/>
        <w:gridCol w:w="1150"/>
        <w:gridCol w:w="876"/>
        <w:gridCol w:w="599"/>
        <w:gridCol w:w="876"/>
        <w:gridCol w:w="604"/>
        <w:gridCol w:w="876"/>
        <w:gridCol w:w="1150"/>
        <w:gridCol w:w="876"/>
        <w:gridCol w:w="599"/>
        <w:gridCol w:w="876"/>
        <w:gridCol w:w="1786"/>
      </w:tblGrid>
      <w:tr>
        <w:tblPrEx>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133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214"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214"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214"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636" w:type="pct"/>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1331" w:type="pct"/>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rPr>
              <w:t>单位</w:t>
            </w:r>
            <w:r>
              <w:rPr>
                <w:rFonts w:hint="eastAsia" w:ascii="宋体" w:hAnsi="宋体" w:cs="宋体"/>
                <w:color w:val="000000"/>
                <w:kern w:val="0"/>
                <w:sz w:val="20"/>
                <w:szCs w:val="20"/>
              </w:rPr>
              <w:t>：许昌市安全生产宣传教育中心</w:t>
            </w: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214"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214"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214" w:type="pct"/>
            <w:tcBorders>
              <w:top w:val="nil"/>
              <w:left w:val="nil"/>
              <w:bottom w:val="nil"/>
              <w:right w:val="nil"/>
            </w:tcBorders>
            <w:noWrap/>
            <w:vAlign w:val="bottom"/>
          </w:tcPr>
          <w:p>
            <w:pPr>
              <w:rPr>
                <w:rFonts w:ascii="Arial" w:hAnsi="Arial" w:cs="Arial"/>
                <w:color w:val="000000"/>
                <w:sz w:val="20"/>
                <w:szCs w:val="20"/>
              </w:rPr>
            </w:pPr>
          </w:p>
        </w:tc>
        <w:tc>
          <w:tcPr>
            <w:tcW w:w="313" w:type="pct"/>
            <w:tcBorders>
              <w:top w:val="nil"/>
              <w:left w:val="nil"/>
              <w:bottom w:val="nil"/>
              <w:right w:val="nil"/>
            </w:tcBorders>
            <w:noWrap/>
            <w:vAlign w:val="bottom"/>
          </w:tcPr>
          <w:p>
            <w:pPr>
              <w:rPr>
                <w:rFonts w:ascii="Arial" w:hAnsi="Arial" w:cs="Arial"/>
                <w:color w:val="000000"/>
                <w:sz w:val="20"/>
                <w:szCs w:val="20"/>
              </w:rPr>
            </w:pPr>
          </w:p>
        </w:tc>
        <w:tc>
          <w:tcPr>
            <w:tcW w:w="636" w:type="pct"/>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798" w:type="pct"/>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2201" w:type="pct"/>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1331"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11"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840" w:type="pct"/>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214"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313"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11"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840" w:type="pct"/>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636"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1331" w:type="pct"/>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11"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14"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214"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13"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411"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14"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6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31" w:type="pc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11"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14"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14"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11"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214"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313"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636" w:type="pc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1331" w:type="pct"/>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0.80</w:t>
            </w:r>
          </w:p>
        </w:tc>
        <w:tc>
          <w:tcPr>
            <w:tcW w:w="41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13"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0.80</w:t>
            </w:r>
          </w:p>
        </w:tc>
        <w:tc>
          <w:tcPr>
            <w:tcW w:w="214"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13"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0.80</w:t>
            </w:r>
          </w:p>
        </w:tc>
        <w:tc>
          <w:tcPr>
            <w:tcW w:w="214"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13"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0.70</w:t>
            </w:r>
          </w:p>
        </w:tc>
        <w:tc>
          <w:tcPr>
            <w:tcW w:w="41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13"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0.70</w:t>
            </w:r>
          </w:p>
        </w:tc>
        <w:tc>
          <w:tcPr>
            <w:tcW w:w="214"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13"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0.70</w:t>
            </w:r>
          </w:p>
        </w:tc>
        <w:tc>
          <w:tcPr>
            <w:tcW w:w="6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3322"/>
        <w:gridCol w:w="235"/>
        <w:gridCol w:w="241"/>
        <w:gridCol w:w="1179"/>
        <w:gridCol w:w="1519"/>
        <w:gridCol w:w="1519"/>
        <w:gridCol w:w="1519"/>
        <w:gridCol w:w="1520"/>
        <w:gridCol w:w="1523"/>
        <w:gridCol w:w="1597"/>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172" w:type="pct"/>
            <w:tcBorders>
              <w:top w:val="nil"/>
              <w:left w:val="nil"/>
              <w:bottom w:val="nil"/>
              <w:right w:val="nil"/>
            </w:tcBorders>
            <w:noWrap/>
            <w:vAlign w:val="bottom"/>
          </w:tcPr>
          <w:p>
            <w:pPr>
              <w:rPr>
                <w:rFonts w:ascii="Arial" w:hAnsi="Arial" w:cs="Arial"/>
                <w:color w:val="000000"/>
                <w:sz w:val="18"/>
                <w:szCs w:val="18"/>
              </w:rPr>
            </w:pPr>
          </w:p>
        </w:tc>
        <w:tc>
          <w:tcPr>
            <w:tcW w:w="83" w:type="pct"/>
            <w:tcBorders>
              <w:top w:val="nil"/>
              <w:left w:val="nil"/>
              <w:bottom w:val="nil"/>
              <w:right w:val="nil"/>
            </w:tcBorders>
            <w:noWrap/>
            <w:vAlign w:val="bottom"/>
          </w:tcPr>
          <w:p>
            <w:pPr>
              <w:rPr>
                <w:rFonts w:ascii="Arial" w:hAnsi="Arial" w:cs="Arial"/>
                <w:color w:val="000000"/>
                <w:sz w:val="18"/>
                <w:szCs w:val="18"/>
              </w:rPr>
            </w:pPr>
          </w:p>
        </w:tc>
        <w:tc>
          <w:tcPr>
            <w:tcW w:w="83" w:type="pct"/>
            <w:tcBorders>
              <w:top w:val="nil"/>
              <w:left w:val="nil"/>
              <w:bottom w:val="nil"/>
              <w:right w:val="nil"/>
            </w:tcBorders>
            <w:noWrap/>
            <w:vAlign w:val="bottom"/>
          </w:tcPr>
          <w:p>
            <w:pPr>
              <w:rPr>
                <w:rFonts w:ascii="Arial" w:hAnsi="Arial" w:cs="Arial"/>
                <w:color w:val="000000"/>
                <w:sz w:val="18"/>
                <w:szCs w:val="18"/>
              </w:rPr>
            </w:pPr>
          </w:p>
        </w:tc>
        <w:tc>
          <w:tcPr>
            <w:tcW w:w="415"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61" w:type="pct"/>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公开08表</w:t>
            </w:r>
          </w:p>
        </w:tc>
      </w:tr>
      <w:tr>
        <w:tblPrEx>
          <w:tblCellMar>
            <w:top w:w="0" w:type="dxa"/>
            <w:left w:w="108" w:type="dxa"/>
            <w:bottom w:w="0" w:type="dxa"/>
            <w:right w:w="108" w:type="dxa"/>
          </w:tblCellMar>
        </w:tblPrEx>
        <w:trPr>
          <w:trHeight w:val="255" w:hRule="atLeast"/>
        </w:trPr>
        <w:tc>
          <w:tcPr>
            <w:tcW w:w="1172" w:type="pct"/>
            <w:tcBorders>
              <w:top w:val="nil"/>
              <w:left w:val="nil"/>
              <w:bottom w:val="nil"/>
              <w:right w:val="nil"/>
            </w:tcBorders>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rPr>
              <w:t>单位：许昌市安全生产宣传教育中心</w:t>
            </w:r>
          </w:p>
        </w:tc>
        <w:tc>
          <w:tcPr>
            <w:tcW w:w="83" w:type="pct"/>
            <w:tcBorders>
              <w:top w:val="nil"/>
              <w:left w:val="nil"/>
              <w:bottom w:val="nil"/>
              <w:right w:val="nil"/>
            </w:tcBorders>
            <w:noWrap/>
            <w:vAlign w:val="bottom"/>
          </w:tcPr>
          <w:p>
            <w:pPr>
              <w:rPr>
                <w:rFonts w:ascii="Arial" w:hAnsi="Arial" w:cs="Arial"/>
                <w:color w:val="000000"/>
                <w:sz w:val="18"/>
                <w:szCs w:val="18"/>
              </w:rPr>
            </w:pPr>
          </w:p>
        </w:tc>
        <w:tc>
          <w:tcPr>
            <w:tcW w:w="83" w:type="pct"/>
            <w:tcBorders>
              <w:top w:val="nil"/>
              <w:left w:val="nil"/>
              <w:bottom w:val="nil"/>
              <w:right w:val="nil"/>
            </w:tcBorders>
            <w:noWrap/>
            <w:vAlign w:val="bottom"/>
          </w:tcPr>
          <w:p>
            <w:pPr>
              <w:rPr>
                <w:rFonts w:ascii="Arial" w:hAnsi="Arial" w:cs="Arial"/>
                <w:color w:val="000000"/>
                <w:sz w:val="18"/>
                <w:szCs w:val="18"/>
              </w:rPr>
            </w:pPr>
          </w:p>
        </w:tc>
        <w:tc>
          <w:tcPr>
            <w:tcW w:w="415"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36" w:type="pct"/>
            <w:tcBorders>
              <w:top w:val="nil"/>
              <w:left w:val="nil"/>
              <w:bottom w:val="nil"/>
              <w:right w:val="nil"/>
            </w:tcBorders>
            <w:noWrap/>
            <w:vAlign w:val="bottom"/>
          </w:tcPr>
          <w:p>
            <w:pPr>
              <w:rPr>
                <w:rFonts w:ascii="Arial" w:hAnsi="Arial" w:cs="Arial"/>
                <w:color w:val="000000"/>
                <w:sz w:val="18"/>
                <w:szCs w:val="18"/>
              </w:rPr>
            </w:pPr>
          </w:p>
        </w:tc>
        <w:tc>
          <w:tcPr>
            <w:tcW w:w="561" w:type="pct"/>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756"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3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536"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1609" w:type="pct"/>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561" w:type="pct"/>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1340" w:type="pct"/>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415" w:type="pct"/>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53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536"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536"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561"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340" w:type="pct"/>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15" w:type="pct"/>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53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61"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340" w:type="pct"/>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15" w:type="pct"/>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53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36"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561" w:type="pct"/>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756"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36"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536"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536"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536"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536"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561"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1756"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340"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15"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40"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15"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40"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15"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40"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15"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40"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15"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40" w:type="pct"/>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415"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36"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56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cs="宋体"/>
                <w:color w:val="000000"/>
                <w:kern w:val="0"/>
                <w:sz w:val="22"/>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rPr>
      </w:pPr>
      <w:r>
        <w:rPr>
          <w:rFonts w:hint="eastAsia" w:ascii="宋体" w:hAnsi="宋体" w:cs="宋体"/>
          <w:color w:val="000000"/>
          <w:sz w:val="24"/>
          <w:szCs w:val="24"/>
        </w:rPr>
        <w:t>说明：我单位</w:t>
      </w:r>
      <w:r>
        <w:rPr>
          <w:rFonts w:hint="eastAsia" w:ascii="宋体" w:hAnsi="宋体" w:cs="宋体"/>
          <w:color w:val="000000"/>
          <w:sz w:val="24"/>
          <w:szCs w:val="24"/>
          <w:lang w:val="en-US" w:eastAsia="zh-CN"/>
        </w:rPr>
        <w:t>没有政府性基金收入，也没有使用政府性基金安排的支出，故本</w:t>
      </w:r>
      <w:r>
        <w:rPr>
          <w:rFonts w:hint="eastAsia" w:ascii="宋体" w:hAnsi="宋体" w:cs="宋体"/>
          <w:color w:val="000000"/>
          <w:sz w:val="24"/>
          <w:szCs w:val="24"/>
        </w:rPr>
        <w:t>表无数据。</w:t>
      </w: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年度收、支总计均为275.19万元。与上年度相比，收、支总计各减少61.67万元，下降18.31%。主要原因是我单位退休职工人数增加,2020年省级文明奖取消。</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年度收入合计147.89万元，其中：财政拨款收入147.89万元，占100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%；上级补助收入0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万元，占0.00%；事业收入0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万元，占0.00%；经营收入0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万元，占0.00%；附属单位上缴收入0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万元，占0.00%；其他收入0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年度支出合计275.19万元，其中：基本支出275.19万元，占100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%；项目支出0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万元，占0.00%；上缴上级支出0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万元，占0.00%；经营支出0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万元，占0.00%；对附属单位补助支出0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年度财政拨款收、支总计均为275.19万元。与上年度相比，财政拨款收、支总计各减少61.67万元，下降18.31%。主要原因是我单位退休职工人数增加,2020年省级文明奖取消。</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年度一般公共预算财政拨款支出275.19万元，占支出合计的100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%。与上年度相比，一般公共预算财政拨款支出增加66.23万元，增长31.70%。主要原因是用上年度结余资金列支当年</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275.19万元，主要用于以下方面：一般公共服务（类）支出1.38万元，占0.50%；社会和保障就业（类）支出26.55万元，占9.65%；卫生健康（类）支出1.56万元，占0.57%；灾害防治及应急管理（类）支出245.70万元，占89.28%。</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年度一般公共预算财政拨款支出年初预算为253.82万元，支出决算为275.19万元，完成年初预算的108.42%。其中：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1．一般公共服务支出（类）群众团体事务（款）工会事务（项）。</w:t>
      </w:r>
      <w:r>
        <w:rPr>
          <w:rFonts w:hint="eastAsia" w:ascii="仿宋_GB2312" w:hAnsi="仿宋_GB2312" w:eastAsia="仿宋_GB2312" w:cs="仿宋_GB2312"/>
          <w:sz w:val="32"/>
          <w:szCs w:val="32"/>
        </w:rPr>
        <w:t>年初预算为1.32万元，支出决算为1.38万元，完成年初预算的104.55%。决算数与年初预算数存在差异的主要原因是用上年度结余资金列支当年。</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2．社会保障和就业支出（类）行政事业单位养老支出（款）事业单位离退休（项）。</w:t>
      </w:r>
      <w:r>
        <w:rPr>
          <w:rFonts w:hint="eastAsia" w:ascii="仿宋_GB2312" w:hAnsi="仿宋_GB2312" w:eastAsia="仿宋_GB2312" w:cs="仿宋_GB2312"/>
          <w:sz w:val="32"/>
          <w:szCs w:val="32"/>
        </w:rPr>
        <w:t>年初预算为4.88万元，支出决算为4.92万元，完成年初预算的100.82%。决算数与年初预算数存在差异的主要原因是上年度结余资金列支当年。</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3．社会保障和就业支出（类）行政事业单位养老支出（款）机关事业单位基本养老保险缴费支出（项）。</w:t>
      </w:r>
      <w:r>
        <w:rPr>
          <w:rFonts w:hint="eastAsia" w:ascii="仿宋_GB2312" w:hAnsi="仿宋_GB2312" w:eastAsia="仿宋_GB2312" w:cs="仿宋_GB2312"/>
          <w:sz w:val="32"/>
          <w:szCs w:val="32"/>
        </w:rPr>
        <w:t>年初预算为13.61万元，支出决算为7.50万元，完成年初预算的55.11%。决算数与年初预算数存在差异的主要原因是人员经费不足，部分社保未及时支付。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4．社会保障和就业支出（类）行政事业单位养老支出（款）机关事业单位职业年金缴费支出（项）。</w:t>
      </w:r>
      <w:r>
        <w:rPr>
          <w:rFonts w:hint="eastAsia" w:ascii="仿宋_GB2312" w:hAnsi="仿宋_GB2312" w:eastAsia="仿宋_GB2312" w:cs="仿宋_GB2312"/>
          <w:sz w:val="32"/>
          <w:szCs w:val="32"/>
        </w:rPr>
        <w:t>年初预算为8.21万元，支出决算为14.13万元，完成年初预算的172.11%。决算数与年初预算数存在差异的主要原因是补缴以前年度职业年金。</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5．卫生健康支出（类）行政事业单位医疗支出（款）事业单位医疗支出（项）。</w:t>
      </w:r>
      <w:r>
        <w:rPr>
          <w:rFonts w:hint="eastAsia" w:ascii="仿宋_GB2312" w:hAnsi="仿宋_GB2312" w:eastAsia="仿宋_GB2312" w:cs="仿宋_GB2312"/>
          <w:sz w:val="32"/>
          <w:szCs w:val="32"/>
        </w:rPr>
        <w:t>年初预算为7.51万元，支出决算为1.56万元，完成年初预算的20.77%。决算数与年初预算数存在差异的主要原因是人员经费不足，部分社保未及时支付。</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6．灾害防治及应急管理支出（类）应急管理事务（款）事事业运行（项）。</w:t>
      </w:r>
      <w:r>
        <w:rPr>
          <w:rFonts w:hint="eastAsia" w:ascii="仿宋_GB2312" w:hAnsi="仿宋_GB2312" w:eastAsia="仿宋_GB2312" w:cs="仿宋_GB2312"/>
          <w:sz w:val="32"/>
          <w:szCs w:val="32"/>
        </w:rPr>
        <w:t>年初预算为5.5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万元，支出决算为5.4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万元，完成年初预算的98.18%。决算数与年初预算数存在差异的主要原因是</w:t>
      </w:r>
      <w:r>
        <w:rPr>
          <w:rFonts w:hint="eastAsia" w:ascii="仿宋_GB2312" w:hAnsi="仿宋_GB2312" w:eastAsia="仿宋_GB2312" w:cs="仿宋_GB2312"/>
          <w:sz w:val="32"/>
          <w:szCs w:val="32"/>
          <w:lang w:val="en-US" w:eastAsia="zh-CN"/>
        </w:rPr>
        <w:t>货币单位在转换时</w:t>
      </w:r>
      <w:r>
        <w:rPr>
          <w:rFonts w:hint="eastAsia" w:ascii="仿宋_GB2312" w:hAnsi="仿宋_GB2312" w:eastAsia="仿宋_GB2312" w:cs="仿宋_GB2312"/>
          <w:sz w:val="32"/>
          <w:szCs w:val="32"/>
        </w:rPr>
        <w:t>因四舍五入</w:t>
      </w:r>
      <w:r>
        <w:rPr>
          <w:rFonts w:hint="eastAsia" w:ascii="仿宋_GB2312" w:hAnsi="仿宋_GB2312" w:eastAsia="仿宋_GB2312" w:cs="仿宋_GB2312"/>
          <w:sz w:val="32"/>
          <w:szCs w:val="32"/>
          <w:lang w:val="en-US" w:eastAsia="zh-CN"/>
        </w:rPr>
        <w:t>造成的</w:t>
      </w:r>
      <w:r>
        <w:rPr>
          <w:rFonts w:hint="eastAsia" w:ascii="仿宋_GB2312" w:hAnsi="仿宋_GB2312" w:eastAsia="仿宋_GB2312" w:cs="仿宋_GB2312"/>
          <w:sz w:val="32"/>
          <w:szCs w:val="32"/>
        </w:rPr>
        <w:t>尾差。</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7．灾害防治及应急管理支出（类）应急管理事务（款）其他应急管理支出（项）。</w:t>
      </w:r>
      <w:r>
        <w:rPr>
          <w:rFonts w:hint="eastAsia" w:ascii="仿宋_GB2312" w:hAnsi="仿宋_GB2312" w:eastAsia="仿宋_GB2312" w:cs="仿宋_GB2312"/>
          <w:sz w:val="32"/>
          <w:szCs w:val="32"/>
        </w:rPr>
        <w:t>年初预算为233.39万元，支出决算为240.29万元，完成年初预算的102.96%。决算数与年初预算数存在差异的主要原</w:t>
      </w:r>
      <w:r>
        <w:rPr>
          <w:rFonts w:hint="eastAsia" w:ascii="仿宋_GB2312" w:hAnsi="仿宋_GB2312" w:eastAsia="仿宋_GB2312" w:cs="仿宋_GB2312"/>
          <w:color w:val="auto"/>
          <w:sz w:val="32"/>
          <w:szCs w:val="32"/>
        </w:rPr>
        <w:t>因是</w:t>
      </w:r>
      <w:r>
        <w:rPr>
          <w:rFonts w:hint="eastAsia" w:ascii="仿宋_GB2312" w:hAnsi="仿宋_GB2312" w:eastAsia="仿宋_GB2312" w:cs="仿宋_GB2312"/>
          <w:color w:val="auto"/>
          <w:sz w:val="32"/>
          <w:szCs w:val="32"/>
          <w:lang w:val="en-US" w:eastAsia="zh-CN"/>
        </w:rPr>
        <w:t>在职及退休人员补发各项津贴</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年度一般公共预算财政拨款基本支出275.19万元。其中：人员经费263.14万元，主要包括：基本工资、津贴补贴、</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rPr>
        <w:t>绩效工资、机关事业单位基本养老保险缴费、职业年金缴费、其他社会保障缴费、其他工资福利支出、退休费、住房公积金、对个人和家庭的补助支出；公用经费12.05万元，主要包括：办公费、咨询费、邮电费、差旅费、培训费、劳务费、工会经费、福利费、公务用车运行维护费等。</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年度“三公”经费财政拨款支出预算为0.80万元，支出决算为0.70万元，完成预算的87.5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年度“三公”经费支出决算数与预算数存在差异的主要原因是我单位严格把控三公经费支出。</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年度“三公”经费财政拨款支出决算中，因公出国（境）费支出决算0.00万元；公务用车购置及运行费支出决算0.70万元，完成预算的87.5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%，占87.5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万元。具体情况如下：</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万元，支出决算为0.7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万元，完成预算的87.5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%。决算数与预算数存在差异的主要原因是我单位严格把控公务用车开支。其中：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万元。主要用于车辆油修、保险等。</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年期末，单位开支财政拨款的公务用车保有量为1辆。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2021年度，我单位以绩效目标实现为导向，进一步加强组织建设，提升自评质量，为提高预算绩效管理水平成效奠定了组织基础。我单位成立了绩效自评工作小组，主要工作任务：加强绩效目标管理，全面设置绩效目标；实施绩效监控管理，跟踪强化过程监控并强化评价结果应用，对发现的问题及时改进，加强评价结果与项目资金安排对接；组织深入开展绩效评价管理活动，加强收集整理预算项目绩效完成信息，将自评结果应用于申报项目需求。按照《许昌市市级部门预算绩效管理办法》要求，建立健全了包括目标管理、运行监控、绩效自评、信息公开操作细则，为预算绩效管理工作的开展提供了工作指南，确保每一个程序、每一个环节、每一个要素的科学化、规范化、合理化、高效化。为提高我单位相关工作人员的绩效管理的理念意识，我单位积极参加市财政局组织的预算编制培训会，并向上级部门请教交流工作中遇到的难题。此外，我单位还积极与此项工作开展得较好的部门学习交流，借鉴其经验和做法，对预算绩效管理工作开展以来遇到的瓶颈和短板进行梳理。使得我单位绩效评价工作认识及能力逐步提升，为进一步开展绩效评价工作奠定坚实基础。</w:t>
      </w:r>
    </w:p>
    <w:p>
      <w:pPr>
        <w:widowControl/>
        <w:spacing w:line="360" w:lineRule="auto"/>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w:t>
      </w:r>
      <w:bookmarkStart w:id="0" w:name="_GoBack"/>
      <w:bookmarkEnd w:id="0"/>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2021年我单位纳入预算绩效管理的支出总额为275.19万元，其中：基本支出275.19万元；支出项目0个，支出金额0.00万元。开展项目绩效自评项目0个，自评金额0.00万元；纳入重点绩效评价0个，评价金额0.00万元。纳入重点绩效评价0个，评价金额0.00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0分。其中：0个项目评价等级为“优”、0个项目评价等级为“良”、0个项目评价等级为“差”。一是单位整体绩效自评情况为优。二是项目绩效自评情况。我单位共有0个项目批复了绩效目标。</w:t>
      </w:r>
    </w:p>
    <w:p>
      <w:pPr>
        <w:widowControl/>
        <w:spacing w:line="360" w:lineRule="auto"/>
        <w:ind w:firstLine="481" w:firstLineChars="15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黑体" w:hAnsi="黑体" w:eastAsia="黑体" w:cs="黑体"/>
          <w:sz w:val="48"/>
          <w:szCs w:val="48"/>
        </w:rPr>
      </w:pPr>
      <w:r>
        <w:rPr>
          <w:rFonts w:hint="eastAsia" w:ascii="仿宋_GB2312" w:hAnsi="仿宋_GB2312" w:eastAsia="仿宋_GB2312" w:cs="仿宋_GB2312"/>
          <w:sz w:val="32"/>
          <w:szCs w:val="32"/>
        </w:rPr>
        <w:t>2021年度我单位没有开展重点绩效评价的项目。</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4578EB8A"/>
    <w:multiLevelType w:val="singleLevel"/>
    <w:tmpl w:val="4578EB8A"/>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DhlMDBmM2U3OTRlNTI5YmU2N2U4MDYzOWFlYjcwMGEifQ=="/>
  </w:docVars>
  <w:rsids>
    <w:rsidRoot w:val="00172A27"/>
    <w:rsid w:val="00006EFF"/>
    <w:rsid w:val="00121C9B"/>
    <w:rsid w:val="00172A27"/>
    <w:rsid w:val="00185ED6"/>
    <w:rsid w:val="001F59E1"/>
    <w:rsid w:val="002E69A5"/>
    <w:rsid w:val="00476F84"/>
    <w:rsid w:val="004A3840"/>
    <w:rsid w:val="005C1B86"/>
    <w:rsid w:val="006538D4"/>
    <w:rsid w:val="00831117"/>
    <w:rsid w:val="00891D5E"/>
    <w:rsid w:val="008B1433"/>
    <w:rsid w:val="008C3DC4"/>
    <w:rsid w:val="0091208D"/>
    <w:rsid w:val="009539EA"/>
    <w:rsid w:val="00964C59"/>
    <w:rsid w:val="00987641"/>
    <w:rsid w:val="00B95D1E"/>
    <w:rsid w:val="00BA269A"/>
    <w:rsid w:val="00BB262D"/>
    <w:rsid w:val="00DA7804"/>
    <w:rsid w:val="00FD1B91"/>
    <w:rsid w:val="00FD1D2E"/>
    <w:rsid w:val="03690D99"/>
    <w:rsid w:val="079C4B8C"/>
    <w:rsid w:val="07F817E1"/>
    <w:rsid w:val="082B76BA"/>
    <w:rsid w:val="09DD2FF5"/>
    <w:rsid w:val="0ADB7197"/>
    <w:rsid w:val="15157FFF"/>
    <w:rsid w:val="163942C3"/>
    <w:rsid w:val="18A42C47"/>
    <w:rsid w:val="1B656D35"/>
    <w:rsid w:val="1B6738F7"/>
    <w:rsid w:val="1DAB1D8F"/>
    <w:rsid w:val="202C5B97"/>
    <w:rsid w:val="2ED40002"/>
    <w:rsid w:val="3AD969A0"/>
    <w:rsid w:val="3B0B3A80"/>
    <w:rsid w:val="3BA078CF"/>
    <w:rsid w:val="3ECC31C3"/>
    <w:rsid w:val="42D22EEA"/>
    <w:rsid w:val="48036E0A"/>
    <w:rsid w:val="4D606F16"/>
    <w:rsid w:val="543D2654"/>
    <w:rsid w:val="5AE90D57"/>
    <w:rsid w:val="5C6A5252"/>
    <w:rsid w:val="5D6C7ED7"/>
    <w:rsid w:val="603E6335"/>
    <w:rsid w:val="6507645D"/>
    <w:rsid w:val="6ABE0C43"/>
    <w:rsid w:val="6B4C2BB7"/>
    <w:rsid w:val="6D0C4C8D"/>
    <w:rsid w:val="6E095596"/>
    <w:rsid w:val="6ED26AF4"/>
    <w:rsid w:val="733F2B3D"/>
    <w:rsid w:val="75DF4BF8"/>
    <w:rsid w:val="7C5E2BFE"/>
    <w:rsid w:val="7CBC64AA"/>
    <w:rsid w:val="7E204832"/>
    <w:rsid w:val="B7FF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8229</Words>
  <Characters>9853</Characters>
  <Lines>84</Lines>
  <Paragraphs>23</Paragraphs>
  <TotalTime>3</TotalTime>
  <ScaleCrop>false</ScaleCrop>
  <LinksUpToDate>false</LinksUpToDate>
  <CharactersWithSpaces>10062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李阳</cp:lastModifiedBy>
  <cp:lastPrinted>2023-02-22T16:27:00Z</cp:lastPrinted>
  <dcterms:modified xsi:type="dcterms:W3CDTF">2023-05-22T15:55:00Z</dcterms:modified>
  <dc:title>2021年度</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107AE672A184475E98BF924C4CE698C4</vt:lpwstr>
  </property>
</Properties>
</file>