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许昌市外国专家局</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许昌市外国专家局概况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许昌市外国专家局概况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拟订引进国外智力规划；负责引进国外人才和智力项目计划与组织实施；负责全市出国（境）培训工作，拟订出国（境）培训年度计划并监督实施，组织实施重点出国（境）培训项目；会同有关方面分类实施外国人来华工作许可的初审工作，协助承担中国政府友谊奖提名推荐工作。推动建立外国科学家、 团队吸引集聚机制和重点外国专家联系服务机制，承担重点外国专家服务工作；协调处理在许工作外国专家事件。</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许昌市外国专家局内设机构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包括办公室（共1个）</w:t>
      </w:r>
      <w:r>
        <w:rPr>
          <w:rFonts w:hint="eastAsia" w:ascii="仿宋_GB2312" w:hAnsi="仿宋_GB2312" w:eastAsia="仿宋_GB2312" w:cs="仿宋_GB2312"/>
          <w:kern w:val="0"/>
          <w:sz w:val="32"/>
          <w:szCs w:val="32"/>
        </w:rPr>
        <w:t>。</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从决算单位构成看，</w:t>
      </w:r>
      <w:bookmarkStart w:id="0" w:name="_GoBack"/>
      <w:bookmarkEnd w:id="0"/>
      <w:r>
        <w:rPr>
          <w:rFonts w:hint="eastAsia" w:ascii="仿宋_GB2312" w:hAnsi="仿宋_GB2312" w:eastAsia="仿宋_GB2312" w:cs="仿宋_GB2312"/>
          <w:kern w:val="0"/>
          <w:sz w:val="32"/>
          <w:szCs w:val="32"/>
        </w:rPr>
        <w:t>许昌市外国专家局</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许昌市外国专家局</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wBefore w:w="0" w:type="dxa"/>
          <w:wAfter w:w="0" w:type="dxa"/>
          <w:trHeight w:val="360" w:hRule="atLeast"/>
        </w:trPr>
        <w:tc>
          <w:tcPr>
            <w:tcW w:w="13988" w:type="dxa"/>
            <w:tcBorders>
              <w:top w:val="nil"/>
              <w:left w:val="nil"/>
              <w:bottom w:val="nil"/>
              <w:right w:val="nil"/>
            </w:tcBorders>
            <w:noWrap/>
            <w:tcMar>
              <w:top w:w="15" w:type="dxa"/>
              <w:left w:w="15" w:type="dxa"/>
              <w:right w:w="15" w:type="dxa"/>
            </w:tcMar>
            <w:vAlign w:val="center"/>
          </w:tcPr>
          <w:tbl>
            <w:tblPr>
              <w:tblStyle w:val="5"/>
              <w:tblW w:w="13800" w:type="dxa"/>
              <w:tblInd w:w="0" w:type="dxa"/>
              <w:tblLayout w:type="fixed"/>
              <w:tblCellMar>
                <w:top w:w="0" w:type="dxa"/>
                <w:left w:w="108" w:type="dxa"/>
                <w:bottom w:w="0" w:type="dxa"/>
                <w:right w:w="108" w:type="dxa"/>
              </w:tblCellMar>
            </w:tblPr>
            <w:tblGrid>
              <w:gridCol w:w="5593"/>
              <w:gridCol w:w="741"/>
              <w:gridCol w:w="740"/>
              <w:gridCol w:w="5246"/>
              <w:gridCol w:w="740"/>
              <w:gridCol w:w="740"/>
            </w:tblGrid>
            <w:tr>
              <w:tblPrEx>
                <w:tblCellMar>
                  <w:top w:w="0" w:type="dxa"/>
                  <w:left w:w="108" w:type="dxa"/>
                  <w:bottom w:w="0" w:type="dxa"/>
                  <w:right w:w="108" w:type="dxa"/>
                </w:tblCellMar>
              </w:tblPrEx>
              <w:trPr>
                <w:wBefore w:w="0" w:type="dxa"/>
                <w:wAfter w:w="0" w:type="dxa"/>
                <w:trHeight w:val="390" w:hRule="atLeast"/>
              </w:trPr>
              <w:tc>
                <w:tcPr>
                  <w:tcW w:w="13800" w:type="dxa"/>
                  <w:gridSpan w:val="6"/>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wBefore w:w="0" w:type="dxa"/>
                <w:wAfter w:w="0" w:type="dxa"/>
                <w:trHeight w:val="255" w:hRule="atLeast"/>
              </w:trPr>
              <w:tc>
                <w:tcPr>
                  <w:tcW w:w="13800" w:type="dxa"/>
                  <w:gridSpan w:val="6"/>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wBefore w:w="0" w:type="dxa"/>
                <w:wAfter w:w="0" w:type="dxa"/>
                <w:trHeight w:val="255" w:hRule="atLeast"/>
              </w:trPr>
              <w:tc>
                <w:tcPr>
                  <w:tcW w:w="7074" w:type="dxa"/>
                  <w:gridSpan w:val="3"/>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6726" w:type="dxa"/>
                  <w:gridSpan w:val="3"/>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707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6726"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559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741"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52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7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7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blPrEx>
                <w:tblCellMar>
                  <w:top w:w="0" w:type="dxa"/>
                  <w:left w:w="108" w:type="dxa"/>
                  <w:bottom w:w="0" w:type="dxa"/>
                  <w:right w:w="108" w:type="dxa"/>
                </w:tblCellMar>
              </w:tblPrEx>
              <w:trPr>
                <w:wBefore w:w="0" w:type="dxa"/>
                <w:wAfter w:w="0" w:type="dxa"/>
                <w:trHeight w:val="308" w:hRule="atLeast"/>
              </w:trPr>
              <w:tc>
                <w:tcPr>
                  <w:tcW w:w="13800" w:type="dxa"/>
                  <w:gridSpan w:val="6"/>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60" w:type="dxa"/>
        <w:tblInd w:w="206" w:type="dxa"/>
        <w:tblLayout w:type="autofit"/>
        <w:tblCellMar>
          <w:top w:w="0" w:type="dxa"/>
          <w:left w:w="108" w:type="dxa"/>
          <w:bottom w:w="0" w:type="dxa"/>
          <w:right w:w="108" w:type="dxa"/>
        </w:tblCellMar>
      </w:tblPr>
      <w:tblGrid>
        <w:gridCol w:w="1166"/>
        <w:gridCol w:w="1670"/>
        <w:gridCol w:w="1532"/>
        <w:gridCol w:w="1532"/>
        <w:gridCol w:w="1532"/>
        <w:gridCol w:w="1532"/>
        <w:gridCol w:w="1532"/>
        <w:gridCol w:w="1532"/>
        <w:gridCol w:w="1532"/>
      </w:tblGrid>
      <w:tr>
        <w:tblPrEx>
          <w:tblCellMar>
            <w:top w:w="0" w:type="dxa"/>
            <w:left w:w="108" w:type="dxa"/>
            <w:bottom w:w="0" w:type="dxa"/>
            <w:right w:w="108" w:type="dxa"/>
          </w:tblCellMar>
        </w:tblPrEx>
        <w:trPr>
          <w:wBefore w:w="0" w:type="dxa"/>
          <w:wAfter w:w="0" w:type="dxa"/>
          <w:trHeight w:val="390" w:hRule="atLeast"/>
        </w:trPr>
        <w:tc>
          <w:tcPr>
            <w:tcW w:w="13560" w:type="dxa"/>
            <w:gridSpan w:val="9"/>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wBefore w:w="0" w:type="dxa"/>
          <w:wAfter w:w="0" w:type="dxa"/>
          <w:trHeight w:val="255" w:hRule="atLeast"/>
        </w:trPr>
        <w:tc>
          <w:tcPr>
            <w:tcW w:w="13560" w:type="dxa"/>
            <w:gridSpan w:val="9"/>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wBefore w:w="0" w:type="dxa"/>
          <w:wAfter w:w="0" w:type="dxa"/>
          <w:trHeight w:val="255" w:hRule="atLeast"/>
        </w:trPr>
        <w:tc>
          <w:tcPr>
            <w:tcW w:w="5900" w:type="dxa"/>
            <w:gridSpan w:val="4"/>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153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3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596" w:type="dxa"/>
            <w:gridSpan w:val="3"/>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53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53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53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53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53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53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53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wBefore w:w="0" w:type="dxa"/>
          <w:wAfter w:w="0" w:type="dxa"/>
          <w:trHeight w:val="312" w:hRule="atLeast"/>
        </w:trPr>
        <w:tc>
          <w:tcPr>
            <w:tcW w:w="116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67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116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116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3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2836"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53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wBefore w:w="0" w:type="dxa"/>
          <w:wAfter w:w="0" w:type="dxa"/>
          <w:trHeight w:val="308" w:hRule="atLeast"/>
        </w:trPr>
        <w:tc>
          <w:tcPr>
            <w:tcW w:w="2836"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16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560" w:type="dxa"/>
            <w:gridSpan w:val="9"/>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41" w:type="dxa"/>
        <w:tblInd w:w="93" w:type="dxa"/>
        <w:tblLayout w:type="autofit"/>
        <w:tblCellMar>
          <w:top w:w="0" w:type="dxa"/>
          <w:left w:w="108" w:type="dxa"/>
          <w:bottom w:w="0" w:type="dxa"/>
          <w:right w:w="108" w:type="dxa"/>
        </w:tblCellMar>
      </w:tblPr>
      <w:tblGrid>
        <w:gridCol w:w="1321"/>
        <w:gridCol w:w="4196"/>
        <w:gridCol w:w="1462"/>
        <w:gridCol w:w="1300"/>
        <w:gridCol w:w="1462"/>
        <w:gridCol w:w="1300"/>
        <w:gridCol w:w="1300"/>
        <w:gridCol w:w="1300"/>
      </w:tblGrid>
      <w:tr>
        <w:tblPrEx>
          <w:tblCellMar>
            <w:top w:w="0" w:type="dxa"/>
            <w:left w:w="108" w:type="dxa"/>
            <w:bottom w:w="0" w:type="dxa"/>
            <w:right w:w="108" w:type="dxa"/>
          </w:tblCellMar>
        </w:tblPrEx>
        <w:trPr>
          <w:wBefore w:w="0" w:type="dxa"/>
          <w:wAfter w:w="0" w:type="dxa"/>
          <w:trHeight w:val="390" w:hRule="atLeast"/>
        </w:trPr>
        <w:tc>
          <w:tcPr>
            <w:tcW w:w="13641" w:type="dxa"/>
            <w:gridSpan w:val="8"/>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wBefore w:w="0" w:type="dxa"/>
          <w:wAfter w:w="0" w:type="dxa"/>
          <w:trHeight w:val="255" w:hRule="atLeast"/>
        </w:trPr>
        <w:tc>
          <w:tcPr>
            <w:tcW w:w="13641" w:type="dxa"/>
            <w:gridSpan w:val="8"/>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wBefore w:w="0" w:type="dxa"/>
          <w:wAfter w:w="0" w:type="dxa"/>
          <w:trHeight w:val="255" w:hRule="atLeast"/>
        </w:trPr>
        <w:tc>
          <w:tcPr>
            <w:tcW w:w="8279" w:type="dxa"/>
            <w:gridSpan w:val="4"/>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146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900" w:type="dxa"/>
            <w:gridSpan w:val="3"/>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5517"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46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3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46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3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3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3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wBefore w:w="0" w:type="dxa"/>
          <w:wAfter w:w="0" w:type="dxa"/>
          <w:trHeight w:val="312" w:hRule="atLeast"/>
        </w:trPr>
        <w:tc>
          <w:tcPr>
            <w:tcW w:w="1321"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19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6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132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9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6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132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19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6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6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5517"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46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46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wBefore w:w="0" w:type="dxa"/>
          <w:wAfter w:w="0" w:type="dxa"/>
          <w:trHeight w:val="308" w:hRule="atLeast"/>
        </w:trPr>
        <w:tc>
          <w:tcPr>
            <w:tcW w:w="5517"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20801</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人力资源和社会保障管理事务</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2080102</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21"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9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641" w:type="dxa"/>
            <w:gridSpan w:val="8"/>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0" w:type="dxa"/>
        <w:tblInd w:w="0" w:type="dxa"/>
        <w:tblLayout w:type="fixed"/>
        <w:tblCellMar>
          <w:top w:w="0" w:type="dxa"/>
          <w:left w:w="0" w:type="dxa"/>
          <w:bottom w:w="0" w:type="dxa"/>
          <w:right w:w="0" w:type="dxa"/>
        </w:tblCellMar>
      </w:tblPr>
      <w:tblGrid>
        <w:gridCol w:w="3851"/>
        <w:gridCol w:w="534"/>
        <w:gridCol w:w="945"/>
        <w:gridCol w:w="4442"/>
        <w:gridCol w:w="534"/>
        <w:gridCol w:w="604"/>
        <w:gridCol w:w="1138"/>
        <w:gridCol w:w="996"/>
        <w:gridCol w:w="944"/>
        <w:gridCol w:w="52"/>
      </w:tblGrid>
      <w:tr>
        <w:tblPrEx>
          <w:tblCellMar>
            <w:top w:w="0" w:type="dxa"/>
            <w:left w:w="0" w:type="dxa"/>
            <w:bottom w:w="0" w:type="dxa"/>
            <w:right w:w="0" w:type="dxa"/>
          </w:tblCellMar>
        </w:tblPrEx>
        <w:trPr>
          <w:gridAfter w:val="1"/>
          <w:wBefore w:w="0" w:type="dxa"/>
          <w:wAfter w:w="52" w:type="dxa"/>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0" w:type="dxa"/>
            <w:bottom w:w="0" w:type="dxa"/>
            <w:right w:w="0" w:type="dxa"/>
          </w:tblCellMar>
        </w:tblPrEx>
        <w:trPr>
          <w:gridAfter w:val="1"/>
          <w:wBefore w:w="0" w:type="dxa"/>
          <w:wAfter w:w="52" w:type="dxa"/>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right"/>
              <w:rPr>
                <w:rFonts w:ascii="华文中宋" w:hAnsi="华文中宋" w:eastAsia="华文中宋" w:cs="华文中宋"/>
                <w:color w:val="000000"/>
                <w:kern w:val="0"/>
                <w:sz w:val="32"/>
                <w:szCs w:val="32"/>
                <w:lang w:bidi="ar"/>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wBefore w:w="0" w:type="dxa"/>
          <w:wAfter w:w="0" w:type="dxa"/>
          <w:trHeight w:val="255" w:hRule="atLeast"/>
        </w:trPr>
        <w:tc>
          <w:tcPr>
            <w:tcW w:w="9772" w:type="dxa"/>
            <w:gridSpan w:val="4"/>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5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0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130" w:type="dxa"/>
            <w:gridSpan w:val="4"/>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5330"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710" w:type="dxa"/>
            <w:gridSpan w:val="7"/>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wBefore w:w="0" w:type="dxa"/>
          <w:wAfter w:w="0" w:type="dxa"/>
          <w:trHeight w:val="312" w:hRule="atLeast"/>
        </w:trPr>
        <w:tc>
          <w:tcPr>
            <w:tcW w:w="3851"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3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94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44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3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60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3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99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99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wBefore w:w="0" w:type="dxa"/>
          <w:wAfter w:w="0" w:type="dxa"/>
          <w:trHeight w:val="615" w:hRule="atLeast"/>
        </w:trPr>
        <w:tc>
          <w:tcPr>
            <w:tcW w:w="385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3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44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3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60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94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60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3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9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3851"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34"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9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444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6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113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585" w:hRule="atLeast"/>
        </w:trPr>
        <w:tc>
          <w:tcPr>
            <w:tcW w:w="14040" w:type="dxa"/>
            <w:gridSpan w:val="10"/>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pPr>
    </w:p>
    <w:tbl>
      <w:tblPr>
        <w:tblStyle w:val="5"/>
        <w:tblW w:w="0" w:type="auto"/>
        <w:tblInd w:w="0" w:type="dxa"/>
        <w:tblLayout w:type="fixed"/>
        <w:tblCellMar>
          <w:top w:w="0" w:type="dxa"/>
          <w:left w:w="0" w:type="dxa"/>
          <w:bottom w:w="0" w:type="dxa"/>
          <w:right w:w="0" w:type="dxa"/>
        </w:tblCellMar>
      </w:tblPr>
      <w:tblGrid>
        <w:gridCol w:w="1519"/>
        <w:gridCol w:w="4526"/>
        <w:gridCol w:w="2470"/>
        <w:gridCol w:w="2295"/>
        <w:gridCol w:w="2470"/>
        <w:gridCol w:w="708"/>
      </w:tblGrid>
      <w:tr>
        <w:tblPrEx>
          <w:tblCellMar>
            <w:top w:w="0" w:type="dxa"/>
            <w:left w:w="0" w:type="dxa"/>
            <w:bottom w:w="0" w:type="dxa"/>
            <w:right w:w="0" w:type="dxa"/>
          </w:tblCellMar>
        </w:tblPrEx>
        <w:trPr>
          <w:wBefore w:w="0" w:type="dxa"/>
          <w:wAfter w:w="0" w:type="dxa"/>
          <w:trHeight w:val="435"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wBefore w:w="0" w:type="dxa"/>
          <w:wAfter w:w="0" w:type="dxa"/>
          <w:trHeight w:val="435" w:hRule="atLeast"/>
        </w:trPr>
        <w:tc>
          <w:tcPr>
            <w:tcW w:w="13988" w:type="dxa"/>
            <w:gridSpan w:val="6"/>
            <w:tcBorders>
              <w:top w:val="nil"/>
              <w:left w:val="nil"/>
              <w:bottom w:val="nil"/>
              <w:right w:val="nil"/>
            </w:tcBorders>
            <w:noWrap/>
            <w:tcMar>
              <w:top w:w="15" w:type="dxa"/>
              <w:left w:w="15" w:type="dxa"/>
              <w:right w:w="15" w:type="dxa"/>
            </w:tcMar>
            <w:vAlign w:val="center"/>
          </w:tcPr>
          <w:p>
            <w:pPr>
              <w:widowControl/>
              <w:ind w:right="800"/>
              <w:jc w:val="center"/>
              <w:rPr>
                <w:rFonts w:ascii="华文中宋" w:hAnsi="华文中宋" w:eastAsia="华文中宋" w:cs="华文中宋"/>
                <w:color w:val="000000"/>
                <w:kern w:val="0"/>
                <w:sz w:val="32"/>
                <w:szCs w:val="32"/>
                <w:lang w:bidi="ar"/>
              </w:rPr>
            </w:pPr>
            <w:r>
              <w:rPr>
                <w:rFonts w:hint="eastAsia" w:ascii="宋体" w:hAnsi="宋体" w:cs="Arial"/>
                <w:color w:val="000000"/>
                <w:kern w:val="0"/>
                <w:sz w:val="20"/>
                <w:szCs w:val="20"/>
              </w:rPr>
              <w:t xml:space="preserve">                                                                                                                    公开05表</w:t>
            </w:r>
          </w:p>
        </w:tc>
      </w:tr>
      <w:tr>
        <w:tblPrEx>
          <w:tblCellMar>
            <w:top w:w="0" w:type="dxa"/>
            <w:left w:w="108" w:type="dxa"/>
            <w:bottom w:w="0" w:type="dxa"/>
            <w:right w:w="108" w:type="dxa"/>
          </w:tblCellMar>
        </w:tblPrEx>
        <w:trPr>
          <w:gridAfter w:val="1"/>
          <w:wBefore w:w="0" w:type="dxa"/>
          <w:wAfter w:w="708" w:type="dxa"/>
          <w:trHeight w:val="255" w:hRule="atLeast"/>
        </w:trPr>
        <w:tc>
          <w:tcPr>
            <w:tcW w:w="8515" w:type="dxa"/>
            <w:gridSpan w:val="3"/>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4765" w:type="dxa"/>
            <w:gridSpan w:val="2"/>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Before w:w="0" w:type="dxa"/>
          <w:wAfter w:w="708" w:type="dxa"/>
          <w:trHeight w:val="308" w:hRule="atLeast"/>
        </w:trPr>
        <w:tc>
          <w:tcPr>
            <w:tcW w:w="6045"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235"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gridAfter w:val="1"/>
          <w:wBefore w:w="0" w:type="dxa"/>
          <w:wAfter w:w="708" w:type="dxa"/>
          <w:trHeight w:val="312" w:hRule="atLeast"/>
        </w:trPr>
        <w:tc>
          <w:tcPr>
            <w:tcW w:w="1519"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52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47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29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47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gridAfter w:val="1"/>
          <w:wBefore w:w="0" w:type="dxa"/>
          <w:wAfter w:w="708" w:type="dxa"/>
          <w:trHeight w:val="312" w:hRule="atLeast"/>
        </w:trPr>
        <w:tc>
          <w:tcPr>
            <w:tcW w:w="151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5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4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4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Before w:w="0" w:type="dxa"/>
          <w:wAfter w:w="708" w:type="dxa"/>
          <w:trHeight w:val="312" w:hRule="atLeast"/>
        </w:trPr>
        <w:tc>
          <w:tcPr>
            <w:tcW w:w="151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5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4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4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Before w:w="0" w:type="dxa"/>
          <w:wAfter w:w="708" w:type="dxa"/>
          <w:trHeight w:val="308" w:hRule="atLeast"/>
        </w:trPr>
        <w:tc>
          <w:tcPr>
            <w:tcW w:w="6045"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4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29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4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gridAfter w:val="1"/>
          <w:wBefore w:w="0" w:type="dxa"/>
          <w:wAfter w:w="708" w:type="dxa"/>
          <w:trHeight w:val="308" w:hRule="atLeast"/>
        </w:trPr>
        <w:tc>
          <w:tcPr>
            <w:tcW w:w="6045"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6.31</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6.31</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20801</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人力资源和社会保障管理事务</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2080102</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Before w:w="0" w:type="dxa"/>
          <w:wAfter w:w="708" w:type="dxa"/>
          <w:trHeight w:val="308" w:hRule="atLeast"/>
        </w:trPr>
        <w:tc>
          <w:tcPr>
            <w:tcW w:w="1519"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5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Before w:w="0" w:type="dxa"/>
          <w:wAfter w:w="708" w:type="dxa"/>
          <w:trHeight w:val="308" w:hRule="atLeast"/>
        </w:trPr>
        <w:tc>
          <w:tcPr>
            <w:tcW w:w="13280" w:type="dxa"/>
            <w:gridSpan w:val="5"/>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rPr>
      </w:pPr>
    </w:p>
    <w:tbl>
      <w:tblPr>
        <w:tblStyle w:val="5"/>
        <w:tblW w:w="14140" w:type="dxa"/>
        <w:tblInd w:w="93" w:type="dxa"/>
        <w:tblLayout w:type="autofit"/>
        <w:tblCellMar>
          <w:top w:w="0" w:type="dxa"/>
          <w:left w:w="108" w:type="dxa"/>
          <w:bottom w:w="0" w:type="dxa"/>
          <w:right w:w="108" w:type="dxa"/>
        </w:tblCellMar>
      </w:tblPr>
      <w:tblGrid>
        <w:gridCol w:w="880"/>
        <w:gridCol w:w="3330"/>
        <w:gridCol w:w="639"/>
        <w:gridCol w:w="910"/>
        <w:gridCol w:w="2230"/>
        <w:gridCol w:w="573"/>
        <w:gridCol w:w="842"/>
        <w:gridCol w:w="4210"/>
        <w:gridCol w:w="526"/>
      </w:tblGrid>
      <w:tr>
        <w:tblPrEx>
          <w:tblCellMar>
            <w:top w:w="0" w:type="dxa"/>
            <w:left w:w="108" w:type="dxa"/>
            <w:bottom w:w="0" w:type="dxa"/>
            <w:right w:w="108" w:type="dxa"/>
          </w:tblCellMar>
        </w:tblPrEx>
        <w:trPr>
          <w:wBefore w:w="0" w:type="dxa"/>
          <w:wAfter w:w="0" w:type="dxa"/>
          <w:trHeight w:val="390" w:hRule="atLeast"/>
        </w:trPr>
        <w:tc>
          <w:tcPr>
            <w:tcW w:w="14140" w:type="dxa"/>
            <w:gridSpan w:val="9"/>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wBefore w:w="0" w:type="dxa"/>
          <w:wAfter w:w="0" w:type="dxa"/>
          <w:trHeight w:val="255" w:hRule="atLeast"/>
        </w:trPr>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3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3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381" w:type="dxa"/>
            <w:gridSpan w:val="5"/>
            <w:tcBorders>
              <w:top w:val="nil"/>
              <w:left w:val="nil"/>
              <w:bottom w:val="nil"/>
              <w:right w:val="nil"/>
            </w:tcBorders>
            <w:noWrap/>
            <w:vAlign w:val="bottom"/>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公开06表</w:t>
            </w:r>
          </w:p>
        </w:tc>
      </w:tr>
      <w:tr>
        <w:tblPrEx>
          <w:tblCellMar>
            <w:top w:w="0" w:type="dxa"/>
            <w:left w:w="108" w:type="dxa"/>
            <w:bottom w:w="0" w:type="dxa"/>
            <w:right w:w="108" w:type="dxa"/>
          </w:tblCellMar>
        </w:tblPrEx>
        <w:trPr>
          <w:wBefore w:w="0" w:type="dxa"/>
          <w:wAfter w:w="0" w:type="dxa"/>
          <w:trHeight w:val="255" w:hRule="atLeast"/>
        </w:trPr>
        <w:tc>
          <w:tcPr>
            <w:tcW w:w="5759" w:type="dxa"/>
            <w:gridSpan w:val="4"/>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22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151" w:type="dxa"/>
            <w:gridSpan w:val="4"/>
            <w:tcBorders>
              <w:top w:val="nil"/>
              <w:left w:val="nil"/>
              <w:bottom w:val="single" w:color="000000" w:sz="4" w:space="0"/>
              <w:right w:val="nil"/>
            </w:tcBorders>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wBefore w:w="0" w:type="dxa"/>
          <w:wAfter w:w="0" w:type="dxa"/>
          <w:trHeight w:val="308" w:hRule="atLeast"/>
        </w:trPr>
        <w:tc>
          <w:tcPr>
            <w:tcW w:w="484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291"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wBefore w:w="0" w:type="dxa"/>
          <w:wAfter w:w="0" w:type="dxa"/>
          <w:trHeight w:val="312" w:hRule="atLeast"/>
        </w:trPr>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33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63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91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23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7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84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421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2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wBefore w:w="0" w:type="dxa"/>
          <w:wAfter w:w="0" w:type="dxa"/>
          <w:trHeight w:val="312" w:hRule="atLeast"/>
        </w:trPr>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33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63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3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7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4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2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880"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3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2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57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421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765"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5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4140" w:type="dxa"/>
            <w:gridSpan w:val="9"/>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13440" w:type="dxa"/>
        <w:tblInd w:w="93" w:type="dxa"/>
        <w:tblLayout w:type="autofit"/>
        <w:tblCellMar>
          <w:top w:w="0" w:type="dxa"/>
          <w:left w:w="108" w:type="dxa"/>
          <w:bottom w:w="0" w:type="dxa"/>
          <w:right w:w="108" w:type="dxa"/>
        </w:tblCellMar>
      </w:tblPr>
      <w:tblGrid>
        <w:gridCol w:w="1120"/>
        <w:gridCol w:w="1120"/>
        <w:gridCol w:w="1120"/>
        <w:gridCol w:w="1120"/>
        <w:gridCol w:w="1120"/>
        <w:gridCol w:w="1120"/>
        <w:gridCol w:w="1120"/>
        <w:gridCol w:w="1120"/>
        <w:gridCol w:w="1120"/>
        <w:gridCol w:w="1120"/>
        <w:gridCol w:w="1120"/>
        <w:gridCol w:w="1120"/>
      </w:tblGrid>
      <w:tr>
        <w:tblPrEx>
          <w:tblCellMar>
            <w:top w:w="0" w:type="dxa"/>
            <w:left w:w="108" w:type="dxa"/>
            <w:bottom w:w="0" w:type="dxa"/>
            <w:right w:w="108" w:type="dxa"/>
          </w:tblCellMar>
        </w:tblPrEx>
        <w:trPr>
          <w:wBefore w:w="0" w:type="dxa"/>
          <w:wAfter w:w="0" w:type="dxa"/>
          <w:trHeight w:val="540" w:hRule="atLeast"/>
        </w:trPr>
        <w:tc>
          <w:tcPr>
            <w:tcW w:w="13440" w:type="dxa"/>
            <w:gridSpan w:val="12"/>
            <w:tcBorders>
              <w:top w:val="nil"/>
              <w:left w:val="nil"/>
              <w:bottom w:val="nil"/>
              <w:right w:val="nil"/>
            </w:tcBorders>
            <w:noWrap/>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wBefore w:w="0" w:type="dxa"/>
          <w:wAfter w:w="0" w:type="dxa"/>
          <w:trHeight w:val="255" w:hRule="atLeast"/>
        </w:trPr>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600" w:type="dxa"/>
            <w:gridSpan w:val="5"/>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wBefore w:w="0" w:type="dxa"/>
          <w:wAfter w:w="0" w:type="dxa"/>
          <w:trHeight w:val="255" w:hRule="atLeast"/>
        </w:trPr>
        <w:tc>
          <w:tcPr>
            <w:tcW w:w="5600" w:type="dxa"/>
            <w:gridSpan w:val="5"/>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80" w:type="dxa"/>
            <w:gridSpan w:val="4"/>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6720"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7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wBefore w:w="0" w:type="dxa"/>
          <w:wAfter w:w="0" w:type="dxa"/>
          <w:trHeight w:val="308" w:hRule="atLeast"/>
        </w:trPr>
        <w:tc>
          <w:tcPr>
            <w:tcW w:w="11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1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wBefore w:w="0" w:type="dxa"/>
          <w:wAfter w:w="0" w:type="dxa"/>
          <w:trHeight w:val="615" w:hRule="atLeast"/>
        </w:trPr>
        <w:tc>
          <w:tcPr>
            <w:tcW w:w="11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1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wBefore w:w="0" w:type="dxa"/>
          <w:wAfter w:w="0" w:type="dxa"/>
          <w:trHeight w:val="308" w:hRule="atLeast"/>
        </w:trPr>
        <w:tc>
          <w:tcPr>
            <w:tcW w:w="1120"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615" w:hRule="atLeast"/>
        </w:trPr>
        <w:tc>
          <w:tcPr>
            <w:tcW w:w="13440" w:type="dxa"/>
            <w:gridSpan w:val="12"/>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没有预算安排的三公经费，也没有预算安排的三公支出，故本表无数据。</w:t>
      </w:r>
    </w:p>
    <w:tbl>
      <w:tblPr>
        <w:tblStyle w:val="5"/>
        <w:tblW w:w="13640" w:type="dxa"/>
        <w:tblInd w:w="93" w:type="dxa"/>
        <w:tblLayout w:type="autofit"/>
        <w:tblCellMar>
          <w:top w:w="0" w:type="dxa"/>
          <w:left w:w="108" w:type="dxa"/>
          <w:bottom w:w="0" w:type="dxa"/>
          <w:right w:w="108" w:type="dxa"/>
        </w:tblCellMar>
      </w:tblPr>
      <w:tblGrid>
        <w:gridCol w:w="222"/>
        <w:gridCol w:w="222"/>
        <w:gridCol w:w="222"/>
        <w:gridCol w:w="1916"/>
        <w:gridCol w:w="1843"/>
        <w:gridCol w:w="1843"/>
        <w:gridCol w:w="1843"/>
        <w:gridCol w:w="1843"/>
        <w:gridCol w:w="1843"/>
        <w:gridCol w:w="1843"/>
      </w:tblGrid>
      <w:tr>
        <w:tblPrEx>
          <w:tblCellMar>
            <w:top w:w="0" w:type="dxa"/>
            <w:left w:w="108" w:type="dxa"/>
            <w:bottom w:w="0" w:type="dxa"/>
            <w:right w:w="108" w:type="dxa"/>
          </w:tblCellMar>
        </w:tblPrEx>
        <w:trPr>
          <w:wBefore w:w="0" w:type="dxa"/>
          <w:wAfter w:w="0" w:type="dxa"/>
          <w:trHeight w:val="390" w:hRule="atLeast"/>
        </w:trPr>
        <w:tc>
          <w:tcPr>
            <w:tcW w:w="13640" w:type="dxa"/>
            <w:gridSpan w:val="10"/>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wBefore w:w="0" w:type="dxa"/>
          <w:wAfter w:w="0" w:type="dxa"/>
          <w:trHeight w:val="255" w:hRule="atLeast"/>
        </w:trPr>
        <w:tc>
          <w:tcPr>
            <w:tcW w:w="22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529" w:type="dxa"/>
            <w:gridSpan w:val="3"/>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wBefore w:w="0" w:type="dxa"/>
          <w:wAfter w:w="0" w:type="dxa"/>
          <w:trHeight w:val="255" w:hRule="atLeast"/>
        </w:trPr>
        <w:tc>
          <w:tcPr>
            <w:tcW w:w="6268" w:type="dxa"/>
            <w:gridSpan w:val="6"/>
            <w:tcBorders>
              <w:top w:val="nil"/>
              <w:left w:val="nil"/>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部门：许昌市外国专家局</w:t>
            </w:r>
          </w:p>
        </w:tc>
        <w:tc>
          <w:tcPr>
            <w:tcW w:w="18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529" w:type="dxa"/>
            <w:gridSpan w:val="3"/>
            <w:tcBorders>
              <w:top w:val="nil"/>
              <w:left w:val="nil"/>
              <w:bottom w:val="single" w:color="000000" w:sz="4" w:space="0"/>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wBefore w:w="0" w:type="dxa"/>
          <w:wAfter w:w="0" w:type="dxa"/>
          <w:trHeight w:val="308" w:hRule="atLeast"/>
        </w:trPr>
        <w:tc>
          <w:tcPr>
            <w:tcW w:w="258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5529"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wBefore w:w="0" w:type="dxa"/>
          <w:wAfter w:w="0" w:type="dxa"/>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91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43"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2"/>
              </w:rPr>
            </w:pP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4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66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91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12" w:hRule="atLeast"/>
        </w:trPr>
        <w:tc>
          <w:tcPr>
            <w:tcW w:w="66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91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4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wBefore w:w="0" w:type="dxa"/>
          <w:wAfter w:w="0" w:type="dxa"/>
          <w:trHeight w:val="308" w:hRule="atLeast"/>
        </w:trPr>
        <w:tc>
          <w:tcPr>
            <w:tcW w:w="258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84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wBefore w:w="0" w:type="dxa"/>
          <w:wAfter w:w="0" w:type="dxa"/>
          <w:trHeight w:val="308" w:hRule="atLeast"/>
        </w:trPr>
        <w:tc>
          <w:tcPr>
            <w:tcW w:w="258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4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wBefore w:w="0" w:type="dxa"/>
          <w:wAfter w:w="0" w:type="dxa"/>
          <w:trHeight w:val="308" w:hRule="atLeast"/>
        </w:trPr>
        <w:tc>
          <w:tcPr>
            <w:tcW w:w="13640" w:type="dxa"/>
            <w:gridSpan w:val="10"/>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rPr>
      </w:pPr>
    </w:p>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年度收、支总计均为6.31万元。与上年度相比，收、支总计各减少17.35万元，下降73.34%。主要原因是</w:t>
      </w:r>
      <w:r>
        <w:rPr>
          <w:rFonts w:hint="eastAsia" w:ascii="仿宋_GB2312" w:hAnsi="仿宋" w:eastAsia="仿宋_GB2312" w:cs="仿宋"/>
          <w:color w:val="000000"/>
          <w:sz w:val="32"/>
          <w:szCs w:val="32"/>
        </w:rPr>
        <w:t>受疫情影响，外国专家无法如期来许进行无偿技术援助，项目支出相对减少</w:t>
      </w:r>
      <w:r>
        <w:rPr>
          <w:rFonts w:hint="eastAsia" w:ascii="仿宋_GB2312" w:hAnsi="仿宋" w:eastAsia="仿宋_GB2312" w:cs="仿宋"/>
          <w:color w:val="000000"/>
          <w:sz w:val="32"/>
          <w:szCs w:val="32"/>
          <w:lang w:eastAsia="zh-CN"/>
        </w:rPr>
        <w:t>，且因一体化管理系统的实施，</w:t>
      </w:r>
      <w:r>
        <w:rPr>
          <w:rFonts w:hint="eastAsia" w:ascii="仿宋_GB2312" w:hAnsi="仿宋" w:eastAsia="仿宋_GB2312" w:cs="仿宋"/>
          <w:color w:val="000000"/>
          <w:sz w:val="32"/>
          <w:szCs w:val="32"/>
        </w:rPr>
        <w:t>许昌市外国专家局账户暂停使用，2021年引智经费拨付至许昌市科学技术局账户进行支付管理</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万元。与上年度相比，财政拨款收、支总计各减少</w:t>
      </w:r>
      <w:r>
        <w:rPr>
          <w:rFonts w:hint="eastAsia" w:ascii="仿宋_GB2312" w:hAnsi="仿宋_GB2312" w:eastAsia="仿宋_GB2312" w:cs="仿宋_GB2312"/>
          <w:sz w:val="32"/>
          <w:szCs w:val="32"/>
          <w:lang w:val="en-US" w:eastAsia="zh-CN"/>
        </w:rPr>
        <w:t>17.35</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73.34</w:t>
      </w:r>
      <w:r>
        <w:rPr>
          <w:rFonts w:hint="eastAsia" w:ascii="仿宋_GB2312" w:hAnsi="仿宋_GB2312" w:eastAsia="仿宋_GB2312" w:cs="仿宋_GB2312"/>
          <w:sz w:val="32"/>
          <w:szCs w:val="32"/>
        </w:rPr>
        <w:t>%。主要原因是</w:t>
      </w:r>
      <w:r>
        <w:rPr>
          <w:rFonts w:hint="eastAsia" w:ascii="仿宋_GB2312" w:hAnsi="仿宋" w:eastAsia="仿宋_GB2312" w:cs="仿宋"/>
          <w:color w:val="000000"/>
          <w:sz w:val="32"/>
          <w:szCs w:val="32"/>
        </w:rPr>
        <w:t>受疫情影响，外国专家无法如期来许进行无偿技术援助，项目支出相对减少</w:t>
      </w:r>
      <w:r>
        <w:rPr>
          <w:rFonts w:hint="eastAsia" w:ascii="仿宋_GB2312" w:hAnsi="仿宋" w:eastAsia="仿宋_GB2312" w:cs="仿宋"/>
          <w:color w:val="000000"/>
          <w:sz w:val="32"/>
          <w:szCs w:val="32"/>
          <w:lang w:eastAsia="zh-CN"/>
        </w:rPr>
        <w:t>，且因一体化管理系统的实施，</w:t>
      </w:r>
      <w:r>
        <w:rPr>
          <w:rFonts w:hint="eastAsia" w:ascii="仿宋_GB2312" w:hAnsi="仿宋" w:eastAsia="仿宋_GB2312" w:cs="仿宋"/>
          <w:color w:val="000000"/>
          <w:sz w:val="32"/>
          <w:szCs w:val="32"/>
        </w:rPr>
        <w:t>许昌市外国专家局账户暂停使用，2021年引智经费拨付至许昌市科学技术局账户进行支付管理</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%。与上年度相比，一般公共预算财政拨款支出减少</w:t>
      </w:r>
      <w:r>
        <w:rPr>
          <w:rFonts w:hint="eastAsia" w:ascii="仿宋_GB2312" w:hAnsi="仿宋_GB2312" w:eastAsia="仿宋_GB2312" w:cs="仿宋_GB2312"/>
          <w:sz w:val="32"/>
          <w:szCs w:val="32"/>
          <w:lang w:val="en-US" w:eastAsia="zh-CN"/>
        </w:rPr>
        <w:t>7.95</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55.75</w:t>
      </w:r>
      <w:r>
        <w:rPr>
          <w:rFonts w:hint="eastAsia" w:ascii="仿宋_GB2312" w:hAnsi="仿宋_GB2312" w:eastAsia="仿宋_GB2312" w:cs="仿宋_GB2312"/>
          <w:sz w:val="32"/>
          <w:szCs w:val="32"/>
        </w:rPr>
        <w:t>%。主要原因是</w:t>
      </w:r>
      <w:r>
        <w:rPr>
          <w:rFonts w:hint="eastAsia" w:ascii="仿宋_GB2312" w:hAnsi="仿宋" w:eastAsia="仿宋_GB2312" w:cs="仿宋"/>
          <w:color w:val="000000"/>
          <w:sz w:val="32"/>
          <w:szCs w:val="32"/>
        </w:rPr>
        <w:t>受疫情影响，外国专家无法如期来许进行无偿技术援助，项目支出相对减少</w:t>
      </w:r>
      <w:r>
        <w:rPr>
          <w:rFonts w:hint="eastAsia" w:ascii="仿宋_GB2312" w:hAnsi="仿宋" w:eastAsia="仿宋_GB2312" w:cs="仿宋"/>
          <w:color w:val="000000"/>
          <w:sz w:val="32"/>
          <w:szCs w:val="32"/>
          <w:lang w:eastAsia="zh-CN"/>
        </w:rPr>
        <w:t>，且因一体化管理系统的实施，</w:t>
      </w:r>
      <w:r>
        <w:rPr>
          <w:rFonts w:hint="eastAsia" w:ascii="仿宋_GB2312" w:hAnsi="仿宋" w:eastAsia="仿宋_GB2312" w:cs="仿宋"/>
          <w:color w:val="000000"/>
          <w:sz w:val="32"/>
          <w:szCs w:val="32"/>
        </w:rPr>
        <w:t>许昌市外国专家局账户暂停使用，2021年引智经费拨付至许昌市科学技术局账户进行支付管理</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万元，主要用于以下方面：社会保障和就业支出（类）支出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万元，占100%。</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sz w:val="32"/>
          <w:szCs w:val="32"/>
        </w:rPr>
        <w:t>社会保障和就业支出</w:t>
      </w:r>
      <w:r>
        <w:rPr>
          <w:rFonts w:hint="eastAsia" w:ascii="仿宋_GB2312" w:hAnsi="仿宋_GB2312" w:eastAsia="仿宋_GB2312" w:cs="仿宋_GB2312"/>
          <w:b/>
          <w:bCs/>
          <w:sz w:val="32"/>
          <w:szCs w:val="32"/>
        </w:rPr>
        <w:t>（类）人力资源和社会保障管理事务（款）一般行政管理事务×（项）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万元。决算数与年初预算数存在差异的主要原因是</w:t>
      </w:r>
      <w:r>
        <w:rPr>
          <w:rFonts w:hint="eastAsia" w:ascii="仿宋_GB2312" w:hAnsi="仿宋" w:eastAsia="仿宋_GB2312" w:cs="仿宋"/>
          <w:color w:val="000000"/>
          <w:sz w:val="32"/>
          <w:szCs w:val="32"/>
          <w:lang w:eastAsia="zh-CN"/>
        </w:rPr>
        <w:t>因一体化管理系统的实施，</w:t>
      </w:r>
      <w:r>
        <w:rPr>
          <w:rFonts w:hint="eastAsia" w:ascii="仿宋_GB2312" w:hAnsi="仿宋" w:eastAsia="仿宋_GB2312" w:cs="仿宋"/>
          <w:color w:val="000000"/>
          <w:sz w:val="32"/>
          <w:szCs w:val="32"/>
        </w:rPr>
        <w:t>许昌市外国专家局账户暂停使用，2021年引智经费拨付至许昌市科学技术局账户进行支付管理</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万元，公用经费</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不存在</w:t>
      </w:r>
      <w:r>
        <w:rPr>
          <w:rFonts w:hint="eastAsia" w:ascii="仿宋_GB2312" w:hAnsi="仿宋_GB2312" w:eastAsia="仿宋_GB2312" w:cs="仿宋_GB2312"/>
          <w:sz w:val="32"/>
          <w:szCs w:val="32"/>
        </w:rPr>
        <w:t>项目年末结转和结余资金数额较大</w:t>
      </w:r>
      <w:r>
        <w:rPr>
          <w:rFonts w:hint="eastAsia" w:ascii="仿宋_GB2312" w:hAnsi="仿宋_GB2312" w:eastAsia="仿宋_GB2312" w:cs="仿宋_GB2312"/>
          <w:sz w:val="32"/>
          <w:szCs w:val="32"/>
          <w:lang w:eastAsia="zh-CN"/>
        </w:rPr>
        <w:t>。情况说明说明：</w:t>
      </w:r>
      <w:r>
        <w:rPr>
          <w:rFonts w:hint="eastAsia" w:ascii="仿宋_GB2312" w:hAnsi="仿宋_GB2312" w:eastAsia="仿宋_GB2312" w:cs="仿宋_GB2312"/>
          <w:sz w:val="32"/>
          <w:szCs w:val="32"/>
        </w:rPr>
        <w:t>我部门202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我单位不是行政机关，也不是参照公务员管理事业单位，没有机关运行经费支出</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highlight w:val="none"/>
        </w:rPr>
        <w:t>单位按照《中共许昌市委 许昌市人民政府关于全面实施预算绩效管理的实施意见》（许发〔2021〕13号）文件要求，对本单位整体支出和项目支出开展全过程预算绩效管理。2020年我单位纳</w:t>
      </w:r>
      <w:r>
        <w:rPr>
          <w:rFonts w:hint="eastAsia" w:ascii="仿宋_GB2312" w:hAnsi="仿宋_GB2312" w:eastAsia="仿宋_GB2312" w:cs="仿宋_GB2312"/>
          <w:sz w:val="32"/>
          <w:szCs w:val="32"/>
        </w:rPr>
        <w:t>入预算绩效管理的支出总额为</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rPr>
        <w:t>万元。开展项目绩效自评项目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rPr>
        <w:t>万元；纳入重点绩效评价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按照《许昌市财政局关于开展2021年度市级预算绩效自评工作的通知》（许财效）〔2021〕1号）等文件精神，我</w:t>
      </w:r>
      <w:r>
        <w:rPr>
          <w:rFonts w:hint="eastAsia" w:ascii="仿宋_GB2312" w:hAnsi="仿宋_GB2312" w:eastAsia="仿宋_GB2312" w:cs="仿宋_GB2312"/>
          <w:sz w:val="32"/>
          <w:szCs w:val="32"/>
          <w:highlight w:val="none"/>
        </w:rPr>
        <w:t>单位对本单位整体绩效目标和项目支出绩效目标进行了自评。一是单位整体绩效自评情况</w:t>
      </w:r>
      <w:r>
        <w:rPr>
          <w:rFonts w:hint="eastAsia" w:ascii="仿宋_GB2312" w:hAnsi="仿宋_GB2312" w:eastAsia="仿宋_GB2312" w:cs="仿宋_GB2312"/>
          <w:sz w:val="32"/>
          <w:szCs w:val="32"/>
          <w:highlight w:val="none"/>
          <w:lang w:eastAsia="zh-CN"/>
        </w:rPr>
        <w:t>：</w:t>
      </w:r>
      <w:r>
        <w:rPr>
          <w:rFonts w:hint="eastAsia" w:ascii="仿宋" w:hAnsi="仿宋" w:eastAsia="仿宋"/>
          <w:sz w:val="32"/>
          <w:szCs w:val="32"/>
        </w:rPr>
        <w:t>2021年度</w:t>
      </w:r>
      <w:r>
        <w:rPr>
          <w:rFonts w:hint="eastAsia" w:ascii="仿宋" w:hAnsi="仿宋" w:eastAsia="仿宋"/>
          <w:sz w:val="32"/>
          <w:szCs w:val="32"/>
          <w:lang w:eastAsia="zh-CN"/>
        </w:rPr>
        <w:t>引智专项经费</w:t>
      </w:r>
      <w:r>
        <w:rPr>
          <w:rFonts w:hint="eastAsia" w:ascii="仿宋" w:hAnsi="仿宋" w:eastAsia="仿宋"/>
          <w:sz w:val="32"/>
          <w:szCs w:val="32"/>
        </w:rPr>
        <w:t>计划安排</w:t>
      </w:r>
      <w:r>
        <w:rPr>
          <w:rFonts w:hint="eastAsia" w:ascii="仿宋" w:hAnsi="仿宋" w:eastAsia="仿宋"/>
          <w:sz w:val="32"/>
          <w:szCs w:val="32"/>
          <w:lang w:val="en-US" w:eastAsia="zh-CN"/>
        </w:rPr>
        <w:t>10</w:t>
      </w:r>
      <w:r>
        <w:rPr>
          <w:rFonts w:hint="eastAsia" w:ascii="仿宋" w:hAnsi="仿宋" w:eastAsia="仿宋"/>
          <w:sz w:val="32"/>
          <w:szCs w:val="32"/>
        </w:rPr>
        <w:t>万元，</w:t>
      </w:r>
      <w:r>
        <w:rPr>
          <w:rFonts w:hint="eastAsia" w:ascii="仿宋" w:hAnsi="仿宋" w:eastAsia="仿宋"/>
          <w:sz w:val="32"/>
          <w:szCs w:val="32"/>
          <w:lang w:eastAsia="zh-CN"/>
        </w:rPr>
        <w:t>财政实际拨付资金</w:t>
      </w:r>
      <w:r>
        <w:rPr>
          <w:rFonts w:hint="eastAsia" w:ascii="仿宋" w:hAnsi="仿宋" w:eastAsia="仿宋"/>
          <w:sz w:val="32"/>
          <w:szCs w:val="32"/>
          <w:lang w:val="en-US" w:eastAsia="zh-CN"/>
        </w:rPr>
        <w:t>10万元，本年度引智项目实际支出5.91万元，</w:t>
      </w:r>
      <w:r>
        <w:rPr>
          <w:rFonts w:hint="eastAsia" w:ascii="仿宋" w:hAnsi="仿宋" w:eastAsia="仿宋"/>
          <w:sz w:val="32"/>
          <w:szCs w:val="32"/>
        </w:rPr>
        <w:t>为我市工、农及医疗行业的用人单位</w:t>
      </w:r>
      <w:r>
        <w:rPr>
          <w:rFonts w:hint="eastAsia" w:ascii="仿宋" w:hAnsi="仿宋" w:eastAsia="仿宋"/>
          <w:sz w:val="32"/>
          <w:szCs w:val="32"/>
          <w:lang w:eastAsia="zh-CN"/>
        </w:rPr>
        <w:t>邀请到</w:t>
      </w:r>
      <w:r>
        <w:rPr>
          <w:rFonts w:hint="eastAsia" w:ascii="仿宋" w:hAnsi="仿宋" w:eastAsia="仿宋"/>
          <w:sz w:val="32"/>
          <w:szCs w:val="32"/>
          <w:lang w:val="en-US" w:eastAsia="zh-CN"/>
        </w:rPr>
        <w:t>12位高端</w:t>
      </w:r>
      <w:r>
        <w:rPr>
          <w:rFonts w:hint="eastAsia" w:ascii="仿宋" w:hAnsi="仿宋" w:eastAsia="仿宋"/>
          <w:sz w:val="32"/>
          <w:szCs w:val="32"/>
        </w:rPr>
        <w:t>外国专家，帮助企事业单位解决</w:t>
      </w:r>
      <w:r>
        <w:rPr>
          <w:rFonts w:hint="eastAsia" w:ascii="仿宋" w:hAnsi="仿宋" w:eastAsia="仿宋"/>
          <w:sz w:val="32"/>
          <w:szCs w:val="32"/>
          <w:lang w:eastAsia="zh-CN"/>
        </w:rPr>
        <w:t>了</w:t>
      </w:r>
      <w:r>
        <w:rPr>
          <w:rFonts w:hint="eastAsia" w:ascii="仿宋" w:hAnsi="仿宋" w:eastAsia="仿宋"/>
          <w:sz w:val="32"/>
          <w:szCs w:val="32"/>
        </w:rPr>
        <w:t>科研过程中的技术难题</w:t>
      </w:r>
      <w:r>
        <w:rPr>
          <w:rFonts w:hint="eastAsia" w:ascii="仿宋" w:hAnsi="仿宋" w:eastAsia="仿宋"/>
          <w:sz w:val="32"/>
          <w:szCs w:val="32"/>
          <w:lang w:eastAsia="zh-CN"/>
        </w:rPr>
        <w:t>，</w:t>
      </w:r>
      <w:r>
        <w:rPr>
          <w:rFonts w:hint="eastAsia" w:ascii="仿宋" w:hAnsi="仿宋" w:eastAsia="仿宋" w:cs="Times New Roman"/>
          <w:b w:val="0"/>
          <w:bCs/>
          <w:kern w:val="2"/>
          <w:sz w:val="32"/>
          <w:szCs w:val="32"/>
          <w:lang w:val="en-US" w:eastAsia="zh-CN" w:bidi="ar-SA"/>
        </w:rPr>
        <w:t>从预算执行、履职效能、管理效率和服务满意等方面综合评价，2021年部门整体支出资金项目绩效评价得分为88.5分</w:t>
      </w:r>
      <w:r>
        <w:rPr>
          <w:rFonts w:hint="eastAsia" w:ascii="仿宋_GB2312" w:hAnsi="仿宋_GB2312" w:eastAsia="仿宋_GB2312" w:cs="仿宋_GB2312"/>
          <w:sz w:val="32"/>
          <w:szCs w:val="32"/>
          <w:highlight w:val="none"/>
        </w:rPr>
        <w:t>。二是项目绩效自评情况</w:t>
      </w:r>
      <w:r>
        <w:rPr>
          <w:rFonts w:hint="eastAsia" w:ascii="仿宋_GB2312" w:hAnsi="仿宋_GB2312" w:eastAsia="仿宋_GB2312" w:cs="仿宋_GB2312"/>
          <w:sz w:val="32"/>
          <w:szCs w:val="32"/>
          <w:highlight w:val="none"/>
          <w:lang w:eastAsia="zh-CN"/>
        </w:rPr>
        <w:t>：</w:t>
      </w:r>
      <w:r>
        <w:rPr>
          <w:rFonts w:hint="eastAsia" w:ascii="仿宋" w:hAnsi="仿宋" w:eastAsia="仿宋" w:cs="Times New Roman"/>
          <w:sz w:val="32"/>
          <w:szCs w:val="32"/>
        </w:rPr>
        <w:t>在本次绩效评价过程中</w:t>
      </w:r>
      <w:r>
        <w:rPr>
          <w:rFonts w:hint="eastAsia" w:ascii="仿宋" w:hAnsi="仿宋" w:eastAsia="仿宋" w:cs="Times New Roman"/>
          <w:sz w:val="32"/>
          <w:szCs w:val="32"/>
          <w:lang w:eastAsia="zh-CN"/>
        </w:rPr>
        <w:t>，我单位共</w:t>
      </w:r>
      <w:r>
        <w:rPr>
          <w:rFonts w:hint="eastAsia" w:ascii="仿宋" w:hAnsi="仿宋" w:eastAsia="仿宋" w:cs="Times New Roman"/>
          <w:sz w:val="32"/>
          <w:szCs w:val="32"/>
        </w:rPr>
        <w:t>选取了</w:t>
      </w:r>
      <w:r>
        <w:rPr>
          <w:rFonts w:hint="eastAsia" w:ascii="仿宋" w:hAnsi="仿宋" w:eastAsia="仿宋" w:cs="Times New Roman"/>
          <w:sz w:val="32"/>
          <w:szCs w:val="32"/>
          <w:lang w:val="en-US" w:eastAsia="zh-CN"/>
        </w:rPr>
        <w:t>12家用人单位</w:t>
      </w:r>
      <w:r>
        <w:rPr>
          <w:rFonts w:hint="eastAsia" w:ascii="仿宋" w:hAnsi="仿宋" w:eastAsia="仿宋" w:cs="Times New Roman"/>
          <w:sz w:val="32"/>
          <w:szCs w:val="32"/>
          <w:lang w:eastAsia="zh-CN"/>
        </w:rPr>
        <w:t>作为调查访问的对象</w:t>
      </w:r>
      <w:r>
        <w:rPr>
          <w:rFonts w:hint="eastAsia" w:ascii="仿宋" w:hAnsi="仿宋" w:eastAsia="仿宋" w:cs="Times New Roman"/>
          <w:sz w:val="32"/>
          <w:szCs w:val="32"/>
        </w:rPr>
        <w:t>，</w:t>
      </w:r>
      <w:r>
        <w:rPr>
          <w:rFonts w:hint="eastAsia" w:ascii="仿宋" w:hAnsi="仿宋" w:eastAsia="仿宋" w:cs="Times New Roman"/>
          <w:sz w:val="32"/>
          <w:szCs w:val="32"/>
          <w:lang w:eastAsia="zh-CN"/>
        </w:rPr>
        <w:t>进行评价基础数据的收</w:t>
      </w:r>
      <w:r>
        <w:rPr>
          <w:rFonts w:hint="eastAsia" w:ascii="仿宋" w:hAnsi="仿宋" w:eastAsia="仿宋" w:cs="Times New Roman"/>
          <w:sz w:val="32"/>
          <w:szCs w:val="32"/>
          <w:lang w:val="en-US" w:eastAsia="zh-CN"/>
        </w:rPr>
        <w:t>集</w:t>
      </w:r>
      <w:r>
        <w:rPr>
          <w:rFonts w:hint="eastAsia" w:ascii="仿宋" w:hAnsi="仿宋" w:eastAsia="仿宋" w:cs="Times New Roman"/>
          <w:sz w:val="32"/>
          <w:szCs w:val="32"/>
        </w:rPr>
        <w:t>，通过</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大类</w:t>
      </w:r>
      <w:r>
        <w:rPr>
          <w:rFonts w:hint="eastAsia" w:ascii="仿宋" w:hAnsi="仿宋" w:eastAsia="仿宋" w:cs="Times New Roman"/>
          <w:sz w:val="32"/>
          <w:szCs w:val="32"/>
          <w:lang w:val="en-US" w:eastAsia="zh-CN"/>
        </w:rPr>
        <w:t>14</w:t>
      </w:r>
      <w:r>
        <w:rPr>
          <w:rFonts w:hint="eastAsia" w:ascii="仿宋" w:hAnsi="仿宋" w:eastAsia="仿宋" w:cs="Times New Roman"/>
          <w:sz w:val="32"/>
          <w:szCs w:val="32"/>
        </w:rPr>
        <w:t>项指标评价打分，对“</w:t>
      </w:r>
      <w:r>
        <w:rPr>
          <w:rFonts w:hint="eastAsia" w:ascii="仿宋" w:hAnsi="仿宋" w:eastAsia="仿宋" w:cs="Times New Roman"/>
          <w:sz w:val="32"/>
          <w:szCs w:val="32"/>
          <w:lang w:val="en-US" w:eastAsia="zh-CN"/>
        </w:rPr>
        <w:t>2021年引智项目</w:t>
      </w:r>
      <w:r>
        <w:rPr>
          <w:rFonts w:hint="eastAsia" w:ascii="仿宋" w:hAnsi="仿宋" w:eastAsia="仿宋" w:cs="Times New Roman"/>
          <w:sz w:val="32"/>
          <w:szCs w:val="32"/>
          <w:lang w:eastAsia="zh-CN"/>
        </w:rPr>
        <w:t>专项</w:t>
      </w:r>
      <w:r>
        <w:rPr>
          <w:rFonts w:hint="eastAsia" w:ascii="仿宋" w:hAnsi="仿宋" w:eastAsia="仿宋" w:cs="Times New Roman"/>
          <w:sz w:val="32"/>
          <w:szCs w:val="32"/>
        </w:rPr>
        <w:t>资金”的</w:t>
      </w:r>
      <w:r>
        <w:rPr>
          <w:rFonts w:hint="eastAsia" w:ascii="仿宋" w:hAnsi="仿宋" w:eastAsia="仿宋" w:cs="Times New Roman"/>
          <w:sz w:val="32"/>
          <w:szCs w:val="32"/>
          <w:lang w:eastAsia="zh-CN"/>
        </w:rPr>
        <w:t>产出、效益、满意度</w:t>
      </w:r>
      <w:r>
        <w:rPr>
          <w:rFonts w:hint="eastAsia" w:ascii="仿宋" w:hAnsi="仿宋" w:eastAsia="仿宋" w:cs="Times New Roman"/>
          <w:sz w:val="32"/>
          <w:szCs w:val="32"/>
        </w:rPr>
        <w:t>等各方面进行</w:t>
      </w:r>
      <w:r>
        <w:rPr>
          <w:rFonts w:hint="eastAsia" w:ascii="仿宋" w:hAnsi="仿宋" w:eastAsia="仿宋" w:cs="Times New Roman"/>
          <w:sz w:val="32"/>
          <w:szCs w:val="32"/>
          <w:lang w:eastAsia="zh-CN"/>
        </w:rPr>
        <w:t>了</w:t>
      </w:r>
      <w:r>
        <w:rPr>
          <w:rFonts w:hint="eastAsia" w:ascii="仿宋" w:hAnsi="仿宋" w:eastAsia="仿宋" w:cs="Times New Roman"/>
          <w:sz w:val="32"/>
          <w:szCs w:val="32"/>
        </w:rPr>
        <w:t>综合评价</w:t>
      </w:r>
      <w:r>
        <w:rPr>
          <w:rFonts w:hint="eastAsia" w:ascii="仿宋" w:hAnsi="仿宋" w:eastAsia="仿宋" w:cs="Times New Roman"/>
          <w:sz w:val="32"/>
          <w:szCs w:val="32"/>
          <w:lang w:eastAsia="zh-CN"/>
        </w:rPr>
        <w:t>，最终得分为</w:t>
      </w:r>
      <w:r>
        <w:rPr>
          <w:rFonts w:hint="eastAsia" w:ascii="仿宋" w:hAnsi="仿宋" w:eastAsia="仿宋" w:cs="Times New Roman"/>
          <w:sz w:val="32"/>
          <w:szCs w:val="32"/>
          <w:lang w:val="en-US" w:eastAsia="zh-CN"/>
        </w:rPr>
        <w:t>70分</w:t>
      </w:r>
      <w:r>
        <w:rPr>
          <w:rFonts w:hint="eastAsia" w:ascii="仿宋_GB2312" w:hAnsi="仿宋_GB2312" w:eastAsia="仿宋_GB2312" w:cs="仿宋_GB2312"/>
          <w:sz w:val="32"/>
          <w:szCs w:val="32"/>
          <w:highlight w:val="none"/>
        </w:rPr>
        <w:t>。我单位共有</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个项目批复了绩效目标。其中：</w:t>
      </w:r>
    </w:p>
    <w:p>
      <w:pPr>
        <w:widowControl/>
        <w:spacing w:line="360" w:lineRule="auto"/>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许昌市外国专家局</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w:t>
      </w:r>
    </w:p>
    <w:p>
      <w:pPr>
        <w:widowControl/>
        <w:spacing w:line="360" w:lineRule="auto"/>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基于项目预期目标的实现程度，对2021年度项目支出绩效进行自评，绩效自评平均得分为</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个项目评价等级为“优”、</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个项目评价等级为“良”、</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个项目评价等级为“差”。</w:t>
      </w:r>
    </w:p>
    <w:p>
      <w:pPr>
        <w:widowControl/>
        <w:spacing w:line="360" w:lineRule="auto"/>
        <w:ind w:firstLine="960" w:firstLineChars="300"/>
        <w:rPr>
          <w:rFonts w:hint="eastAsia" w:ascii="仿宋_GB2312" w:hAnsi="仿宋_GB2312" w:eastAsia="仿宋_GB2312" w:cs="仿宋_GB2312"/>
          <w:sz w:val="32"/>
          <w:szCs w:val="32"/>
          <w:highlight w:val="none"/>
        </w:rPr>
      </w:pPr>
    </w:p>
    <w:p>
      <w:pPr>
        <w:widowControl/>
        <w:spacing w:line="360" w:lineRule="auto"/>
        <w:ind w:firstLine="964" w:firstLineChars="3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（三）重点绩效评价结果。</w:t>
      </w:r>
    </w:p>
    <w:p>
      <w:pPr>
        <w:widowControl/>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我单位选取</w:t>
      </w:r>
      <w:r>
        <w:rPr>
          <w:rFonts w:hint="eastAsia" w:ascii="仿宋_GB2312" w:hAnsi="仿宋_GB2312" w:eastAsia="仿宋_GB2312" w:cs="仿宋_GB2312"/>
          <w:sz w:val="32"/>
          <w:szCs w:val="32"/>
          <w:highlight w:val="none"/>
          <w:lang w:val="en-US" w:eastAsia="zh-CN"/>
        </w:rPr>
        <w:t>0个</w:t>
      </w:r>
      <w:r>
        <w:rPr>
          <w:rFonts w:hint="eastAsia" w:ascii="仿宋_GB2312" w:hAnsi="仿宋_GB2312" w:eastAsia="仿宋_GB2312" w:cs="仿宋_GB2312"/>
          <w:sz w:val="32"/>
          <w:szCs w:val="32"/>
          <w:highlight w:val="none"/>
        </w:rPr>
        <w:t>项目开展了部门重点评价，评价得分：</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分，等次为“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”。许昌市财政局选取我单位：</w:t>
      </w:r>
      <w:r>
        <w:rPr>
          <w:rFonts w:hint="eastAsia" w:ascii="仿宋_GB2312" w:hAnsi="仿宋_GB2312" w:eastAsia="仿宋_GB2312" w:cs="仿宋_GB2312"/>
          <w:sz w:val="32"/>
          <w:szCs w:val="32"/>
          <w:highlight w:val="none"/>
          <w:lang w:val="en-US" w:eastAsia="zh-CN"/>
        </w:rPr>
        <w:t>0个</w:t>
      </w:r>
      <w:r>
        <w:rPr>
          <w:rFonts w:hint="eastAsia" w:ascii="仿宋_GB2312" w:hAnsi="仿宋_GB2312" w:eastAsia="仿宋_GB2312" w:cs="仿宋_GB2312"/>
          <w:sz w:val="32"/>
          <w:szCs w:val="32"/>
          <w:highlight w:val="none"/>
        </w:rPr>
        <w:t>项目开展财政重点评价。</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我单位</w:t>
      </w:r>
      <w:r>
        <w:rPr>
          <w:rFonts w:hint="eastAsia" w:ascii="仿宋_GB2312" w:hAnsi="仿宋_GB2312" w:eastAsia="仿宋_GB2312" w:cs="仿宋_GB2312"/>
          <w:sz w:val="32"/>
          <w:szCs w:val="32"/>
          <w:highlight w:val="none"/>
          <w:lang w:eastAsia="zh-CN"/>
        </w:rPr>
        <w:t>没有开展重点绩效评价的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00"/>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- 19 -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0270E8"/>
    <w:rsid w:val="000270E8"/>
    <w:rsid w:val="000335B5"/>
    <w:rsid w:val="00057AFD"/>
    <w:rsid w:val="00076410"/>
    <w:rsid w:val="00081835"/>
    <w:rsid w:val="000904B3"/>
    <w:rsid w:val="000C073B"/>
    <w:rsid w:val="000C1142"/>
    <w:rsid w:val="001003F8"/>
    <w:rsid w:val="00127112"/>
    <w:rsid w:val="00135B23"/>
    <w:rsid w:val="00144159"/>
    <w:rsid w:val="001718A8"/>
    <w:rsid w:val="00182842"/>
    <w:rsid w:val="00184D53"/>
    <w:rsid w:val="001905F2"/>
    <w:rsid w:val="00197592"/>
    <w:rsid w:val="001C32F0"/>
    <w:rsid w:val="001D61B1"/>
    <w:rsid w:val="001F1D05"/>
    <w:rsid w:val="001F5040"/>
    <w:rsid w:val="002006EB"/>
    <w:rsid w:val="00214AE1"/>
    <w:rsid w:val="00260D70"/>
    <w:rsid w:val="00281114"/>
    <w:rsid w:val="00282C7F"/>
    <w:rsid w:val="00287811"/>
    <w:rsid w:val="00292B4B"/>
    <w:rsid w:val="002A11A8"/>
    <w:rsid w:val="002A6352"/>
    <w:rsid w:val="002B3F94"/>
    <w:rsid w:val="002C171D"/>
    <w:rsid w:val="002E6A86"/>
    <w:rsid w:val="00304D04"/>
    <w:rsid w:val="00305B88"/>
    <w:rsid w:val="00315FEB"/>
    <w:rsid w:val="0041489C"/>
    <w:rsid w:val="0042585F"/>
    <w:rsid w:val="00445CAC"/>
    <w:rsid w:val="00472E19"/>
    <w:rsid w:val="004842E3"/>
    <w:rsid w:val="00487869"/>
    <w:rsid w:val="004D5275"/>
    <w:rsid w:val="004F63DB"/>
    <w:rsid w:val="00505190"/>
    <w:rsid w:val="00507364"/>
    <w:rsid w:val="00546F7C"/>
    <w:rsid w:val="005A0C2F"/>
    <w:rsid w:val="005B1AE2"/>
    <w:rsid w:val="005E3397"/>
    <w:rsid w:val="005E5AD2"/>
    <w:rsid w:val="00607D67"/>
    <w:rsid w:val="006228C4"/>
    <w:rsid w:val="006268A8"/>
    <w:rsid w:val="00636C37"/>
    <w:rsid w:val="006512DD"/>
    <w:rsid w:val="00656BEF"/>
    <w:rsid w:val="00656D75"/>
    <w:rsid w:val="00657E86"/>
    <w:rsid w:val="00673EF7"/>
    <w:rsid w:val="006841E9"/>
    <w:rsid w:val="0069449E"/>
    <w:rsid w:val="006C07F0"/>
    <w:rsid w:val="006C644A"/>
    <w:rsid w:val="006C7D84"/>
    <w:rsid w:val="007148E8"/>
    <w:rsid w:val="00732F3E"/>
    <w:rsid w:val="00733DAA"/>
    <w:rsid w:val="00742BA0"/>
    <w:rsid w:val="00753545"/>
    <w:rsid w:val="00764156"/>
    <w:rsid w:val="007706D7"/>
    <w:rsid w:val="007879ED"/>
    <w:rsid w:val="007A48A3"/>
    <w:rsid w:val="007C029F"/>
    <w:rsid w:val="007C7F49"/>
    <w:rsid w:val="007D2A21"/>
    <w:rsid w:val="00843461"/>
    <w:rsid w:val="00847F50"/>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C65FB"/>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0FC5"/>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4E07B06"/>
    <w:rsid w:val="161C2DFF"/>
    <w:rsid w:val="16373578"/>
    <w:rsid w:val="16D3336B"/>
    <w:rsid w:val="17200028"/>
    <w:rsid w:val="17806C36"/>
    <w:rsid w:val="17A74F62"/>
    <w:rsid w:val="18A47774"/>
    <w:rsid w:val="1A8D28EB"/>
    <w:rsid w:val="1A9F2D78"/>
    <w:rsid w:val="1B2E6FD8"/>
    <w:rsid w:val="1B877D21"/>
    <w:rsid w:val="1BA23D33"/>
    <w:rsid w:val="1C4319A9"/>
    <w:rsid w:val="1E2C2094"/>
    <w:rsid w:val="1E443B4B"/>
    <w:rsid w:val="1E994F4A"/>
    <w:rsid w:val="1EAF0224"/>
    <w:rsid w:val="1F2230A4"/>
    <w:rsid w:val="20210932"/>
    <w:rsid w:val="202448E0"/>
    <w:rsid w:val="20F614FE"/>
    <w:rsid w:val="21302EEA"/>
    <w:rsid w:val="22376FB5"/>
    <w:rsid w:val="23E152D7"/>
    <w:rsid w:val="23EE2489"/>
    <w:rsid w:val="255D43C8"/>
    <w:rsid w:val="25A22934"/>
    <w:rsid w:val="26714EF8"/>
    <w:rsid w:val="26876BDD"/>
    <w:rsid w:val="2714632A"/>
    <w:rsid w:val="27541E73"/>
    <w:rsid w:val="27A5D483"/>
    <w:rsid w:val="27B0539E"/>
    <w:rsid w:val="29365CF8"/>
    <w:rsid w:val="299469B3"/>
    <w:rsid w:val="2A805789"/>
    <w:rsid w:val="2ADC0D75"/>
    <w:rsid w:val="2B4A0E52"/>
    <w:rsid w:val="2C975890"/>
    <w:rsid w:val="2DEF21BB"/>
    <w:rsid w:val="2E4A2F05"/>
    <w:rsid w:val="2ECC1061"/>
    <w:rsid w:val="2F976672"/>
    <w:rsid w:val="2F9E5EE4"/>
    <w:rsid w:val="2FA476AD"/>
    <w:rsid w:val="303F7540"/>
    <w:rsid w:val="31DD00BF"/>
    <w:rsid w:val="3293174C"/>
    <w:rsid w:val="32BB38D4"/>
    <w:rsid w:val="32C9376D"/>
    <w:rsid w:val="33780472"/>
    <w:rsid w:val="33AF0905"/>
    <w:rsid w:val="355932F4"/>
    <w:rsid w:val="35611882"/>
    <w:rsid w:val="36746FC3"/>
    <w:rsid w:val="368763AE"/>
    <w:rsid w:val="395D59E7"/>
    <w:rsid w:val="39A03C54"/>
    <w:rsid w:val="39A93932"/>
    <w:rsid w:val="3A915562"/>
    <w:rsid w:val="3B8D4765"/>
    <w:rsid w:val="3C000DBA"/>
    <w:rsid w:val="3DC045D3"/>
    <w:rsid w:val="3E504FFB"/>
    <w:rsid w:val="3E615CD0"/>
    <w:rsid w:val="3E9C47F6"/>
    <w:rsid w:val="3EF7EB2D"/>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24C36F4"/>
    <w:rsid w:val="53906AE1"/>
    <w:rsid w:val="54F46F60"/>
    <w:rsid w:val="55A37BEA"/>
    <w:rsid w:val="56362CD2"/>
    <w:rsid w:val="5784687B"/>
    <w:rsid w:val="57846959"/>
    <w:rsid w:val="578E6A87"/>
    <w:rsid w:val="57B55432"/>
    <w:rsid w:val="5AC2203A"/>
    <w:rsid w:val="5BC16969"/>
    <w:rsid w:val="5C5638AF"/>
    <w:rsid w:val="5CBB3334"/>
    <w:rsid w:val="5D115FAF"/>
    <w:rsid w:val="5FBD12E8"/>
    <w:rsid w:val="62811722"/>
    <w:rsid w:val="62E75A72"/>
    <w:rsid w:val="630C5DBF"/>
    <w:rsid w:val="64571880"/>
    <w:rsid w:val="649125B6"/>
    <w:rsid w:val="652F4C1A"/>
    <w:rsid w:val="666D37F1"/>
    <w:rsid w:val="67087D8F"/>
    <w:rsid w:val="671F687E"/>
    <w:rsid w:val="67F415F8"/>
    <w:rsid w:val="682640D1"/>
    <w:rsid w:val="684B73E5"/>
    <w:rsid w:val="6A047A2A"/>
    <w:rsid w:val="6EFB7548"/>
    <w:rsid w:val="6F3831C3"/>
    <w:rsid w:val="6F8B71C1"/>
    <w:rsid w:val="6FDBB564"/>
    <w:rsid w:val="70753482"/>
    <w:rsid w:val="707B522A"/>
    <w:rsid w:val="73194D05"/>
    <w:rsid w:val="73A83B0E"/>
    <w:rsid w:val="744D3EF9"/>
    <w:rsid w:val="74794411"/>
    <w:rsid w:val="75867C40"/>
    <w:rsid w:val="75B10B26"/>
    <w:rsid w:val="75EC8782"/>
    <w:rsid w:val="76432199"/>
    <w:rsid w:val="76F44829"/>
    <w:rsid w:val="77A267C0"/>
    <w:rsid w:val="78882278"/>
    <w:rsid w:val="78B118A6"/>
    <w:rsid w:val="79135044"/>
    <w:rsid w:val="79E82FA9"/>
    <w:rsid w:val="7A7D0F99"/>
    <w:rsid w:val="7E4A0E7C"/>
    <w:rsid w:val="7EFD449D"/>
    <w:rsid w:val="EF8F12CC"/>
    <w:rsid w:val="FFD76D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7179</Words>
  <Characters>8138</Characters>
  <Lines>77</Lines>
  <Paragraphs>21</Paragraphs>
  <TotalTime>30.3333333333333</TotalTime>
  <ScaleCrop>false</ScaleCrop>
  <LinksUpToDate>false</LinksUpToDate>
  <CharactersWithSpaces>9080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2022-09-07T17:30:00Z</dcterms:created>
  <dc:creator>管理者</dc:creator>
  <cp:lastModifiedBy>悟の</cp:lastModifiedBy>
  <cp:lastPrinted>2018-07-24T18:50:00Z</cp:lastPrinted>
  <dcterms:modified xsi:type="dcterms:W3CDTF">2023-05-31T08:22:29Z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312C279C76F647FCA191CA7AA9614C59_13</vt:lpwstr>
  </property>
</Properties>
</file>