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许昌市城市管理局</w:t>
      </w:r>
      <w:r>
        <w:rPr>
          <w:rFonts w:hint="eastAsia" w:ascii="黑体" w:hAnsi="黑体" w:eastAsia="黑体" w:cs="黑体"/>
          <w:sz w:val="52"/>
          <w:szCs w:val="52"/>
          <w:highlight w:val="none"/>
        </w:rPr>
        <w:t>（</w:t>
      </w:r>
      <w:r>
        <w:rPr>
          <w:rFonts w:hint="eastAsia" w:ascii="黑体" w:hAnsi="黑体" w:eastAsia="黑体" w:cs="黑体"/>
          <w:sz w:val="52"/>
          <w:szCs w:val="52"/>
          <w:highlight w:val="none"/>
          <w:lang w:eastAsia="zh-CN"/>
        </w:rPr>
        <w:t>本级</w:t>
      </w:r>
      <w:r>
        <w:rPr>
          <w:rFonts w:hint="eastAsia" w:ascii="黑体" w:hAnsi="黑体" w:eastAsia="黑体" w:cs="黑体"/>
          <w:sz w:val="52"/>
          <w:szCs w:val="52"/>
          <w:highlight w:val="none"/>
        </w:rPr>
        <w:t>）</w:t>
      </w: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许昌市城市管理局</w:t>
      </w:r>
      <w:r>
        <w:rPr>
          <w:rFonts w:hint="eastAsia" w:ascii="黑体" w:hAnsi="黑体" w:eastAsia="黑体" w:cs="黑体"/>
          <w:sz w:val="32"/>
          <w:szCs w:val="32"/>
          <w:highlight w:val="none"/>
        </w:rPr>
        <w:t>（</w:t>
      </w:r>
      <w:r>
        <w:rPr>
          <w:rFonts w:hint="eastAsia" w:ascii="黑体" w:hAnsi="黑体" w:eastAsia="黑体" w:cs="黑体"/>
          <w:sz w:val="32"/>
          <w:szCs w:val="32"/>
          <w:highlight w:val="none"/>
          <w:lang w:eastAsia="zh-CN"/>
        </w:rPr>
        <w:t>本级</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48"/>
          <w:szCs w:val="4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许昌市城市管理局</w:t>
      </w:r>
      <w:r>
        <w:rPr>
          <w:rFonts w:hint="eastAsia" w:ascii="黑体" w:hAnsi="黑体" w:eastAsia="黑体" w:cs="黑体"/>
          <w:sz w:val="48"/>
          <w:szCs w:val="48"/>
          <w:highlight w:val="none"/>
        </w:rPr>
        <w:t>（</w:t>
      </w:r>
      <w:r>
        <w:rPr>
          <w:rFonts w:hint="eastAsia" w:ascii="黑体" w:hAnsi="黑体" w:eastAsia="黑体" w:cs="黑体"/>
          <w:sz w:val="48"/>
          <w:szCs w:val="48"/>
          <w:highlight w:val="none"/>
          <w:lang w:eastAsia="zh-CN"/>
        </w:rPr>
        <w:t>本级</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wordWrap/>
        <w:adjustRightInd/>
        <w:spacing w:before="0" w:after="0" w:line="240" w:lineRule="auto"/>
        <w:ind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）贯彻执行</w:t>
      </w:r>
      <w:r>
        <w:rPr>
          <w:rFonts w:hint="eastAsia" w:ascii="仿宋_GB2312" w:hAnsi="仿宋_GB2312" w:eastAsia="仿宋_GB2312" w:cs="仿宋_GB2312"/>
          <w:sz w:val="32"/>
          <w:szCs w:val="32"/>
          <w:lang w:eastAsia="zh-CN"/>
        </w:rPr>
        <w:t>上级</w:t>
      </w:r>
      <w:r>
        <w:rPr>
          <w:rFonts w:hint="eastAsia" w:ascii="仿宋_GB2312" w:hAnsi="仿宋_GB2312" w:eastAsia="仿宋_GB2312" w:cs="仿宋_GB2312"/>
          <w:sz w:val="32"/>
          <w:szCs w:val="32"/>
        </w:rPr>
        <w:t>关于城市管理和城市管理行政执法方面的法律法规和方针政策；研究拟订全市城市管理规范性文件，编制城市管理总体规划、中长期发展规划、专项规划和年度计划，并组织实施和监督检查。</w:t>
      </w:r>
    </w:p>
    <w:p>
      <w:pPr>
        <w:wordWrap/>
        <w:adjustRightInd/>
        <w:spacing w:before="0" w:after="0" w:line="240" w:lineRule="auto"/>
        <w:ind w:right="0"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制定全市城市管理和城市管理综合执法工作规范和执法行为规范，组织开展业务培训、综合考核、法律法规普及和宣传教育工作。</w:t>
      </w:r>
    </w:p>
    <w:p>
      <w:pPr>
        <w:wordWrap/>
        <w:adjustRightInd/>
        <w:spacing w:before="0" w:after="0" w:line="240" w:lineRule="auto"/>
        <w:ind w:right="0"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负责全市城市管理和城市管理综合执法的统筹协调、组织调度和监督考核；负责全市城市管理和城市管理综合执法行政复议和行政诉讼工作的监督指导；负责全市城市管理综合执法机构依法行政和严格、规范、文明执法工作的监督指导；负责全市跨区域城市管理综合执法重大案件的查纠工作。</w:t>
      </w:r>
    </w:p>
    <w:p>
      <w:pPr>
        <w:wordWrap/>
        <w:adjustRightInd/>
        <w:spacing w:before="0" w:after="0" w:line="240" w:lineRule="auto"/>
        <w:ind w:right="0"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（四）负责行使住房城乡建设领域法律法规规章规定的全部行政处罚权及相应的行政强制权。</w:t>
      </w:r>
    </w:p>
    <w:p>
      <w:pPr>
        <w:wordWrap/>
        <w:adjustRightInd/>
        <w:spacing w:before="0" w:after="0" w:line="240" w:lineRule="auto"/>
        <w:ind w:right="0" w:firstLine="640"/>
        <w:textAlignment w:val="auto"/>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具体负责</w:t>
      </w:r>
      <w:r>
        <w:rPr>
          <w:rFonts w:hint="eastAsia" w:ascii="仿宋_GB2312" w:hAnsi="仿宋_GB2312" w:eastAsia="仿宋_GB2312" w:cs="仿宋_GB2312"/>
          <w:color w:val="auto"/>
          <w:sz w:val="32"/>
          <w:szCs w:val="32"/>
          <w:u w:val="none" w:color="auto"/>
        </w:rPr>
        <w:t>行使市建成区内房地产市场方面未经许可销售房屋、未取得资质证书或超越资质从事房地产开发经营等行为的行政处罚权</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rPr>
        <w:t>行使市建成区内建筑市场方面由市本级及以上财政投资的建设工程项目未经许可违法建设行为的行政处罚权</w:t>
      </w:r>
      <w:r>
        <w:rPr>
          <w:rFonts w:hint="eastAsia" w:ascii="仿宋_GB2312" w:hAnsi="仿宋_GB2312" w:eastAsia="仿宋_GB2312" w:cs="仿宋_GB2312"/>
          <w:color w:val="auto"/>
          <w:sz w:val="32"/>
          <w:szCs w:val="32"/>
          <w:u w:val="none" w:color="auto"/>
          <w:lang w:val="en-US" w:eastAsia="zh-CN"/>
        </w:rPr>
        <w:t>;行使市建成区内</w:t>
      </w:r>
      <w:r>
        <w:rPr>
          <w:rFonts w:hint="eastAsia" w:ascii="仿宋_GB2312" w:hAnsi="仿宋_GB2312" w:eastAsia="仿宋_GB2312" w:cs="仿宋_GB2312"/>
          <w:color w:val="auto"/>
          <w:sz w:val="32"/>
          <w:szCs w:val="32"/>
          <w:u w:val="none" w:color="auto"/>
          <w:lang w:eastAsia="zh-CN"/>
        </w:rPr>
        <w:t>工程质量监督方面的行政处罚权</w:t>
      </w:r>
      <w:r>
        <w:rPr>
          <w:rFonts w:hint="eastAsia" w:ascii="仿宋_GB2312" w:hAnsi="仿宋_GB2312" w:eastAsia="仿宋_GB2312" w:cs="仿宋_GB2312"/>
          <w:color w:val="auto"/>
          <w:sz w:val="32"/>
          <w:szCs w:val="32"/>
          <w:u w:val="none" w:color="auto"/>
        </w:rPr>
        <w:t>；行使</w:t>
      </w:r>
      <w:r>
        <w:rPr>
          <w:rFonts w:hint="eastAsia" w:ascii="仿宋_GB2312" w:hAnsi="仿宋_GB2312" w:eastAsia="仿宋_GB2312" w:cs="仿宋_GB2312"/>
          <w:color w:val="auto"/>
          <w:sz w:val="32"/>
          <w:szCs w:val="32"/>
          <w:u w:val="none" w:color="auto"/>
          <w:lang w:eastAsia="zh-CN"/>
        </w:rPr>
        <w:t>市管区域内</w:t>
      </w:r>
      <w:r>
        <w:rPr>
          <w:rFonts w:hint="eastAsia" w:ascii="仿宋_GB2312" w:hAnsi="仿宋_GB2312" w:eastAsia="仿宋_GB2312" w:cs="仿宋_GB2312"/>
          <w:color w:val="auto"/>
          <w:sz w:val="32"/>
          <w:szCs w:val="32"/>
          <w:u w:val="none" w:color="auto"/>
        </w:rPr>
        <w:t>建筑工地扬尘污染、噪音污染、文明施工管理违法违规行为的行政处罚权。</w:t>
      </w:r>
    </w:p>
    <w:p>
      <w:pPr>
        <w:wordWrap/>
        <w:adjustRightInd/>
        <w:spacing w:before="0" w:after="0" w:line="240" w:lineRule="auto"/>
        <w:ind w:right="0" w:firstLine="640"/>
        <w:textAlignment w:val="auto"/>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lang w:val="en-US" w:eastAsia="zh-CN"/>
        </w:rPr>
        <w:t>2.</w:t>
      </w:r>
      <w:r>
        <w:rPr>
          <w:rFonts w:hint="eastAsia" w:ascii="仿宋_GB2312" w:hAnsi="仿宋_GB2312" w:eastAsia="仿宋_GB2312" w:cs="仿宋_GB2312"/>
          <w:color w:val="auto"/>
          <w:sz w:val="32"/>
          <w:szCs w:val="32"/>
          <w:u w:val="none" w:color="auto"/>
          <w:lang w:eastAsia="zh-CN"/>
        </w:rPr>
        <w:t>具体负责</w:t>
      </w:r>
      <w:r>
        <w:rPr>
          <w:rFonts w:hint="eastAsia" w:ascii="仿宋_GB2312" w:hAnsi="仿宋_GB2312" w:eastAsia="仿宋_GB2312" w:cs="仿宋_GB2312"/>
          <w:color w:val="auto"/>
          <w:sz w:val="32"/>
          <w:szCs w:val="32"/>
          <w:u w:val="none" w:color="auto"/>
        </w:rPr>
        <w:t>行使市建成区内建筑垃圾、生活垃圾、餐厨垃圾清运处置违法违规行为的行政处罚权；行使市建成区内违规设置大型户外广告、</w:t>
      </w:r>
      <w:r>
        <w:rPr>
          <w:rFonts w:hint="eastAsia" w:ascii="仿宋_GB2312" w:hAnsi="仿宋_GB2312" w:eastAsia="仿宋_GB2312" w:cs="仿宋_GB2312"/>
          <w:color w:val="auto"/>
          <w:sz w:val="32"/>
          <w:szCs w:val="32"/>
          <w:u w:val="none" w:color="auto"/>
          <w:lang w:eastAsia="zh-CN"/>
        </w:rPr>
        <w:t>临街</w:t>
      </w:r>
      <w:r>
        <w:rPr>
          <w:rFonts w:hint="eastAsia" w:ascii="仿宋_GB2312" w:hAnsi="仿宋_GB2312" w:eastAsia="仿宋_GB2312" w:cs="仿宋_GB2312"/>
          <w:color w:val="auto"/>
          <w:sz w:val="32"/>
          <w:szCs w:val="32"/>
          <w:u w:val="none" w:color="auto"/>
        </w:rPr>
        <w:t>建筑物</w:t>
      </w:r>
      <w:r>
        <w:rPr>
          <w:rFonts w:hint="eastAsia" w:ascii="仿宋_GB2312" w:hAnsi="仿宋_GB2312" w:eastAsia="仿宋_GB2312" w:cs="仿宋_GB2312"/>
          <w:color w:val="auto"/>
          <w:sz w:val="32"/>
          <w:szCs w:val="32"/>
          <w:u w:val="none" w:color="auto"/>
          <w:lang w:eastAsia="zh-CN"/>
        </w:rPr>
        <w:t>外部</w:t>
      </w:r>
      <w:r>
        <w:rPr>
          <w:rFonts w:hint="eastAsia" w:ascii="仿宋_GB2312" w:hAnsi="仿宋_GB2312" w:eastAsia="仿宋_GB2312" w:cs="仿宋_GB2312"/>
          <w:color w:val="auto"/>
          <w:sz w:val="32"/>
          <w:szCs w:val="32"/>
          <w:u w:val="none" w:color="auto"/>
        </w:rPr>
        <w:t>装修及城市家具行为的行政处罚权；行使市管区域内道路、广场、游园、绿化带等市容市貌和环境卫生管理方面的行政处罚权。</w:t>
      </w:r>
    </w:p>
    <w:p>
      <w:pPr>
        <w:wordWrap/>
        <w:adjustRightInd/>
        <w:spacing w:before="0" w:after="0" w:line="240" w:lineRule="auto"/>
        <w:ind w:right="0" w:firstLine="640"/>
        <w:textAlignment w:val="auto"/>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lang w:val="en-US" w:eastAsia="zh-CN"/>
        </w:rPr>
        <w:t>3.</w:t>
      </w:r>
      <w:r>
        <w:rPr>
          <w:rFonts w:hint="eastAsia" w:ascii="仿宋_GB2312" w:hAnsi="仿宋_GB2312" w:eastAsia="仿宋_GB2312" w:cs="仿宋_GB2312"/>
          <w:color w:val="auto"/>
          <w:sz w:val="32"/>
          <w:szCs w:val="32"/>
          <w:u w:val="none" w:color="auto"/>
          <w:lang w:eastAsia="zh-CN"/>
        </w:rPr>
        <w:t>具体负责</w:t>
      </w:r>
      <w:r>
        <w:rPr>
          <w:rFonts w:hint="eastAsia" w:ascii="仿宋_GB2312" w:hAnsi="仿宋_GB2312" w:eastAsia="仿宋_GB2312" w:cs="仿宋_GB2312"/>
          <w:color w:val="auto"/>
          <w:sz w:val="32"/>
          <w:szCs w:val="32"/>
          <w:u w:val="none" w:color="auto"/>
        </w:rPr>
        <w:t>行使市管区域内对企业和个人未经审批或未按批准要求占用、挖掘、破坏市政道路、桥梁及其他市政公用设施等违法违规行为的行政处罚权；行使公用事业管理方面除瓶装燃气和汽车加气站管理的行政处罚权；行使</w:t>
      </w:r>
      <w:r>
        <w:rPr>
          <w:rFonts w:hint="eastAsia" w:ascii="仿宋_GB2312" w:hAnsi="仿宋_GB2312" w:eastAsia="仿宋_GB2312" w:cs="仿宋_GB2312"/>
          <w:color w:val="auto"/>
          <w:sz w:val="32"/>
          <w:szCs w:val="32"/>
          <w:u w:val="none" w:color="auto"/>
          <w:lang w:eastAsia="zh-CN"/>
        </w:rPr>
        <w:t>市区</w:t>
      </w:r>
      <w:r>
        <w:rPr>
          <w:rFonts w:hint="eastAsia" w:ascii="仿宋_GB2312" w:hAnsi="仿宋_GB2312" w:eastAsia="仿宋_GB2312" w:cs="仿宋_GB2312"/>
          <w:color w:val="auto"/>
          <w:sz w:val="32"/>
          <w:szCs w:val="32"/>
          <w:u w:val="none" w:color="auto"/>
        </w:rPr>
        <w:t>的夜景亮化项目管理方面的行政处罚权。</w:t>
      </w:r>
    </w:p>
    <w:p>
      <w:pPr>
        <w:wordWrap/>
        <w:adjustRightInd/>
        <w:spacing w:before="0" w:after="0" w:line="240" w:lineRule="auto"/>
        <w:ind w:right="0" w:firstLine="640"/>
        <w:textAlignment w:val="auto"/>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lang w:val="en-US" w:eastAsia="zh-CN"/>
        </w:rPr>
        <w:t>4.</w:t>
      </w:r>
      <w:r>
        <w:rPr>
          <w:rFonts w:hint="eastAsia" w:ascii="仿宋_GB2312" w:hAnsi="仿宋_GB2312" w:eastAsia="仿宋_GB2312" w:cs="仿宋_GB2312"/>
          <w:color w:val="auto"/>
          <w:sz w:val="32"/>
          <w:szCs w:val="32"/>
          <w:u w:val="none" w:color="auto"/>
          <w:lang w:eastAsia="zh-CN"/>
        </w:rPr>
        <w:t>具体负责</w:t>
      </w:r>
      <w:r>
        <w:rPr>
          <w:rFonts w:hint="eastAsia" w:ascii="仿宋_GB2312" w:hAnsi="仿宋_GB2312" w:eastAsia="仿宋_GB2312" w:cs="仿宋_GB2312"/>
          <w:color w:val="auto"/>
          <w:sz w:val="32"/>
          <w:szCs w:val="32"/>
          <w:u w:val="none" w:color="auto"/>
        </w:rPr>
        <w:t>行使市管区域内未经审批占用、破坏园林、砍伐树木及不按批准要求对园林树木实施砍伐、移植等违法违规行为的行政处罚权；行使市管区域内破坏广场游园、公共绿地等违法违规行为的行政处罚权。</w:t>
      </w:r>
    </w:p>
    <w:p>
      <w:pPr>
        <w:wordWrap/>
        <w:adjustRightInd/>
        <w:spacing w:before="0" w:after="0" w:line="240" w:lineRule="auto"/>
        <w:ind w:right="0" w:firstLine="640"/>
        <w:textAlignment w:val="auto"/>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（五）负责行使市城市规划区范围内城乡规划管理方面违反城乡规划、已经市委城乡规划建设委员会审议通过但未取得规划许可、或未按照城乡规划许可内容建设违法案件的行政处罚权及相应的行政强制权。</w:t>
      </w:r>
    </w:p>
    <w:p>
      <w:pPr>
        <w:wordWrap/>
        <w:adjustRightInd/>
        <w:spacing w:before="0" w:after="0" w:line="240" w:lineRule="auto"/>
        <w:ind w:right="0" w:firstLine="640"/>
        <w:textAlignment w:val="auto"/>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lang w:eastAsia="zh-CN"/>
        </w:rPr>
        <w:t>（六）负责</w:t>
      </w:r>
      <w:r>
        <w:rPr>
          <w:rFonts w:hint="eastAsia" w:ascii="仿宋_GB2312" w:hAnsi="仿宋_GB2312" w:eastAsia="仿宋_GB2312" w:cs="仿宋_GB2312"/>
          <w:color w:val="auto"/>
          <w:sz w:val="32"/>
          <w:szCs w:val="32"/>
          <w:u w:val="none" w:color="auto"/>
        </w:rPr>
        <w:t>行使市管区域内社会噪声污染、餐饮服务业油烟污染、露天烧烤污染、城市焚烧沥青塑料垃圾等烟尘和恶臭污染、露天焚烧秸秆落叶等烟尘污染的行政处罚权。</w:t>
      </w:r>
    </w:p>
    <w:p>
      <w:pPr>
        <w:wordWrap/>
        <w:adjustRightInd/>
        <w:spacing w:before="0" w:after="0" w:line="240" w:lineRule="auto"/>
        <w:ind w:right="0" w:firstLine="640"/>
        <w:textAlignment w:val="auto"/>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lang w:eastAsia="zh-CN"/>
        </w:rPr>
        <w:t>（七）负责</w:t>
      </w:r>
      <w:r>
        <w:rPr>
          <w:rFonts w:hint="eastAsia" w:ascii="仿宋_GB2312" w:hAnsi="仿宋_GB2312" w:eastAsia="仿宋_GB2312" w:cs="仿宋_GB2312"/>
          <w:color w:val="auto"/>
          <w:sz w:val="32"/>
          <w:szCs w:val="32"/>
          <w:u w:val="none" w:color="auto"/>
        </w:rPr>
        <w:t>行使市管区域内户外公共场所无照经营</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rPr>
        <w:t>食品销售和餐饮摊点无证经营的行政处罚权。</w:t>
      </w:r>
    </w:p>
    <w:p>
      <w:pPr>
        <w:wordWrap/>
        <w:adjustRightInd/>
        <w:spacing w:before="0" w:after="0" w:line="240" w:lineRule="auto"/>
        <w:ind w:right="0" w:firstLine="640"/>
        <w:textAlignment w:val="auto"/>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lang w:eastAsia="zh-CN"/>
        </w:rPr>
        <w:t>（八）</w:t>
      </w:r>
      <w:r>
        <w:rPr>
          <w:rFonts w:hint="eastAsia" w:ascii="仿宋_GB2312" w:hAnsi="仿宋_GB2312" w:eastAsia="仿宋_GB2312" w:cs="仿宋_GB2312"/>
          <w:color w:val="auto"/>
          <w:sz w:val="32"/>
          <w:szCs w:val="32"/>
          <w:u w:val="none" w:color="auto"/>
        </w:rPr>
        <w:t>负责行使市管区域内法律</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rPr>
        <w:t>法规</w:t>
      </w:r>
      <w:r>
        <w:rPr>
          <w:rFonts w:hint="eastAsia" w:ascii="仿宋_GB2312" w:hAnsi="仿宋_GB2312" w:eastAsia="仿宋_GB2312" w:cs="仿宋_GB2312"/>
          <w:color w:val="auto"/>
          <w:sz w:val="32"/>
          <w:szCs w:val="32"/>
          <w:u w:val="none" w:color="auto"/>
          <w:lang w:eastAsia="zh-CN"/>
        </w:rPr>
        <w:t>和地方性</w:t>
      </w:r>
      <w:r>
        <w:rPr>
          <w:rFonts w:hint="eastAsia" w:ascii="仿宋_GB2312" w:hAnsi="仿宋_GB2312" w:eastAsia="仿宋_GB2312" w:cs="仿宋_GB2312"/>
          <w:color w:val="auto"/>
          <w:sz w:val="32"/>
          <w:szCs w:val="32"/>
          <w:u w:val="none" w:color="auto"/>
        </w:rPr>
        <w:t>规章赋予的涉及城市管理执法领域的其他职责和市政府交办的其他执法事项。</w:t>
      </w:r>
    </w:p>
    <w:p>
      <w:pPr>
        <w:wordWrap/>
        <w:adjustRightInd/>
        <w:spacing w:before="0" w:after="0" w:line="240" w:lineRule="auto"/>
        <w:ind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）负责组织拟定全市市容市貌管理相关标准规范并监督实施；负责全市市容市貌的统筹管理，组织协调城市管理重大活动;牵头做好城市街景综合整治工作</w:t>
      </w:r>
      <w:r>
        <w:rPr>
          <w:rFonts w:hint="eastAsia" w:ascii="仿宋_GB2312" w:hAnsi="仿宋_GB2312" w:eastAsia="仿宋_GB2312" w:cs="仿宋_GB2312"/>
          <w:sz w:val="32"/>
          <w:szCs w:val="32"/>
          <w:lang w:eastAsia="zh-CN"/>
        </w:rPr>
        <w:t>；负责市管区域内在城市道路两侧和公共场地临时堆放物料，搭建临时建筑物、构筑物或者其他设施许可；负责市管区域内市容市貌管理工作</w:t>
      </w:r>
      <w:r>
        <w:rPr>
          <w:rFonts w:hint="eastAsia" w:ascii="仿宋_GB2312" w:hAnsi="仿宋_GB2312" w:eastAsia="仿宋_GB2312" w:cs="仿宋_GB2312"/>
          <w:sz w:val="32"/>
          <w:szCs w:val="32"/>
        </w:rPr>
        <w:t>。</w:t>
      </w:r>
    </w:p>
    <w:p>
      <w:pPr>
        <w:wordWrap/>
        <w:adjustRightInd/>
        <w:spacing w:before="0" w:after="0" w:line="240" w:lineRule="auto"/>
        <w:ind w:right="0"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eastAsia="zh-CN"/>
        </w:rPr>
        <w:t>）负责市建成区城市公共空间规划的监管；负责全市户外广告专项规划的组织编制、拟定设置技术规范；负责全市设置大型户外广告及市管区域在城市建筑物、设施上悬挂、张贴宣传品的审批管理；负责市管区域内临街建筑物外部装修审批管理。</w:t>
      </w:r>
    </w:p>
    <w:p>
      <w:pPr>
        <w:wordWrap/>
        <w:adjustRightInd/>
        <w:spacing w:before="0" w:after="0" w:line="240" w:lineRule="auto"/>
        <w:ind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）负责全市环境卫生管理工作的行业监管、督促指导、综合协调、督导考核等；</w:t>
      </w:r>
      <w:r>
        <w:rPr>
          <w:rFonts w:hint="eastAsia" w:ascii="仿宋_GB2312" w:hAnsi="仿宋_GB2312" w:eastAsia="仿宋_GB2312" w:cs="仿宋_GB2312"/>
          <w:sz w:val="32"/>
          <w:szCs w:val="32"/>
          <w:lang w:eastAsia="zh-CN"/>
        </w:rPr>
        <w:t>负责市管区域内环境卫生管理工作；</w:t>
      </w:r>
      <w:r>
        <w:rPr>
          <w:rFonts w:hint="eastAsia" w:ascii="仿宋_GB2312" w:hAnsi="仿宋_GB2312" w:eastAsia="仿宋_GB2312" w:cs="仿宋_GB2312"/>
          <w:color w:val="auto"/>
          <w:sz w:val="32"/>
          <w:szCs w:val="32"/>
        </w:rPr>
        <w:t>负责市建成区生活垃圾的处置、资源化利用和处理费征收；</w:t>
      </w:r>
      <w:r>
        <w:rPr>
          <w:rFonts w:hint="eastAsia" w:ascii="仿宋_GB2312" w:hAnsi="仿宋_GB2312" w:eastAsia="仿宋_GB2312" w:cs="仿宋_GB2312"/>
          <w:sz w:val="32"/>
          <w:szCs w:val="32"/>
          <w:lang w:eastAsia="zh-CN"/>
        </w:rPr>
        <w:t>负责市管区域内环卫设施拆除及异地重建批准；负责市管区域内从事城市生活垃圾经营性清扫、收集、运输、处理服务许可；</w:t>
      </w:r>
      <w:r>
        <w:rPr>
          <w:rFonts w:hint="eastAsia" w:ascii="仿宋_GB2312" w:hAnsi="仿宋_GB2312" w:eastAsia="仿宋_GB2312" w:cs="仿宋_GB2312"/>
          <w:color w:val="auto"/>
          <w:sz w:val="32"/>
          <w:szCs w:val="32"/>
        </w:rPr>
        <w:t>负责市管区域内大型环卫基础设施的管理。</w:t>
      </w:r>
    </w:p>
    <w:p>
      <w:pPr>
        <w:wordWrap/>
        <w:adjustRightInd/>
        <w:spacing w:before="0" w:after="0" w:line="240" w:lineRule="auto"/>
        <w:ind w:right="0"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十二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负责全市建筑垃圾管理和资源化利用工作的行业管理、督促指导、综合协调；</w:t>
      </w:r>
      <w:r>
        <w:rPr>
          <w:rFonts w:hint="eastAsia" w:ascii="仿宋_GB2312" w:hAnsi="仿宋_GB2312" w:eastAsia="仿宋_GB2312" w:cs="仿宋_GB2312"/>
          <w:color w:val="auto"/>
          <w:sz w:val="32"/>
          <w:szCs w:val="32"/>
        </w:rPr>
        <w:t>负责市区范围内建筑垃圾的监督管理工作；负责对魏都区、东城区、经济技术开发区</w:t>
      </w:r>
      <w:r>
        <w:rPr>
          <w:rFonts w:hint="eastAsia" w:ascii="仿宋_GB2312" w:hAnsi="仿宋_GB2312" w:eastAsia="仿宋_GB2312" w:cs="仿宋_GB2312"/>
          <w:color w:val="auto"/>
          <w:sz w:val="32"/>
          <w:szCs w:val="32"/>
          <w:lang w:eastAsia="zh-CN"/>
        </w:rPr>
        <w:t>拆迁</w:t>
      </w:r>
      <w:r>
        <w:rPr>
          <w:rFonts w:hint="eastAsia" w:ascii="仿宋_GB2312" w:hAnsi="仿宋_GB2312" w:eastAsia="仿宋_GB2312" w:cs="仿宋_GB2312"/>
          <w:color w:val="auto"/>
          <w:sz w:val="32"/>
          <w:szCs w:val="32"/>
        </w:rPr>
        <w:t>类建筑垃圾处置核准</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处置费征收工作；负责对市区建筑垃圾私拉乱运、污染道路等违章行为的查处工作；负责对市区建筑垃圾无害化处理和资源化利用、特许经营企业的监督指导工作。</w:t>
      </w:r>
    </w:p>
    <w:p>
      <w:pPr>
        <w:wordWrap/>
        <w:adjustRightInd/>
        <w:spacing w:before="0" w:after="0" w:line="24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十三</w:t>
      </w:r>
      <w:r>
        <w:rPr>
          <w:rFonts w:hint="eastAsia" w:ascii="仿宋_GB2312" w:hAnsi="仿宋_GB2312" w:eastAsia="仿宋_GB2312" w:cs="仿宋_GB2312"/>
          <w:color w:val="auto"/>
          <w:sz w:val="32"/>
          <w:szCs w:val="32"/>
        </w:rPr>
        <w:t>）负责市建成区公共自行车系统建设和运营管理，督促指导各县（市）公共自行车系统建设和运营管理。</w:t>
      </w:r>
    </w:p>
    <w:p>
      <w:pPr>
        <w:wordWrap/>
        <w:adjustRightInd/>
        <w:spacing w:before="0" w:after="0" w:line="240" w:lineRule="auto"/>
        <w:ind w:right="0"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十四</w:t>
      </w:r>
      <w:r>
        <w:rPr>
          <w:rFonts w:hint="eastAsia" w:ascii="仿宋_GB2312" w:hAnsi="仿宋_GB2312" w:eastAsia="仿宋_GB2312" w:cs="仿宋_GB2312"/>
          <w:color w:val="auto"/>
          <w:sz w:val="32"/>
          <w:szCs w:val="32"/>
        </w:rPr>
        <w:t>）负责全市城市景观照明的行业管理、督促指导、综合协调等；负责市</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的景观照明项目的组织实施、管理维护。</w:t>
      </w:r>
    </w:p>
    <w:p>
      <w:pPr>
        <w:numPr>
          <w:ilvl w:val="0"/>
          <w:numId w:val="0"/>
        </w:numPr>
        <w:wordWrap/>
        <w:adjustRightInd/>
        <w:spacing w:before="0" w:after="0" w:line="240" w:lineRule="auto"/>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eastAsia="zh-CN"/>
        </w:rPr>
        <w:t>（十五）</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全市园林绿化工作</w:t>
      </w:r>
      <w:r>
        <w:rPr>
          <w:rFonts w:hint="eastAsia" w:ascii="仿宋_GB2312" w:hAnsi="仿宋_GB2312" w:eastAsia="仿宋_GB2312" w:cs="仿宋_GB2312"/>
          <w:sz w:val="32"/>
          <w:szCs w:val="32"/>
          <w:lang w:eastAsia="zh-CN"/>
        </w:rPr>
        <w:t>的行业指导、综合协调工作，拟定相关规范标准并监督实施；负责城市规划区内工程建设涉及城市绿地、树木审批工作；负责市管区域内园林绿化项目的组织实施。</w:t>
      </w:r>
    </w:p>
    <w:p>
      <w:pPr>
        <w:numPr>
          <w:ilvl w:val="0"/>
          <w:numId w:val="0"/>
        </w:numPr>
        <w:wordWrap/>
        <w:adjustRightInd/>
        <w:spacing w:before="0" w:after="0" w:line="240" w:lineRule="auto"/>
        <w:ind w:right="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（十六）</w:t>
      </w:r>
      <w:r>
        <w:rPr>
          <w:rFonts w:hint="eastAsia" w:ascii="仿宋_GB2312" w:hAnsi="仿宋_GB2312" w:eastAsia="仿宋_GB2312" w:cs="仿宋_GB2312"/>
          <w:color w:val="auto"/>
          <w:sz w:val="32"/>
          <w:szCs w:val="32"/>
        </w:rPr>
        <w:t>负责全市数字化城管系统的运行管理、督促指导、综合协调、督导考核等；督促指导县（市、区）数字化城管系统平台的建设管理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val="en-US" w:eastAsia="zh-CN"/>
        </w:rPr>
        <w:t>负责全市城市管理突发事件的指挥调度等工作。</w:t>
      </w:r>
    </w:p>
    <w:p>
      <w:pPr>
        <w:wordWrap/>
        <w:adjustRightInd/>
        <w:spacing w:before="0" w:after="0" w:line="24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十七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rPr>
        <w:t>完成</w:t>
      </w:r>
      <w:r>
        <w:rPr>
          <w:rFonts w:hint="eastAsia" w:ascii="仿宋_GB2312" w:hAnsi="仿宋_GB2312" w:eastAsia="仿宋_GB2312" w:cs="仿宋_GB2312"/>
          <w:color w:val="auto"/>
          <w:sz w:val="32"/>
          <w:szCs w:val="32"/>
          <w:lang w:eastAsia="zh-CN"/>
        </w:rPr>
        <w:t>市委、市</w:t>
      </w:r>
      <w:r>
        <w:rPr>
          <w:rFonts w:hint="eastAsia" w:ascii="仿宋_GB2312" w:hAnsi="仿宋_GB2312" w:eastAsia="仿宋_GB2312" w:cs="仿宋_GB2312"/>
          <w:color w:val="auto"/>
          <w:sz w:val="32"/>
          <w:szCs w:val="32"/>
        </w:rPr>
        <w:t>政府交办的其他</w:t>
      </w:r>
      <w:r>
        <w:rPr>
          <w:rFonts w:hint="eastAsia" w:ascii="仿宋_GB2312" w:hAnsi="仿宋_GB2312" w:eastAsia="仿宋_GB2312" w:cs="仿宋_GB2312"/>
          <w:color w:val="auto"/>
          <w:sz w:val="32"/>
          <w:szCs w:val="32"/>
          <w:lang w:eastAsia="zh-CN"/>
        </w:rPr>
        <w:t>任务</w:t>
      </w:r>
      <w:r>
        <w:rPr>
          <w:rFonts w:hint="eastAsia" w:ascii="仿宋_GB2312" w:hAnsi="仿宋_GB2312" w:eastAsia="仿宋_GB2312" w:cs="仿宋_GB2312"/>
          <w:color w:val="auto"/>
          <w:sz w:val="32"/>
          <w:szCs w:val="32"/>
        </w:rPr>
        <w:t>。</w:t>
      </w:r>
    </w:p>
    <w:p>
      <w:pPr>
        <w:numPr>
          <w:ilvl w:val="0"/>
          <w:numId w:val="0"/>
        </w:numPr>
        <w:wordWrap/>
        <w:adjustRightInd/>
        <w:spacing w:before="0" w:after="0" w:line="240" w:lineRule="auto"/>
        <w:ind w:right="0" w:firstLine="640" w:firstLineChars="200"/>
        <w:textAlignment w:val="auto"/>
        <w:rPr>
          <w:rFonts w:hint="eastAsia" w:ascii="黑体" w:hAnsi="黑体" w:eastAsia="黑体" w:cs="黑体"/>
          <w:sz w:val="44"/>
          <w:szCs w:val="44"/>
          <w:lang w:eastAsia="zh-CN"/>
        </w:rPr>
      </w:pPr>
      <w:r>
        <w:rPr>
          <w:rFonts w:hint="eastAsia" w:ascii="仿宋_GB2312" w:hAnsi="仿宋_GB2312" w:eastAsia="仿宋_GB2312" w:cs="仿宋_GB2312"/>
          <w:color w:val="auto"/>
          <w:sz w:val="32"/>
          <w:szCs w:val="32"/>
          <w:lang w:eastAsia="zh-CN"/>
        </w:rPr>
        <w:t>（十八）</w:t>
      </w:r>
      <w:r>
        <w:rPr>
          <w:rFonts w:hint="eastAsia" w:ascii="仿宋_GB2312" w:hAnsi="仿宋_GB2312" w:eastAsia="仿宋_GB2312" w:cs="仿宋_GB2312"/>
          <w:sz w:val="32"/>
          <w:szCs w:val="32"/>
          <w:lang w:val="en-US" w:eastAsia="zh-CN"/>
        </w:rPr>
        <w:t>与市住房与城乡建设局、市自然资源和规划局的有关责任分工。城市规划、建设以及其他行政管理部门负责专业技术强的违法违规行为认定、城市规划核实、专业技术鉴定、资质资格和专业技术核准、质量安全监督检查、工作中发现违法事项移交、行政处罚中涉及行政许可事项落实等管理职责；城市管理综合执法部门执行具体行政处罚权及相应的行政强制权，负责城市巡查、督查和问题发现以及查处落实工作；建立健全信息互通、资源共享、协调联动机制，有关行政管理部门应将与城市管理行政执法有关的行政许可和管理信息及时通报城市管理综合执法部门，城市管理综合执法部门应将实施行政处罚的情况和发现的问题通报有关行政管理部门，并提出管理建议。</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sz w:val="32"/>
          <w:szCs w:val="32"/>
          <w:lang w:eastAsia="zh-CN"/>
        </w:rPr>
        <w:t>许昌市城市管理局（</w:t>
      </w:r>
      <w:r>
        <w:rPr>
          <w:rFonts w:hint="eastAsia" w:ascii="仿宋_GB2312" w:hAnsi="仿宋_GB2312" w:eastAsia="仿宋_GB2312" w:cs="仿宋_GB2312"/>
          <w:color w:val="auto"/>
          <w:sz w:val="32"/>
          <w:szCs w:val="32"/>
          <w:lang w:eastAsia="zh-CN"/>
        </w:rPr>
        <w:t>本级）内设机构</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个，</w:t>
      </w:r>
      <w:r>
        <w:rPr>
          <w:rFonts w:hint="eastAsia" w:ascii="仿宋" w:hAnsi="仿宋" w:eastAsia="仿宋" w:cs="仿宋"/>
          <w:color w:val="auto"/>
          <w:sz w:val="32"/>
          <w:szCs w:val="32"/>
          <w:lang w:eastAsia="zh-CN"/>
        </w:rPr>
        <w:t>包括：办公室、人事科、计划财务科、政策法规科、市容环境卫生管理科（政务服务科）、园林绿化管理科、督查考核科、机关党委</w:t>
      </w:r>
      <w:r>
        <w:rPr>
          <w:rFonts w:hint="eastAsia" w:ascii="仿宋_GB2312" w:hAnsi="仿宋_GB2312" w:eastAsia="仿宋_GB2312" w:cs="仿宋_GB2312"/>
          <w:color w:val="auto"/>
          <w:sz w:val="32"/>
          <w:szCs w:val="32"/>
          <w:lang w:val="en-US" w:eastAsia="zh-CN"/>
        </w:rPr>
        <w:t>。</w:t>
      </w:r>
    </w:p>
    <w:p>
      <w:pPr>
        <w:widowControl/>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    从决算单位构成看，许昌市城市管理局（本级）单位决算包括：本级决算（1个）。</w:t>
      </w:r>
    </w:p>
    <w:p>
      <w:pPr>
        <w:widowControl/>
        <w:ind w:firstLine="64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w:t>
      </w:r>
      <w:bookmarkStart w:id="0" w:name="_GoBack"/>
      <w:bookmarkEnd w:id="0"/>
      <w:r>
        <w:rPr>
          <w:rFonts w:hint="eastAsia" w:ascii="仿宋_GB2312" w:hAnsi="仿宋_GB2312" w:eastAsia="仿宋_GB2312" w:cs="仿宋_GB2312"/>
          <w:color w:val="auto"/>
          <w:kern w:val="0"/>
          <w:sz w:val="32"/>
          <w:szCs w:val="32"/>
          <w:highlight w:val="none"/>
          <w:lang w:val="en-US" w:eastAsia="zh-CN"/>
        </w:rPr>
        <w:t>许昌市城市管理局（本级）</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140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577"/>
        <w:gridCol w:w="480"/>
        <w:gridCol w:w="615"/>
        <w:gridCol w:w="2361"/>
        <w:gridCol w:w="3293"/>
        <w:gridCol w:w="1"/>
        <w:gridCol w:w="444"/>
        <w:gridCol w:w="1"/>
        <w:gridCol w:w="3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4066" w:type="dxa"/>
            <w:gridSpan w:val="9"/>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4057" w:type="dxa"/>
            <w:gridSpan w:val="2"/>
            <w:vAlign w:val="bottom"/>
          </w:tcPr>
          <w:p>
            <w:pPr>
              <w:autoSpaceDN w:val="0"/>
              <w:jc w:val="left"/>
              <w:textAlignment w:val="bottom"/>
              <w:rPr>
                <w:rFonts w:hint="default" w:ascii="Arial" w:hAnsi="宋体"/>
                <w:b w:val="0"/>
                <w:i w:val="0"/>
                <w:color w:val="000000"/>
                <w:sz w:val="20"/>
                <w:u w:val="none"/>
              </w:rPr>
            </w:pPr>
          </w:p>
        </w:tc>
        <w:tc>
          <w:tcPr>
            <w:tcW w:w="615" w:type="dxa"/>
            <w:vAlign w:val="bottom"/>
          </w:tcPr>
          <w:p>
            <w:pPr>
              <w:autoSpaceDN w:val="0"/>
              <w:jc w:val="left"/>
              <w:textAlignment w:val="bottom"/>
              <w:rPr>
                <w:rFonts w:hint="default" w:ascii="Arial" w:hAnsi="宋体"/>
                <w:b w:val="0"/>
                <w:i w:val="0"/>
                <w:color w:val="000000"/>
                <w:sz w:val="20"/>
                <w:u w:val="none"/>
              </w:rPr>
            </w:pPr>
          </w:p>
        </w:tc>
        <w:tc>
          <w:tcPr>
            <w:tcW w:w="2361" w:type="dxa"/>
            <w:vAlign w:val="bottom"/>
          </w:tcPr>
          <w:p>
            <w:pPr>
              <w:autoSpaceDN w:val="0"/>
              <w:jc w:val="left"/>
              <w:textAlignment w:val="bottom"/>
              <w:rPr>
                <w:rFonts w:hint="default" w:ascii="Arial" w:hAnsi="宋体"/>
                <w:b w:val="0"/>
                <w:i w:val="0"/>
                <w:color w:val="000000"/>
                <w:sz w:val="20"/>
                <w:u w:val="none"/>
              </w:rPr>
            </w:pPr>
          </w:p>
        </w:tc>
        <w:tc>
          <w:tcPr>
            <w:tcW w:w="3294" w:type="dxa"/>
            <w:gridSpan w:val="2"/>
            <w:vAlign w:val="bottom"/>
          </w:tcPr>
          <w:p>
            <w:pPr>
              <w:autoSpaceDN w:val="0"/>
              <w:jc w:val="left"/>
              <w:textAlignment w:val="bottom"/>
              <w:rPr>
                <w:rFonts w:hint="default" w:ascii="Arial" w:hAnsi="宋体"/>
                <w:b w:val="0"/>
                <w:i w:val="0"/>
                <w:color w:val="000000"/>
                <w:sz w:val="20"/>
                <w:u w:val="none"/>
              </w:rPr>
            </w:pPr>
          </w:p>
        </w:tc>
        <w:tc>
          <w:tcPr>
            <w:tcW w:w="445" w:type="dxa"/>
            <w:gridSpan w:val="2"/>
            <w:vAlign w:val="bottom"/>
          </w:tcPr>
          <w:p>
            <w:pPr>
              <w:autoSpaceDN w:val="0"/>
              <w:jc w:val="left"/>
              <w:textAlignment w:val="bottom"/>
              <w:rPr>
                <w:rFonts w:hint="default" w:ascii="Arial" w:hAnsi="宋体"/>
                <w:b w:val="0"/>
                <w:i w:val="0"/>
                <w:color w:val="000000"/>
                <w:sz w:val="20"/>
                <w:u w:val="none"/>
              </w:rPr>
            </w:pPr>
          </w:p>
        </w:tc>
        <w:tc>
          <w:tcPr>
            <w:tcW w:w="3294" w:type="dxa"/>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4057" w:type="dxa"/>
            <w:gridSpan w:val="2"/>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：许昌市城市管理局（本级）</w:t>
            </w:r>
          </w:p>
        </w:tc>
        <w:tc>
          <w:tcPr>
            <w:tcW w:w="615" w:type="dxa"/>
            <w:vAlign w:val="bottom"/>
          </w:tcPr>
          <w:p>
            <w:pPr>
              <w:autoSpaceDN w:val="0"/>
              <w:jc w:val="left"/>
              <w:textAlignment w:val="bottom"/>
              <w:rPr>
                <w:rFonts w:hint="default" w:ascii="Arial" w:hAnsi="宋体"/>
                <w:b w:val="0"/>
                <w:i w:val="0"/>
                <w:color w:val="000000"/>
                <w:sz w:val="20"/>
                <w:u w:val="none"/>
              </w:rPr>
            </w:pPr>
          </w:p>
        </w:tc>
        <w:tc>
          <w:tcPr>
            <w:tcW w:w="2361" w:type="dxa"/>
            <w:vAlign w:val="bottom"/>
          </w:tcPr>
          <w:p>
            <w:pPr>
              <w:autoSpaceDN w:val="0"/>
              <w:jc w:val="left"/>
              <w:textAlignment w:val="bottom"/>
              <w:rPr>
                <w:rFonts w:hint="default" w:ascii="Arial" w:hAnsi="宋体"/>
                <w:b w:val="0"/>
                <w:i w:val="0"/>
                <w:color w:val="000000"/>
                <w:sz w:val="20"/>
                <w:u w:val="none"/>
              </w:rPr>
            </w:pPr>
          </w:p>
        </w:tc>
        <w:tc>
          <w:tcPr>
            <w:tcW w:w="3294" w:type="dxa"/>
            <w:gridSpan w:val="2"/>
            <w:vAlign w:val="bottom"/>
          </w:tcPr>
          <w:p>
            <w:pPr>
              <w:autoSpaceDN w:val="0"/>
              <w:jc w:val="left"/>
              <w:textAlignment w:val="bottom"/>
              <w:rPr>
                <w:rFonts w:hint="default" w:ascii="Arial" w:hAnsi="宋体"/>
                <w:b w:val="0"/>
                <w:i w:val="0"/>
                <w:color w:val="000000"/>
                <w:sz w:val="20"/>
                <w:u w:val="none"/>
              </w:rPr>
            </w:pPr>
          </w:p>
        </w:tc>
        <w:tc>
          <w:tcPr>
            <w:tcW w:w="445" w:type="dxa"/>
            <w:gridSpan w:val="2"/>
            <w:vAlign w:val="bottom"/>
          </w:tcPr>
          <w:p>
            <w:pPr>
              <w:autoSpaceDN w:val="0"/>
              <w:jc w:val="left"/>
              <w:textAlignment w:val="bottom"/>
              <w:rPr>
                <w:rFonts w:hint="default" w:ascii="Arial" w:hAnsi="宋体"/>
                <w:b w:val="0"/>
                <w:i w:val="0"/>
                <w:color w:val="000000"/>
                <w:sz w:val="20"/>
                <w:u w:val="none"/>
              </w:rPr>
            </w:pPr>
          </w:p>
        </w:tc>
        <w:tc>
          <w:tcPr>
            <w:tcW w:w="3294" w:type="dxa"/>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703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收入</w:t>
            </w:r>
          </w:p>
        </w:tc>
        <w:tc>
          <w:tcPr>
            <w:tcW w:w="7033" w:type="dxa"/>
            <w:gridSpan w:val="5"/>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项目</w:t>
            </w: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行次</w:t>
            </w:r>
          </w:p>
        </w:tc>
        <w:tc>
          <w:tcPr>
            <w:tcW w:w="2976"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金额</w:t>
            </w:r>
          </w:p>
        </w:tc>
        <w:tc>
          <w:tcPr>
            <w:tcW w:w="32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项目</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行次</w:t>
            </w:r>
          </w:p>
        </w:tc>
        <w:tc>
          <w:tcPr>
            <w:tcW w:w="329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栏次</w:t>
            </w: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p>
        </w:tc>
        <w:tc>
          <w:tcPr>
            <w:tcW w:w="2976"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1</w:t>
            </w:r>
          </w:p>
        </w:tc>
        <w:tc>
          <w:tcPr>
            <w:tcW w:w="32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栏次</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p>
        </w:tc>
        <w:tc>
          <w:tcPr>
            <w:tcW w:w="329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一、一般公共预算财政拨款收入</w:t>
            </w: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1</w:t>
            </w:r>
          </w:p>
        </w:tc>
        <w:tc>
          <w:tcPr>
            <w:tcW w:w="297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2,513.91</w:t>
            </w: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一、一般公共服务支出</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32</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二、政府性基金预算财政拨款收入</w:t>
            </w: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2</w:t>
            </w:r>
          </w:p>
        </w:tc>
        <w:tc>
          <w:tcPr>
            <w:tcW w:w="297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二、外交支出</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33</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 w:hRule="atLeast"/>
        </w:trPr>
        <w:tc>
          <w:tcPr>
            <w:tcW w:w="35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三、国有资本经营预算财政拨款收入</w:t>
            </w: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3</w:t>
            </w:r>
          </w:p>
        </w:tc>
        <w:tc>
          <w:tcPr>
            <w:tcW w:w="297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三、国防支出</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34</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四、上级补助收入</w:t>
            </w: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4</w:t>
            </w:r>
          </w:p>
        </w:tc>
        <w:tc>
          <w:tcPr>
            <w:tcW w:w="297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四、公共安全支出</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35</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五、事业收入</w:t>
            </w: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5</w:t>
            </w:r>
          </w:p>
        </w:tc>
        <w:tc>
          <w:tcPr>
            <w:tcW w:w="297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五、教育支出</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36</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六、经营收入</w:t>
            </w: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6</w:t>
            </w:r>
          </w:p>
        </w:tc>
        <w:tc>
          <w:tcPr>
            <w:tcW w:w="297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六、科学技术支出</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37</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七、附属单位上缴收入</w:t>
            </w: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7</w:t>
            </w:r>
          </w:p>
        </w:tc>
        <w:tc>
          <w:tcPr>
            <w:tcW w:w="297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七、文化旅游体育与传媒支出</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38</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八、其他收入</w:t>
            </w: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8</w:t>
            </w:r>
          </w:p>
        </w:tc>
        <w:tc>
          <w:tcPr>
            <w:tcW w:w="297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0.08</w:t>
            </w: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八、社会保障和就业支出</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39</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70.78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9</w:t>
            </w:r>
          </w:p>
        </w:tc>
        <w:tc>
          <w:tcPr>
            <w:tcW w:w="297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九、卫生健康支出</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40</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10</w:t>
            </w:r>
          </w:p>
        </w:tc>
        <w:tc>
          <w:tcPr>
            <w:tcW w:w="297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十、节能环保支出</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41</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785.53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11</w:t>
            </w:r>
          </w:p>
        </w:tc>
        <w:tc>
          <w:tcPr>
            <w:tcW w:w="297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十一、城乡社区支出</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42</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5,413.30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12</w:t>
            </w:r>
          </w:p>
        </w:tc>
        <w:tc>
          <w:tcPr>
            <w:tcW w:w="297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十二、农林水支出</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43</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13</w:t>
            </w:r>
          </w:p>
        </w:tc>
        <w:tc>
          <w:tcPr>
            <w:tcW w:w="297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十三、交通运输支出</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44</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14</w:t>
            </w:r>
          </w:p>
        </w:tc>
        <w:tc>
          <w:tcPr>
            <w:tcW w:w="297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十四、资源勘探工业信息等支出</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45</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15</w:t>
            </w:r>
          </w:p>
        </w:tc>
        <w:tc>
          <w:tcPr>
            <w:tcW w:w="297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十五、商业服务业等支出</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46</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16</w:t>
            </w:r>
          </w:p>
        </w:tc>
        <w:tc>
          <w:tcPr>
            <w:tcW w:w="297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十六、金融支出</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47</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17</w:t>
            </w:r>
          </w:p>
        </w:tc>
        <w:tc>
          <w:tcPr>
            <w:tcW w:w="297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十七、援助其他地区支出</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48</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auto"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p>
        </w:tc>
        <w:tc>
          <w:tcPr>
            <w:tcW w:w="480" w:type="dxa"/>
            <w:tcBorders>
              <w:left w:val="single" w:color="000000" w:sz="4" w:space="0"/>
              <w:bottom w:val="single" w:color="auto"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18</w:t>
            </w:r>
          </w:p>
        </w:tc>
        <w:tc>
          <w:tcPr>
            <w:tcW w:w="2976" w:type="dxa"/>
            <w:gridSpan w:val="2"/>
            <w:tcBorders>
              <w:bottom w:val="single" w:color="auto" w:sz="4" w:space="0"/>
              <w:right w:val="single" w:color="000000" w:sz="4" w:space="0"/>
            </w:tcBorders>
            <w:vAlign w:val="center"/>
          </w:tcPr>
          <w:p>
            <w:pPr>
              <w:autoSpaceDN w:val="0"/>
              <w:jc w:val="right"/>
              <w:textAlignment w:val="center"/>
              <w:rPr>
                <w:sz w:val="20"/>
                <w:szCs w:val="20"/>
              </w:rPr>
            </w:pPr>
          </w:p>
        </w:tc>
        <w:tc>
          <w:tcPr>
            <w:tcW w:w="3293" w:type="dxa"/>
            <w:tcBorders>
              <w:bottom w:val="single" w:color="auto"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十八、自然资源海洋气象等支出</w:t>
            </w:r>
          </w:p>
        </w:tc>
        <w:tc>
          <w:tcPr>
            <w:tcW w:w="445" w:type="dxa"/>
            <w:gridSpan w:val="2"/>
            <w:tcBorders>
              <w:bottom w:val="single" w:color="auto"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49</w:t>
            </w:r>
          </w:p>
        </w:tc>
        <w:tc>
          <w:tcPr>
            <w:tcW w:w="3295" w:type="dxa"/>
            <w:gridSpan w:val="2"/>
            <w:tcBorders>
              <w:bottom w:val="single" w:color="auto"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top w:val="single" w:color="auto" w:sz="4" w:space="0"/>
              <w:left w:val="single" w:color="auto"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p>
        </w:tc>
        <w:tc>
          <w:tcPr>
            <w:tcW w:w="480"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19</w:t>
            </w:r>
          </w:p>
        </w:tc>
        <w:tc>
          <w:tcPr>
            <w:tcW w:w="2976" w:type="dxa"/>
            <w:gridSpan w:val="2"/>
            <w:tcBorders>
              <w:top w:val="single" w:color="auto" w:sz="4" w:space="0"/>
              <w:bottom w:val="single" w:color="000000" w:sz="4" w:space="0"/>
              <w:right w:val="single" w:color="000000" w:sz="4" w:space="0"/>
            </w:tcBorders>
            <w:vAlign w:val="center"/>
          </w:tcPr>
          <w:p>
            <w:pPr>
              <w:autoSpaceDN w:val="0"/>
              <w:jc w:val="right"/>
              <w:textAlignment w:val="center"/>
              <w:rPr>
                <w:sz w:val="20"/>
                <w:szCs w:val="20"/>
              </w:rPr>
            </w:pPr>
          </w:p>
        </w:tc>
        <w:tc>
          <w:tcPr>
            <w:tcW w:w="3293" w:type="dxa"/>
            <w:tcBorders>
              <w:top w:val="single" w:color="auto"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十九、住房保障支出</w:t>
            </w:r>
          </w:p>
        </w:tc>
        <w:tc>
          <w:tcPr>
            <w:tcW w:w="445" w:type="dxa"/>
            <w:gridSpan w:val="2"/>
            <w:tcBorders>
              <w:top w:val="single" w:color="auto"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50</w:t>
            </w:r>
          </w:p>
        </w:tc>
        <w:tc>
          <w:tcPr>
            <w:tcW w:w="3295" w:type="dxa"/>
            <w:gridSpan w:val="2"/>
            <w:tcBorders>
              <w:top w:val="single" w:color="auto" w:sz="4" w:space="0"/>
              <w:bottom w:val="single" w:color="000000" w:sz="4" w:space="0"/>
              <w:right w:val="single" w:color="auto"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auto"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20</w:t>
            </w:r>
          </w:p>
        </w:tc>
        <w:tc>
          <w:tcPr>
            <w:tcW w:w="2976" w:type="dxa"/>
            <w:gridSpan w:val="2"/>
            <w:tcBorders>
              <w:bottom w:val="single" w:color="000000" w:sz="4" w:space="0"/>
              <w:right w:val="single" w:color="000000" w:sz="4" w:space="0"/>
            </w:tcBorders>
            <w:vAlign w:val="center"/>
          </w:tcPr>
          <w:p>
            <w:pPr>
              <w:autoSpaceDN w:val="0"/>
              <w:jc w:val="right"/>
              <w:textAlignment w:val="center"/>
              <w:rPr>
                <w:sz w:val="20"/>
                <w:szCs w:val="20"/>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二十、粮油物资储备支出</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51</w:t>
            </w:r>
          </w:p>
        </w:tc>
        <w:tc>
          <w:tcPr>
            <w:tcW w:w="3295" w:type="dxa"/>
            <w:gridSpan w:val="2"/>
            <w:tcBorders>
              <w:bottom w:val="single" w:color="000000" w:sz="4" w:space="0"/>
              <w:right w:val="single" w:color="auto"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auto"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21</w:t>
            </w:r>
          </w:p>
        </w:tc>
        <w:tc>
          <w:tcPr>
            <w:tcW w:w="2976" w:type="dxa"/>
            <w:gridSpan w:val="2"/>
            <w:tcBorders>
              <w:bottom w:val="single" w:color="000000" w:sz="4" w:space="0"/>
              <w:right w:val="single" w:color="000000" w:sz="4" w:space="0"/>
            </w:tcBorders>
            <w:vAlign w:val="center"/>
          </w:tcPr>
          <w:p>
            <w:pPr>
              <w:autoSpaceDN w:val="0"/>
              <w:jc w:val="right"/>
              <w:textAlignment w:val="center"/>
              <w:rPr>
                <w:sz w:val="20"/>
                <w:szCs w:val="20"/>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二十一、国有资本经营预算支出</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52</w:t>
            </w:r>
          </w:p>
        </w:tc>
        <w:tc>
          <w:tcPr>
            <w:tcW w:w="3295" w:type="dxa"/>
            <w:gridSpan w:val="2"/>
            <w:tcBorders>
              <w:bottom w:val="single" w:color="000000" w:sz="4" w:space="0"/>
              <w:right w:val="single" w:color="auto"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auto"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22</w:t>
            </w:r>
          </w:p>
        </w:tc>
        <w:tc>
          <w:tcPr>
            <w:tcW w:w="2976" w:type="dxa"/>
            <w:gridSpan w:val="2"/>
            <w:tcBorders>
              <w:bottom w:val="single" w:color="000000" w:sz="4" w:space="0"/>
              <w:right w:val="single" w:color="000000" w:sz="4" w:space="0"/>
            </w:tcBorders>
            <w:vAlign w:val="center"/>
          </w:tcPr>
          <w:p>
            <w:pPr>
              <w:autoSpaceDN w:val="0"/>
              <w:jc w:val="right"/>
              <w:textAlignment w:val="center"/>
              <w:rPr>
                <w:sz w:val="20"/>
                <w:szCs w:val="20"/>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二十二、灾害防治及应急管理支出</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53</w:t>
            </w:r>
          </w:p>
        </w:tc>
        <w:tc>
          <w:tcPr>
            <w:tcW w:w="3295" w:type="dxa"/>
            <w:gridSpan w:val="2"/>
            <w:tcBorders>
              <w:bottom w:val="single" w:color="000000" w:sz="4" w:space="0"/>
              <w:right w:val="single" w:color="auto"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auto" w:sz="4" w:space="0"/>
              <w:bottom w:val="single" w:color="auto"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p>
        </w:tc>
        <w:tc>
          <w:tcPr>
            <w:tcW w:w="480" w:type="dxa"/>
            <w:tcBorders>
              <w:left w:val="single" w:color="000000" w:sz="4" w:space="0"/>
              <w:bottom w:val="single" w:color="auto"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23</w:t>
            </w:r>
          </w:p>
        </w:tc>
        <w:tc>
          <w:tcPr>
            <w:tcW w:w="2976" w:type="dxa"/>
            <w:gridSpan w:val="2"/>
            <w:tcBorders>
              <w:bottom w:val="single" w:color="auto" w:sz="4" w:space="0"/>
              <w:right w:val="single" w:color="000000" w:sz="4" w:space="0"/>
            </w:tcBorders>
            <w:vAlign w:val="center"/>
          </w:tcPr>
          <w:p>
            <w:pPr>
              <w:autoSpaceDN w:val="0"/>
              <w:jc w:val="right"/>
              <w:textAlignment w:val="center"/>
              <w:rPr>
                <w:sz w:val="20"/>
                <w:szCs w:val="20"/>
              </w:rPr>
            </w:pPr>
          </w:p>
        </w:tc>
        <w:tc>
          <w:tcPr>
            <w:tcW w:w="3293" w:type="dxa"/>
            <w:tcBorders>
              <w:bottom w:val="single" w:color="auto"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二十三、其他支出</w:t>
            </w:r>
          </w:p>
        </w:tc>
        <w:tc>
          <w:tcPr>
            <w:tcW w:w="445" w:type="dxa"/>
            <w:gridSpan w:val="2"/>
            <w:tcBorders>
              <w:bottom w:val="single" w:color="auto"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54</w:t>
            </w:r>
          </w:p>
        </w:tc>
        <w:tc>
          <w:tcPr>
            <w:tcW w:w="3295" w:type="dxa"/>
            <w:gridSpan w:val="2"/>
            <w:tcBorders>
              <w:bottom w:val="single" w:color="auto" w:sz="4" w:space="0"/>
              <w:right w:val="single" w:color="auto"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p>
        </w:tc>
        <w:tc>
          <w:tcPr>
            <w:tcW w:w="480"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24</w:t>
            </w:r>
          </w:p>
        </w:tc>
        <w:tc>
          <w:tcPr>
            <w:tcW w:w="2976" w:type="dxa"/>
            <w:gridSpan w:val="2"/>
            <w:tcBorders>
              <w:top w:val="single" w:color="auto" w:sz="4" w:space="0"/>
              <w:bottom w:val="single" w:color="000000" w:sz="4" w:space="0"/>
              <w:right w:val="single" w:color="000000" w:sz="4" w:space="0"/>
            </w:tcBorders>
            <w:vAlign w:val="center"/>
          </w:tcPr>
          <w:p>
            <w:pPr>
              <w:autoSpaceDN w:val="0"/>
              <w:jc w:val="right"/>
              <w:textAlignment w:val="center"/>
              <w:rPr>
                <w:sz w:val="20"/>
                <w:szCs w:val="20"/>
              </w:rPr>
            </w:pPr>
          </w:p>
        </w:tc>
        <w:tc>
          <w:tcPr>
            <w:tcW w:w="3293" w:type="dxa"/>
            <w:tcBorders>
              <w:top w:val="single" w:color="auto"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二十四、债务还本支出</w:t>
            </w:r>
          </w:p>
        </w:tc>
        <w:tc>
          <w:tcPr>
            <w:tcW w:w="445" w:type="dxa"/>
            <w:gridSpan w:val="2"/>
            <w:tcBorders>
              <w:top w:val="single" w:color="auto"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55</w:t>
            </w:r>
          </w:p>
        </w:tc>
        <w:tc>
          <w:tcPr>
            <w:tcW w:w="3295" w:type="dxa"/>
            <w:gridSpan w:val="2"/>
            <w:tcBorders>
              <w:top w:val="single" w:color="auto"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25</w:t>
            </w:r>
          </w:p>
        </w:tc>
        <w:tc>
          <w:tcPr>
            <w:tcW w:w="2976" w:type="dxa"/>
            <w:gridSpan w:val="2"/>
            <w:tcBorders>
              <w:bottom w:val="single" w:color="000000" w:sz="4" w:space="0"/>
              <w:right w:val="single" w:color="000000" w:sz="4" w:space="0"/>
            </w:tcBorders>
            <w:vAlign w:val="center"/>
          </w:tcPr>
          <w:p>
            <w:pPr>
              <w:autoSpaceDN w:val="0"/>
              <w:jc w:val="right"/>
              <w:textAlignment w:val="center"/>
              <w:rPr>
                <w:sz w:val="20"/>
                <w:szCs w:val="20"/>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二十五、债务付息支出</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56</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26</w:t>
            </w:r>
          </w:p>
        </w:tc>
        <w:tc>
          <w:tcPr>
            <w:tcW w:w="2976" w:type="dxa"/>
            <w:gridSpan w:val="2"/>
            <w:tcBorders>
              <w:bottom w:val="single" w:color="000000" w:sz="4" w:space="0"/>
              <w:right w:val="single" w:color="000000" w:sz="4" w:space="0"/>
            </w:tcBorders>
            <w:vAlign w:val="center"/>
          </w:tcPr>
          <w:p>
            <w:pPr>
              <w:autoSpaceDN w:val="0"/>
              <w:jc w:val="right"/>
              <w:textAlignment w:val="center"/>
              <w:rPr>
                <w:sz w:val="20"/>
                <w:szCs w:val="20"/>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二十六、抗疫特别国债安排的支出</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57</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i w:val="0"/>
                <w:color w:val="000000"/>
                <w:sz w:val="20"/>
                <w:szCs w:val="20"/>
                <w:u w:val="none"/>
                <w:lang w:eastAsia="zh-CN"/>
              </w:rPr>
              <w:t>本年收入合计</w:t>
            </w: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27</w:t>
            </w:r>
          </w:p>
        </w:tc>
        <w:tc>
          <w:tcPr>
            <w:tcW w:w="2976" w:type="dxa"/>
            <w:gridSpan w:val="2"/>
            <w:tcBorders>
              <w:bottom w:val="single" w:color="000000" w:sz="4" w:space="0"/>
              <w:right w:val="single" w:color="000000" w:sz="4" w:space="0"/>
            </w:tcBorders>
            <w:vAlign w:val="center"/>
          </w:tcPr>
          <w:p>
            <w:pPr>
              <w:autoSpaceDN w:val="0"/>
              <w:jc w:val="right"/>
              <w:textAlignment w:val="center"/>
              <w:rPr>
                <w:sz w:val="20"/>
                <w:szCs w:val="20"/>
              </w:rPr>
            </w:pPr>
            <w:r>
              <w:rPr>
                <w:rFonts w:hint="default" w:ascii="宋体" w:hAnsi="宋体" w:eastAsia="宋体"/>
                <w:b w:val="0"/>
                <w:i w:val="0"/>
                <w:color w:val="000000"/>
                <w:sz w:val="20"/>
                <w:szCs w:val="20"/>
                <w:u w:val="none"/>
                <w:lang w:eastAsia="zh-CN"/>
              </w:rPr>
              <w:t>2,513.99</w:t>
            </w:r>
          </w:p>
        </w:tc>
        <w:tc>
          <w:tcPr>
            <w:tcW w:w="32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szCs w:val="20"/>
                <w:u w:val="none"/>
                <w:shd w:val="clear" w:color="auto" w:fill="C0C0C0"/>
                <w:lang w:eastAsia="zh-CN"/>
              </w:rPr>
            </w:pPr>
            <w:r>
              <w:rPr>
                <w:rFonts w:hint="default" w:ascii="宋体" w:hAnsi="宋体" w:eastAsia="宋体"/>
                <w:b/>
                <w:i w:val="0"/>
                <w:color w:val="000000"/>
                <w:sz w:val="20"/>
                <w:szCs w:val="20"/>
                <w:u w:val="none"/>
                <w:lang w:eastAsia="zh-CN"/>
              </w:rPr>
              <w:t>本年支出合计</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58</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6,295.76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使用非财政拨款结余</w:t>
            </w: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28</w:t>
            </w:r>
          </w:p>
        </w:tc>
        <w:tc>
          <w:tcPr>
            <w:tcW w:w="2976" w:type="dxa"/>
            <w:gridSpan w:val="2"/>
            <w:tcBorders>
              <w:bottom w:val="single" w:color="000000" w:sz="4" w:space="0"/>
              <w:right w:val="single" w:color="000000" w:sz="4" w:space="0"/>
            </w:tcBorders>
            <w:vAlign w:val="center"/>
          </w:tcPr>
          <w:p>
            <w:pPr>
              <w:autoSpaceDN w:val="0"/>
              <w:jc w:val="right"/>
              <w:textAlignment w:val="center"/>
              <w:rPr>
                <w:sz w:val="20"/>
                <w:szCs w:val="20"/>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结余分配</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59</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年初结转和结余</w:t>
            </w: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29</w:t>
            </w:r>
          </w:p>
        </w:tc>
        <w:tc>
          <w:tcPr>
            <w:tcW w:w="2976" w:type="dxa"/>
            <w:gridSpan w:val="2"/>
            <w:tcBorders>
              <w:bottom w:val="single" w:color="000000" w:sz="4" w:space="0"/>
              <w:right w:val="single" w:color="000000" w:sz="4" w:space="0"/>
            </w:tcBorders>
            <w:vAlign w:val="center"/>
          </w:tcPr>
          <w:p>
            <w:pPr>
              <w:autoSpaceDN w:val="0"/>
              <w:jc w:val="right"/>
              <w:textAlignment w:val="center"/>
              <w:rPr>
                <w:sz w:val="20"/>
                <w:szCs w:val="20"/>
              </w:rPr>
            </w:pPr>
            <w:r>
              <w:rPr>
                <w:rFonts w:hint="default" w:ascii="宋体" w:hAnsi="宋体" w:eastAsia="宋体"/>
                <w:b w:val="0"/>
                <w:i w:val="0"/>
                <w:color w:val="000000"/>
                <w:sz w:val="20"/>
                <w:szCs w:val="20"/>
                <w:u w:val="none"/>
                <w:lang w:eastAsia="zh-CN"/>
              </w:rPr>
              <w:t>3,781.90</w:t>
            </w: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年末结转和结余</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60</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30</w:t>
            </w:r>
          </w:p>
        </w:tc>
        <w:tc>
          <w:tcPr>
            <w:tcW w:w="2976" w:type="dxa"/>
            <w:gridSpan w:val="2"/>
            <w:tcBorders>
              <w:bottom w:val="single" w:color="000000" w:sz="4" w:space="0"/>
              <w:right w:val="single" w:color="000000" w:sz="4" w:space="0"/>
            </w:tcBorders>
            <w:vAlign w:val="center"/>
          </w:tcPr>
          <w:p>
            <w:pPr>
              <w:autoSpaceDN w:val="0"/>
              <w:jc w:val="right"/>
              <w:textAlignment w:val="center"/>
              <w:rPr>
                <w:sz w:val="20"/>
                <w:szCs w:val="20"/>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shd w:val="clear" w:color="auto" w:fill="C0C0C0"/>
                <w:lang w:eastAsia="zh-CN"/>
              </w:rPr>
            </w:pP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61</w:t>
            </w:r>
          </w:p>
        </w:tc>
        <w:tc>
          <w:tcPr>
            <w:tcW w:w="329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577"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i w:val="0"/>
                <w:color w:val="000000"/>
                <w:sz w:val="20"/>
                <w:szCs w:val="20"/>
                <w:u w:val="none"/>
                <w:lang w:eastAsia="zh-CN"/>
              </w:rPr>
              <w:t>总计</w:t>
            </w:r>
          </w:p>
        </w:tc>
        <w:tc>
          <w:tcPr>
            <w:tcW w:w="480" w:type="dxa"/>
            <w:tcBorders>
              <w:left w:val="single" w:color="000000" w:sz="4" w:space="0"/>
              <w:bottom w:val="single" w:color="000000" w:sz="4" w:space="0"/>
              <w:right w:val="single" w:color="000000" w:sz="4" w:space="0"/>
            </w:tcBorders>
            <w:vAlign w:val="center"/>
          </w:tcPr>
          <w:p>
            <w:pPr>
              <w:autoSpaceDN w:val="0"/>
              <w:jc w:val="center"/>
              <w:textAlignment w:val="center"/>
              <w:rPr>
                <w:sz w:val="20"/>
                <w:szCs w:val="20"/>
              </w:rPr>
            </w:pPr>
            <w:r>
              <w:rPr>
                <w:rFonts w:hint="default" w:ascii="宋体" w:hAnsi="宋体" w:eastAsia="宋体"/>
                <w:b w:val="0"/>
                <w:i w:val="0"/>
                <w:color w:val="000000"/>
                <w:sz w:val="20"/>
                <w:szCs w:val="20"/>
                <w:u w:val="none"/>
                <w:lang w:eastAsia="zh-CN"/>
              </w:rPr>
              <w:t>31</w:t>
            </w:r>
          </w:p>
        </w:tc>
        <w:tc>
          <w:tcPr>
            <w:tcW w:w="2976" w:type="dxa"/>
            <w:gridSpan w:val="2"/>
            <w:tcBorders>
              <w:bottom w:val="single" w:color="000000" w:sz="4" w:space="0"/>
              <w:right w:val="single" w:color="000000" w:sz="4" w:space="0"/>
            </w:tcBorders>
            <w:vAlign w:val="center"/>
          </w:tcPr>
          <w:p>
            <w:pPr>
              <w:autoSpaceDN w:val="0"/>
              <w:jc w:val="right"/>
              <w:textAlignment w:val="center"/>
              <w:rPr>
                <w:sz w:val="20"/>
                <w:szCs w:val="20"/>
              </w:rPr>
            </w:pPr>
            <w:r>
              <w:rPr>
                <w:rFonts w:hint="default" w:ascii="宋体" w:hAnsi="宋体" w:eastAsia="宋体"/>
                <w:b w:val="0"/>
                <w:i w:val="0"/>
                <w:color w:val="000000"/>
                <w:sz w:val="20"/>
                <w:szCs w:val="20"/>
                <w:u w:val="none"/>
                <w:lang w:eastAsia="zh-CN"/>
              </w:rPr>
              <w:t>6,295.89</w:t>
            </w:r>
          </w:p>
        </w:tc>
        <w:tc>
          <w:tcPr>
            <w:tcW w:w="32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szCs w:val="20"/>
                <w:u w:val="none"/>
                <w:shd w:val="clear" w:color="auto" w:fill="C0C0C0"/>
                <w:lang w:eastAsia="zh-CN"/>
              </w:rPr>
            </w:pPr>
            <w:r>
              <w:rPr>
                <w:rFonts w:hint="default" w:ascii="宋体" w:hAnsi="宋体" w:eastAsia="宋体"/>
                <w:b/>
                <w:i w:val="0"/>
                <w:color w:val="000000"/>
                <w:sz w:val="20"/>
                <w:szCs w:val="20"/>
                <w:u w:val="none"/>
                <w:lang w:eastAsia="zh-CN"/>
              </w:rPr>
              <w:t>总计</w:t>
            </w:r>
          </w:p>
        </w:tc>
        <w:tc>
          <w:tcPr>
            <w:tcW w:w="4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shd w:val="clear" w:color="auto" w:fill="C0C0C0"/>
                <w:lang w:eastAsia="zh-CN"/>
              </w:rPr>
            </w:pPr>
            <w:r>
              <w:rPr>
                <w:rFonts w:hint="default" w:ascii="宋体" w:hAnsi="宋体" w:eastAsia="宋体"/>
                <w:b w:val="0"/>
                <w:i w:val="0"/>
                <w:color w:val="000000"/>
                <w:sz w:val="20"/>
                <w:szCs w:val="20"/>
                <w:u w:val="none"/>
                <w:lang w:eastAsia="zh-CN"/>
              </w:rPr>
              <w:t>62</w:t>
            </w:r>
          </w:p>
        </w:tc>
        <w:tc>
          <w:tcPr>
            <w:tcW w:w="329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6,295.89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4066" w:type="dxa"/>
            <w:gridSpan w:val="9"/>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注：本表反映</w:t>
            </w:r>
            <w:r>
              <w:rPr>
                <w:rFonts w:hint="eastAsia" w:ascii="宋体" w:hAnsi="宋体"/>
                <w:b w:val="0"/>
                <w:i w:val="0"/>
                <w:color w:val="000000"/>
                <w:sz w:val="20"/>
                <w:szCs w:val="20"/>
                <w:u w:val="none"/>
                <w:lang w:eastAsia="zh-CN"/>
              </w:rPr>
              <w:t>单位</w:t>
            </w:r>
            <w:r>
              <w:rPr>
                <w:rFonts w:hint="default" w:ascii="宋体" w:hAnsi="宋体" w:eastAsia="宋体"/>
                <w:b w:val="0"/>
                <w:i w:val="0"/>
                <w:color w:val="000000"/>
                <w:sz w:val="20"/>
                <w:szCs w:val="20"/>
                <w:u w:val="none"/>
                <w:lang w:eastAsia="zh-CN"/>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138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7"/>
        <w:gridCol w:w="59"/>
        <w:gridCol w:w="1271"/>
        <w:gridCol w:w="1553"/>
        <w:gridCol w:w="88"/>
        <w:gridCol w:w="1465"/>
        <w:gridCol w:w="176"/>
        <w:gridCol w:w="1377"/>
        <w:gridCol w:w="264"/>
        <w:gridCol w:w="1289"/>
        <w:gridCol w:w="352"/>
        <w:gridCol w:w="1201"/>
        <w:gridCol w:w="440"/>
        <w:gridCol w:w="1113"/>
        <w:gridCol w:w="528"/>
        <w:gridCol w:w="1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9"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1"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7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10" w:type="dxa"/>
            <w:gridSpan w:val="4"/>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eastAsia="zh-CN"/>
              </w:rPr>
              <w:t>许昌市城市管理局（本级）</w:t>
            </w: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7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57"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科目编码</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57" w:type="dxa"/>
            <w:gridSpan w:val="3"/>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栏次</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57" w:type="dxa"/>
            <w:gridSpan w:val="3"/>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2,513.99</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2,513.91</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b w:val="0"/>
                <w:bCs/>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b w:val="0"/>
                <w:bCs/>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b w:val="0"/>
                <w:bCs/>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b w:val="0"/>
                <w:bCs/>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b w:val="0"/>
                <w:bCs/>
                <w:color w:val="000000"/>
                <w:sz w:val="20"/>
                <w:szCs w:val="20"/>
                <w:highlight w:val="none"/>
                <w:lang w:val="en-US" w:eastAsia="zh-CN"/>
              </w:rPr>
            </w:pPr>
            <w:r>
              <w:rPr>
                <w:rFonts w:hint="eastAsia" w:ascii="宋体" w:hAnsi="宋体" w:cs="宋体"/>
                <w:b w:val="0"/>
                <w:bCs/>
                <w:color w:val="000000"/>
                <w:sz w:val="20"/>
                <w:szCs w:val="20"/>
                <w:highlight w:val="none"/>
                <w:lang w:val="en-US" w:eastAsia="zh-CN"/>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一般公共服务支出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1.83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1.83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20129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群众团体事务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华文中宋" w:hAnsi="华文中宋" w:eastAsia="华文中宋" w:cs="华文中宋"/>
                <w:color w:val="000000"/>
                <w:sz w:val="20"/>
                <w:szCs w:val="20"/>
                <w:highlight w:val="none"/>
              </w:rPr>
            </w:pPr>
            <w:r>
              <w:rPr>
                <w:rFonts w:hint="default" w:ascii="宋体" w:hAnsi="宋体" w:eastAsia="宋体"/>
                <w:b w:val="0"/>
                <w:i w:val="0"/>
                <w:color w:val="000000"/>
                <w:sz w:val="20"/>
                <w:szCs w:val="20"/>
                <w:u w:val="none"/>
                <w:lang w:eastAsia="zh-CN"/>
              </w:rPr>
              <w:t>1.83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1.83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2012906</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工会事务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1.83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1.83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208</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社会保障和就业支出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57.92</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57.92</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20805</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行政事业单位养老支出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57.92</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57.92</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2080501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行政单位离退休</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44.08</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44.08</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2080505</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机关事业单位基本养老保险缴费支出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13.84</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13.84</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210</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卫生健康支出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13.96</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13.96</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21011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行政事业单位医疗</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13.96</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13.96</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2101101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行政单位医疗</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7.26</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7.26</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2101103</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公务员医疗补助</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6.70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6.70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节能环保支出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785.53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785.53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21114</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能源管理事务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785.53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785.53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2111499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其他能源管理事务支出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785.53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785.53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城乡社区支出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1,652.74</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1,652.66</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城乡社区管理事务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1,330.21</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1,330.13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2120101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行政运行</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452.60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452.52</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2120102</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一般行政管理事务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477.44</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477.44</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2120199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其他城乡社区管理事务支出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400.17</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400.17</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21202</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城乡社区规划与管理</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296.28</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296.28</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2120201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城乡社区规划与管理</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296.28</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296.28</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21203</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城乡社区公共设施</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26.25</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26.25</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2120399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其他城乡社区公共设施支出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26.25</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26.25</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213</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农林水支出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21303</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水利</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2130399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其他水利支出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b w:val="0"/>
                <w:i w:val="0"/>
                <w:color w:val="000000"/>
                <w:sz w:val="20"/>
                <w:szCs w:val="20"/>
                <w:u w:val="none"/>
                <w:lang w:eastAsia="zh-CN"/>
              </w:rPr>
              <w:t>单位</w:t>
            </w:r>
            <w:r>
              <w:rPr>
                <w:rFonts w:hint="eastAsia" w:ascii="宋体" w:hAnsi="宋体" w:cs="宋体"/>
                <w:color w:val="000000"/>
                <w:kern w:val="0"/>
                <w:sz w:val="20"/>
                <w:szCs w:val="20"/>
                <w:highlight w:val="none"/>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0"/>
        <w:gridCol w:w="63"/>
        <w:gridCol w:w="27"/>
        <w:gridCol w:w="1349"/>
        <w:gridCol w:w="1904"/>
        <w:gridCol w:w="1904"/>
        <w:gridCol w:w="1904"/>
        <w:gridCol w:w="1904"/>
        <w:gridCol w:w="1904"/>
        <w:gridCol w:w="1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12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0"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49"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463" w:type="dxa"/>
            <w:gridSpan w:val="5"/>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eastAsia="zh-CN"/>
              </w:rPr>
              <w:t>许昌市城市管理局（本级）</w:t>
            </w:r>
          </w:p>
        </w:tc>
        <w:tc>
          <w:tcPr>
            <w:tcW w:w="190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1904"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本年支出合计</w:t>
            </w:r>
          </w:p>
        </w:tc>
        <w:tc>
          <w:tcPr>
            <w:tcW w:w="1904"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基本支出</w:t>
            </w:r>
          </w:p>
        </w:tc>
        <w:tc>
          <w:tcPr>
            <w:tcW w:w="1904"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项目支出</w:t>
            </w:r>
          </w:p>
        </w:tc>
        <w:tc>
          <w:tcPr>
            <w:tcW w:w="1904"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上缴上级支出</w:t>
            </w:r>
          </w:p>
        </w:tc>
        <w:tc>
          <w:tcPr>
            <w:tcW w:w="1904"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科目编码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1904"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栏次</w:t>
            </w:r>
          </w:p>
        </w:tc>
        <w:tc>
          <w:tcPr>
            <w:tcW w:w="1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6,295.76</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584.87</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5,710.89</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一般公共服务支出</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1.83</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1.83</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20129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群众团体事务</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1.83</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1.83</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2012906</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工会事务</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1.83</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1.83</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208</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社会保障和就业支出</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70.78</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70.78</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20805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行政事业单位养老支出</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70.78</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70.78</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2080501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行政单位离退休</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47.18</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47.18</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2080505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机关事业单位基本养老保险缴费支出</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23.59</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23.59</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2080599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其他行政事业单位养老支出</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0.01</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0.01</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210</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卫生健康支出</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22.32</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22.32</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21011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行政事业单位医疗</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22.32</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22.32</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2101101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行政单位医疗</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11.43</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11.43</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2101103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公务员医疗补助</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10.89</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10.89</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节能环保支出</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785.53</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785.53</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21114</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能源管理事务</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785.53</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785.53</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2111499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其他能源管理事务支出</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785.53</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785.53</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城乡社区支出</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5,413.30</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489.94</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4,923.35</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城乡社区管理事务</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3,369.94</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489.94</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2,880.00</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2120101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行政运行</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489.94</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489.94</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2120102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一般行政管理事务</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2,479.84</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2,479.84</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2120199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 xml:space="preserve"> 其他城乡社区管理事务支出</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400.17</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400.17</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城乡社区规划与管理</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299.12</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299.12</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2120201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城乡社区规划与管理</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299.12</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299.12</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城乡社区公共设施</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1,744.23</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1,744.23</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2120399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其他城乡社区公共设施支出</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1,744.23</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1,744.23</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农林水支出</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2.00</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2.00</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21303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水利</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2.00</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2.00</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2130399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其他水利支出</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2.00</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2.00</w:t>
            </w: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3988" w:type="dxa"/>
            <w:gridSpan w:val="10"/>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b w:val="0"/>
                <w:i w:val="0"/>
                <w:color w:val="000000"/>
                <w:sz w:val="20"/>
                <w:szCs w:val="20"/>
                <w:u w:val="none"/>
                <w:lang w:eastAsia="zh-CN"/>
              </w:rPr>
              <w:t>单位</w:t>
            </w:r>
            <w:r>
              <w:rPr>
                <w:rFonts w:hint="eastAsia" w:ascii="宋体" w:hAnsi="宋体" w:cs="宋体"/>
                <w:color w:val="000000"/>
                <w:kern w:val="0"/>
                <w:sz w:val="20"/>
                <w:szCs w:val="20"/>
                <w:highlight w:val="none"/>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13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19"/>
        <w:gridCol w:w="665"/>
        <w:gridCol w:w="1842"/>
        <w:gridCol w:w="2748"/>
        <w:gridCol w:w="630"/>
        <w:gridCol w:w="1125"/>
        <w:gridCol w:w="1230"/>
        <w:gridCol w:w="319"/>
        <w:gridCol w:w="942"/>
        <w:gridCol w:w="1"/>
        <w:gridCol w:w="1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8" w:hRule="atLeast"/>
        </w:trPr>
        <w:tc>
          <w:tcPr>
            <w:tcW w:w="12921"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财政拨款收入支出决算总表</w:t>
            </w:r>
          </w:p>
        </w:tc>
        <w:tc>
          <w:tcPr>
            <w:tcW w:w="1059" w:type="dxa"/>
            <w:tcBorders>
              <w:top w:val="nil"/>
              <w:left w:val="nil"/>
              <w:bottom w:val="nil"/>
              <w:right w:val="nil"/>
            </w:tcBorders>
            <w:vAlign w:val="top"/>
          </w:tcPr>
          <w:p>
            <w:pPr>
              <w:widowControl/>
              <w:jc w:val="center"/>
              <w:textAlignment w:val="center"/>
              <w:rPr>
                <w:rFonts w:hint="eastAsia" w:ascii="华文中宋" w:hAnsi="华文中宋" w:eastAsia="华文中宋" w:cs="华文中宋"/>
                <w:color w:val="000000"/>
                <w:kern w:val="0"/>
                <w:sz w:val="32"/>
                <w:szCs w:val="3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 w:hRule="atLeast"/>
        </w:trPr>
        <w:tc>
          <w:tcPr>
            <w:tcW w:w="3419"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6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42"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748"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3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2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49" w:type="dxa"/>
            <w:gridSpan w:val="2"/>
            <w:tcBorders>
              <w:top w:val="nil"/>
              <w:left w:val="nil"/>
              <w:bottom w:val="nil"/>
              <w:right w:val="nil"/>
            </w:tcBorders>
            <w:shd w:val="clear" w:color="auto" w:fill="FFFFFF"/>
            <w:tcMar>
              <w:top w:w="15" w:type="dxa"/>
              <w:left w:w="15" w:type="dxa"/>
              <w:right w:w="15" w:type="dxa"/>
            </w:tcMar>
            <w:vAlign w:val="center"/>
          </w:tcPr>
          <w:p>
            <w:pPr>
              <w:wordWrap w:val="0"/>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w:t>
            </w:r>
            <w:r>
              <w:rPr>
                <w:rFonts w:ascii="宋体" w:hAnsi="宋体" w:cs="宋体"/>
                <w:color w:val="000000"/>
                <w:sz w:val="20"/>
                <w:szCs w:val="20"/>
                <w:highlight w:val="none"/>
              </w:rPr>
              <w:t xml:space="preserve">       </w:t>
            </w:r>
          </w:p>
        </w:tc>
        <w:tc>
          <w:tcPr>
            <w:tcW w:w="2002" w:type="dxa"/>
            <w:gridSpan w:val="3"/>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 w:hRule="atLeast"/>
        </w:trPr>
        <w:tc>
          <w:tcPr>
            <w:tcW w:w="3419"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eastAsia="zh-CN"/>
              </w:rPr>
              <w:t>许昌市城市管理局（本级）</w:t>
            </w:r>
          </w:p>
        </w:tc>
        <w:tc>
          <w:tcPr>
            <w:tcW w:w="66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42"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748"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3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2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49"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002" w:type="dxa"/>
            <w:gridSpan w:val="3"/>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6" w:hRule="atLeast"/>
        </w:trPr>
        <w:tc>
          <w:tcPr>
            <w:tcW w:w="5926"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收入</w:t>
            </w:r>
          </w:p>
        </w:tc>
        <w:tc>
          <w:tcPr>
            <w:tcW w:w="8054" w:type="dxa"/>
            <w:gridSpan w:val="8"/>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4" w:hRule="atLeast"/>
        </w:trPr>
        <w:tc>
          <w:tcPr>
            <w:tcW w:w="341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行次</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金额</w:t>
            </w:r>
          </w:p>
        </w:tc>
        <w:tc>
          <w:tcPr>
            <w:tcW w:w="27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行次</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一般公共预算财政拨款</w:t>
            </w:r>
          </w:p>
        </w:tc>
        <w:tc>
          <w:tcPr>
            <w:tcW w:w="126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政府性基金预算财政拨款</w:t>
            </w:r>
          </w:p>
        </w:tc>
        <w:tc>
          <w:tcPr>
            <w:tcW w:w="1060" w:type="dxa"/>
            <w:gridSpan w:val="2"/>
            <w:tcBorders>
              <w:top w:val="single" w:color="000000" w:sz="4" w:space="0"/>
              <w:left w:val="single" w:color="000000" w:sz="4" w:space="0"/>
              <w:bottom w:val="single" w:color="000000" w:sz="4" w:space="0"/>
              <w:right w:val="single" w:color="000000" w:sz="8" w:space="0"/>
            </w:tcBorders>
            <w:vAlign w:val="top"/>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sz w:val="20"/>
                <w:szCs w:val="20"/>
                <w:highlight w:val="none"/>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    次</w:t>
            </w: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27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    次</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261" w:type="dxa"/>
            <w:gridSpan w:val="2"/>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060" w:type="dxa"/>
            <w:gridSpan w:val="2"/>
            <w:tcBorders>
              <w:top w:val="single" w:color="000000" w:sz="4" w:space="0"/>
              <w:left w:val="single" w:color="000000" w:sz="4" w:space="0"/>
              <w:bottom w:val="single" w:color="000000" w:sz="4" w:space="0"/>
              <w:right w:val="single" w:color="000000" w:sz="8" w:space="0"/>
            </w:tcBorders>
            <w:shd w:val="clear" w:color="auto" w:fill="FFFFFF"/>
            <w:vAlign w:val="top"/>
          </w:tcPr>
          <w:p>
            <w:pPr>
              <w:widowControl/>
              <w:jc w:val="center"/>
              <w:textAlignment w:val="center"/>
              <w:rPr>
                <w:rFonts w:hint="eastAsia" w:ascii="宋体" w:hAnsi="宋体" w:cs="宋体"/>
                <w:color w:val="000000"/>
                <w:kern w:val="0"/>
                <w:sz w:val="20"/>
                <w:szCs w:val="20"/>
                <w:highlight w:val="none"/>
              </w:rPr>
            </w:pPr>
            <w:r>
              <w:rPr>
                <w:rFonts w:ascii="宋体" w:hAnsi="宋体" w:cs="宋体"/>
                <w:color w:val="000000"/>
                <w:kern w:val="0"/>
                <w:sz w:val="20"/>
                <w:szCs w:val="20"/>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一、一般公共预算财政拨款</w:t>
            </w: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2,513.91</w:t>
            </w:r>
          </w:p>
        </w:tc>
        <w:tc>
          <w:tcPr>
            <w:tcW w:w="2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一、一般公共服务支出</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rPr>
            </w:pPr>
            <w:r>
              <w:rPr>
                <w:rFonts w:hint="default" w:ascii="宋体" w:hAnsi="宋体" w:cs="宋体"/>
                <w:color w:val="auto"/>
                <w:kern w:val="0"/>
                <w:sz w:val="20"/>
                <w:szCs w:val="20"/>
                <w:highlight w:val="none"/>
                <w:lang w:eastAsia="zh-CN"/>
              </w:rPr>
              <w:t>33</w:t>
            </w:r>
          </w:p>
        </w:tc>
        <w:tc>
          <w:tcPr>
            <w:tcW w:w="1125"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r>
              <w:rPr>
                <w:rFonts w:hint="default" w:ascii="宋体" w:hAnsi="宋体" w:eastAsia="宋体"/>
                <w:b w:val="0"/>
                <w:i w:val="0"/>
                <w:color w:val="auto"/>
                <w:sz w:val="20"/>
                <w:szCs w:val="20"/>
                <w:highlight w:val="none"/>
                <w:u w:val="none"/>
                <w:lang w:eastAsia="zh-CN"/>
              </w:rPr>
              <w:t>1.83</w:t>
            </w:r>
          </w:p>
        </w:tc>
        <w:tc>
          <w:tcPr>
            <w:tcW w:w="123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r>
              <w:rPr>
                <w:rFonts w:hint="default" w:ascii="宋体" w:hAnsi="宋体" w:eastAsia="宋体"/>
                <w:b w:val="0"/>
                <w:i w:val="0"/>
                <w:color w:val="auto"/>
                <w:sz w:val="20"/>
                <w:szCs w:val="20"/>
                <w:highlight w:val="none"/>
                <w:u w:val="none"/>
                <w:lang w:eastAsia="zh-CN"/>
              </w:rPr>
              <w:t>1.83</w:t>
            </w:r>
          </w:p>
        </w:tc>
        <w:tc>
          <w:tcPr>
            <w:tcW w:w="126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二、政府性基金预算财政拨款</w:t>
            </w: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2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二、外交支出</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rPr>
            </w:pPr>
            <w:r>
              <w:rPr>
                <w:rFonts w:hint="default" w:ascii="宋体" w:hAnsi="宋体" w:cs="宋体"/>
                <w:color w:val="auto"/>
                <w:kern w:val="0"/>
                <w:sz w:val="20"/>
                <w:szCs w:val="20"/>
                <w:highlight w:val="none"/>
                <w:lang w:eastAsia="zh-CN"/>
              </w:rPr>
              <w:t>34</w:t>
            </w:r>
          </w:p>
        </w:tc>
        <w:tc>
          <w:tcPr>
            <w:tcW w:w="1125"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23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26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三、国有资本经营预算财政拨款</w:t>
            </w: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2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三、国防支出</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rPr>
            </w:pPr>
            <w:r>
              <w:rPr>
                <w:rFonts w:hint="default" w:ascii="宋体" w:hAnsi="宋体" w:cs="宋体"/>
                <w:color w:val="auto"/>
                <w:kern w:val="0"/>
                <w:sz w:val="20"/>
                <w:szCs w:val="20"/>
                <w:highlight w:val="none"/>
                <w:lang w:eastAsia="zh-CN"/>
              </w:rPr>
              <w:t>35</w:t>
            </w:r>
          </w:p>
        </w:tc>
        <w:tc>
          <w:tcPr>
            <w:tcW w:w="1125"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23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26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41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2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四、公共安全支出</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rPr>
            </w:pPr>
            <w:r>
              <w:rPr>
                <w:rFonts w:hint="default" w:ascii="宋体" w:hAnsi="宋体" w:cs="宋体"/>
                <w:color w:val="auto"/>
                <w:kern w:val="0"/>
                <w:sz w:val="20"/>
                <w:szCs w:val="20"/>
                <w:highlight w:val="none"/>
                <w:lang w:eastAsia="zh-CN"/>
              </w:rPr>
              <w:t>36</w:t>
            </w:r>
          </w:p>
        </w:tc>
        <w:tc>
          <w:tcPr>
            <w:tcW w:w="1125"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23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26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2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五、教育支出</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rPr>
            </w:pPr>
            <w:r>
              <w:rPr>
                <w:rFonts w:hint="default" w:ascii="宋体" w:hAnsi="宋体" w:cs="宋体"/>
                <w:color w:val="auto"/>
                <w:kern w:val="0"/>
                <w:sz w:val="20"/>
                <w:szCs w:val="20"/>
                <w:highlight w:val="none"/>
                <w:lang w:eastAsia="zh-CN"/>
              </w:rPr>
              <w:t>37</w:t>
            </w:r>
          </w:p>
        </w:tc>
        <w:tc>
          <w:tcPr>
            <w:tcW w:w="1125"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23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26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2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六、科学技术支出</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rPr>
            </w:pPr>
            <w:r>
              <w:rPr>
                <w:rFonts w:hint="default" w:ascii="宋体" w:hAnsi="宋体" w:cs="宋体"/>
                <w:color w:val="auto"/>
                <w:kern w:val="0"/>
                <w:sz w:val="20"/>
                <w:szCs w:val="20"/>
                <w:highlight w:val="none"/>
                <w:lang w:eastAsia="zh-CN"/>
              </w:rPr>
              <w:t>38</w:t>
            </w:r>
          </w:p>
        </w:tc>
        <w:tc>
          <w:tcPr>
            <w:tcW w:w="1125"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23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26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2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auto"/>
                <w:sz w:val="20"/>
                <w:szCs w:val="20"/>
                <w:highlight w:val="none"/>
              </w:rPr>
            </w:pPr>
            <w:r>
              <w:rPr>
                <w:rFonts w:hint="default" w:ascii="宋体" w:hAnsi="宋体" w:eastAsia="宋体"/>
                <w:b w:val="0"/>
                <w:i w:val="0"/>
                <w:color w:val="000000"/>
                <w:sz w:val="20"/>
                <w:szCs w:val="20"/>
                <w:u w:val="none"/>
                <w:lang w:eastAsia="zh-CN"/>
              </w:rPr>
              <w:t>七、文化旅游体育与传媒支出</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hint="eastAsia" w:ascii="宋体" w:hAnsi="宋体" w:cs="宋体"/>
                <w:color w:val="auto"/>
                <w:kern w:val="0"/>
                <w:sz w:val="20"/>
                <w:szCs w:val="20"/>
                <w:highlight w:val="none"/>
              </w:rPr>
            </w:pPr>
            <w:r>
              <w:rPr>
                <w:rFonts w:hint="default" w:ascii="宋体" w:hAnsi="宋体" w:eastAsia="宋体"/>
                <w:b w:val="0"/>
                <w:i w:val="0"/>
                <w:color w:val="000000"/>
                <w:sz w:val="20"/>
                <w:szCs w:val="20"/>
                <w:u w:val="none"/>
                <w:lang w:eastAsia="zh-CN"/>
              </w:rPr>
              <w:t>39</w:t>
            </w:r>
          </w:p>
        </w:tc>
        <w:tc>
          <w:tcPr>
            <w:tcW w:w="1125"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23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26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2748"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autoSpaceDN w:val="0"/>
              <w:jc w:val="left"/>
              <w:textAlignment w:val="center"/>
              <w:rPr>
                <w:rFonts w:hint="eastAsia" w:ascii="宋体" w:hAnsi="宋体" w:cs="宋体"/>
                <w:color w:val="auto"/>
                <w:sz w:val="20"/>
                <w:szCs w:val="20"/>
                <w:highlight w:val="none"/>
              </w:rPr>
            </w:pPr>
            <w:r>
              <w:rPr>
                <w:rFonts w:hint="default" w:ascii="宋体" w:hAnsi="宋体" w:eastAsia="宋体"/>
                <w:b w:val="0"/>
                <w:i w:val="0"/>
                <w:color w:val="000000"/>
                <w:sz w:val="20"/>
                <w:szCs w:val="20"/>
                <w:u w:val="none"/>
                <w:lang w:eastAsia="zh-CN"/>
              </w:rPr>
              <w:t>八、社会保障和就业支出</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hint="eastAsia" w:ascii="宋体" w:hAnsi="宋体" w:cs="宋体"/>
                <w:color w:val="auto"/>
                <w:kern w:val="0"/>
                <w:sz w:val="20"/>
                <w:szCs w:val="20"/>
                <w:highlight w:val="none"/>
              </w:rPr>
            </w:pPr>
            <w:r>
              <w:rPr>
                <w:rFonts w:hint="default" w:ascii="宋体" w:hAnsi="宋体" w:eastAsia="宋体"/>
                <w:b w:val="0"/>
                <w:i w:val="0"/>
                <w:color w:val="000000"/>
                <w:sz w:val="20"/>
                <w:szCs w:val="20"/>
                <w:u w:val="none"/>
                <w:lang w:eastAsia="zh-CN"/>
              </w:rPr>
              <w:t>40</w:t>
            </w:r>
          </w:p>
        </w:tc>
        <w:tc>
          <w:tcPr>
            <w:tcW w:w="1125" w:type="dxa"/>
            <w:tcBorders>
              <w:top w:val="single" w:color="000000" w:sz="4" w:space="0"/>
              <w:left w:val="nil"/>
              <w:bottom w:val="single" w:color="000000" w:sz="4" w:space="0"/>
              <w:right w:val="nil"/>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r>
              <w:rPr>
                <w:rFonts w:hint="default" w:ascii="宋体" w:hAnsi="宋体" w:eastAsia="宋体"/>
                <w:b w:val="0"/>
                <w:i w:val="0"/>
                <w:color w:val="000000"/>
                <w:sz w:val="20"/>
                <w:szCs w:val="20"/>
                <w:u w:val="none"/>
                <w:lang w:eastAsia="zh-CN"/>
              </w:rPr>
              <w:t>70.78</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r>
              <w:rPr>
                <w:rFonts w:hint="default" w:ascii="宋体" w:hAnsi="宋体" w:eastAsia="宋体"/>
                <w:b w:val="0"/>
                <w:i w:val="0"/>
                <w:color w:val="000000"/>
                <w:sz w:val="20"/>
                <w:szCs w:val="20"/>
                <w:u w:val="none"/>
                <w:lang w:eastAsia="zh-CN"/>
              </w:rPr>
              <w:t>70.78</w:t>
            </w: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9</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2748"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autoSpaceDN w:val="0"/>
              <w:jc w:val="left"/>
              <w:textAlignment w:val="center"/>
              <w:rPr>
                <w:rFonts w:hint="eastAsia" w:ascii="宋体" w:hAnsi="宋体" w:cs="宋体"/>
                <w:color w:val="auto"/>
                <w:sz w:val="20"/>
                <w:szCs w:val="20"/>
                <w:highlight w:val="none"/>
              </w:rPr>
            </w:pPr>
            <w:r>
              <w:rPr>
                <w:rFonts w:hint="default" w:ascii="宋体" w:hAnsi="宋体" w:eastAsia="宋体"/>
                <w:b w:val="0"/>
                <w:i w:val="0"/>
                <w:color w:val="000000"/>
                <w:sz w:val="20"/>
                <w:szCs w:val="20"/>
                <w:u w:val="none"/>
                <w:lang w:eastAsia="zh-CN"/>
              </w:rPr>
              <w:t>九、卫生健康支出</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hint="eastAsia" w:ascii="宋体" w:hAnsi="宋体" w:cs="宋体"/>
                <w:color w:val="auto"/>
                <w:kern w:val="0"/>
                <w:sz w:val="20"/>
                <w:szCs w:val="20"/>
                <w:highlight w:val="none"/>
              </w:rPr>
            </w:pPr>
            <w:r>
              <w:rPr>
                <w:rFonts w:hint="default" w:ascii="宋体" w:hAnsi="宋体" w:eastAsia="宋体"/>
                <w:b w:val="0"/>
                <w:i w:val="0"/>
                <w:color w:val="000000"/>
                <w:sz w:val="20"/>
                <w:szCs w:val="20"/>
                <w:u w:val="none"/>
                <w:lang w:eastAsia="zh-CN"/>
              </w:rPr>
              <w:t>41</w:t>
            </w:r>
          </w:p>
        </w:tc>
        <w:tc>
          <w:tcPr>
            <w:tcW w:w="1125" w:type="dxa"/>
            <w:tcBorders>
              <w:top w:val="single" w:color="000000" w:sz="4" w:space="0"/>
              <w:left w:val="nil"/>
              <w:bottom w:val="single" w:color="000000" w:sz="4" w:space="0"/>
              <w:right w:val="nil"/>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r>
              <w:rPr>
                <w:rFonts w:hint="default" w:ascii="宋体" w:hAnsi="宋体" w:eastAsia="宋体"/>
                <w:b w:val="0"/>
                <w:i w:val="0"/>
                <w:color w:val="000000"/>
                <w:sz w:val="20"/>
                <w:szCs w:val="20"/>
                <w:u w:val="none"/>
                <w:lang w:eastAsia="zh-CN"/>
              </w:rPr>
              <w:t>22.32</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r>
              <w:rPr>
                <w:rFonts w:hint="default" w:ascii="宋体" w:hAnsi="宋体" w:eastAsia="宋体"/>
                <w:b w:val="0"/>
                <w:i w:val="0"/>
                <w:color w:val="000000"/>
                <w:sz w:val="20"/>
                <w:szCs w:val="20"/>
                <w:u w:val="none"/>
                <w:lang w:eastAsia="zh-CN"/>
              </w:rPr>
              <w:t>22.32</w:t>
            </w: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10</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2748"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autoSpaceDN w:val="0"/>
              <w:jc w:val="left"/>
              <w:textAlignment w:val="center"/>
              <w:rPr>
                <w:rFonts w:hint="eastAsia" w:ascii="宋体" w:hAnsi="宋体" w:cs="宋体"/>
                <w:color w:val="auto"/>
                <w:sz w:val="20"/>
                <w:szCs w:val="20"/>
                <w:highlight w:val="none"/>
              </w:rPr>
            </w:pPr>
            <w:r>
              <w:rPr>
                <w:rFonts w:hint="default" w:ascii="宋体" w:hAnsi="宋体" w:eastAsia="宋体"/>
                <w:b w:val="0"/>
                <w:i w:val="0"/>
                <w:color w:val="000000"/>
                <w:sz w:val="20"/>
                <w:szCs w:val="20"/>
                <w:u w:val="none"/>
                <w:lang w:eastAsia="zh-CN"/>
              </w:rPr>
              <w:t>十、节能环保支出</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hint="eastAsia" w:ascii="宋体" w:hAnsi="宋体" w:cs="宋体"/>
                <w:color w:val="auto"/>
                <w:kern w:val="0"/>
                <w:sz w:val="20"/>
                <w:szCs w:val="20"/>
                <w:highlight w:val="none"/>
              </w:rPr>
            </w:pPr>
            <w:r>
              <w:rPr>
                <w:rFonts w:hint="default" w:ascii="宋体" w:hAnsi="宋体" w:eastAsia="宋体"/>
                <w:b w:val="0"/>
                <w:i w:val="0"/>
                <w:color w:val="000000"/>
                <w:sz w:val="20"/>
                <w:szCs w:val="20"/>
                <w:u w:val="none"/>
                <w:lang w:eastAsia="zh-CN"/>
              </w:rPr>
              <w:t>42</w:t>
            </w:r>
          </w:p>
        </w:tc>
        <w:tc>
          <w:tcPr>
            <w:tcW w:w="1125" w:type="dxa"/>
            <w:tcBorders>
              <w:top w:val="single" w:color="000000" w:sz="4" w:space="0"/>
              <w:left w:val="nil"/>
              <w:bottom w:val="single" w:color="000000" w:sz="4" w:space="0"/>
              <w:right w:val="nil"/>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r>
              <w:rPr>
                <w:rFonts w:hint="default" w:ascii="宋体" w:hAnsi="宋体" w:eastAsia="宋体"/>
                <w:b w:val="0"/>
                <w:i w:val="0"/>
                <w:color w:val="000000"/>
                <w:sz w:val="20"/>
                <w:szCs w:val="20"/>
                <w:u w:val="none"/>
                <w:lang w:eastAsia="zh-CN"/>
              </w:rPr>
              <w:t>785.53</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r>
              <w:rPr>
                <w:rFonts w:hint="default" w:ascii="宋体" w:hAnsi="宋体" w:eastAsia="宋体"/>
                <w:b w:val="0"/>
                <w:i w:val="0"/>
                <w:color w:val="000000"/>
                <w:sz w:val="20"/>
                <w:szCs w:val="20"/>
                <w:u w:val="none"/>
                <w:lang w:eastAsia="zh-CN"/>
              </w:rPr>
              <w:t>785.53</w:t>
            </w: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11</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2748"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autoSpaceDN w:val="0"/>
              <w:jc w:val="left"/>
              <w:textAlignment w:val="center"/>
              <w:rPr>
                <w:rFonts w:hint="eastAsia" w:ascii="宋体" w:hAnsi="宋体" w:cs="宋体"/>
                <w:color w:val="auto"/>
                <w:sz w:val="20"/>
                <w:szCs w:val="20"/>
                <w:highlight w:val="none"/>
              </w:rPr>
            </w:pPr>
            <w:r>
              <w:rPr>
                <w:rFonts w:hint="default" w:ascii="宋体" w:hAnsi="宋体" w:eastAsia="宋体"/>
                <w:b w:val="0"/>
                <w:i w:val="0"/>
                <w:color w:val="000000"/>
                <w:sz w:val="20"/>
                <w:szCs w:val="20"/>
                <w:u w:val="none"/>
                <w:lang w:eastAsia="zh-CN"/>
              </w:rPr>
              <w:t>十一、城乡社区支出</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hint="eastAsia" w:ascii="宋体" w:hAnsi="宋体" w:cs="宋体"/>
                <w:color w:val="auto"/>
                <w:kern w:val="0"/>
                <w:sz w:val="20"/>
                <w:szCs w:val="20"/>
                <w:highlight w:val="none"/>
              </w:rPr>
            </w:pPr>
            <w:r>
              <w:rPr>
                <w:rFonts w:hint="default" w:ascii="宋体" w:hAnsi="宋体" w:eastAsia="宋体"/>
                <w:b w:val="0"/>
                <w:i w:val="0"/>
                <w:color w:val="000000"/>
                <w:sz w:val="20"/>
                <w:szCs w:val="20"/>
                <w:u w:val="none"/>
                <w:lang w:eastAsia="zh-CN"/>
              </w:rPr>
              <w:t>43</w:t>
            </w:r>
          </w:p>
        </w:tc>
        <w:tc>
          <w:tcPr>
            <w:tcW w:w="1125" w:type="dxa"/>
            <w:tcBorders>
              <w:top w:val="single" w:color="000000" w:sz="4" w:space="0"/>
              <w:left w:val="nil"/>
              <w:bottom w:val="single" w:color="000000" w:sz="4" w:space="0"/>
              <w:right w:val="nil"/>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r>
              <w:rPr>
                <w:rFonts w:hint="default" w:ascii="宋体" w:hAnsi="宋体" w:eastAsia="宋体"/>
                <w:b w:val="0"/>
                <w:i w:val="0"/>
                <w:color w:val="000000"/>
                <w:sz w:val="20"/>
                <w:szCs w:val="20"/>
                <w:u w:val="none"/>
                <w:lang w:eastAsia="zh-CN"/>
              </w:rPr>
              <w:t>5,410.47</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r>
              <w:rPr>
                <w:rFonts w:hint="default" w:ascii="宋体" w:hAnsi="宋体" w:eastAsia="宋体"/>
                <w:b w:val="0"/>
                <w:i w:val="0"/>
                <w:color w:val="000000"/>
                <w:sz w:val="20"/>
                <w:szCs w:val="20"/>
                <w:u w:val="none"/>
                <w:lang w:eastAsia="zh-CN"/>
              </w:rPr>
              <w:t>5,410.47</w:t>
            </w: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12</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2748"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autoSpaceDN w:val="0"/>
              <w:jc w:val="left"/>
              <w:textAlignment w:val="center"/>
              <w:rPr>
                <w:rFonts w:hint="eastAsia" w:ascii="宋体" w:hAnsi="宋体" w:cs="宋体"/>
                <w:color w:val="auto"/>
                <w:sz w:val="20"/>
                <w:szCs w:val="20"/>
                <w:highlight w:val="none"/>
              </w:rPr>
            </w:pPr>
            <w:r>
              <w:rPr>
                <w:rFonts w:hint="default" w:ascii="宋体" w:hAnsi="宋体" w:eastAsia="宋体"/>
                <w:b w:val="0"/>
                <w:i w:val="0"/>
                <w:color w:val="000000"/>
                <w:sz w:val="20"/>
                <w:szCs w:val="20"/>
                <w:u w:val="none"/>
                <w:lang w:eastAsia="zh-CN"/>
              </w:rPr>
              <w:t>十二、农林水支出</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hint="eastAsia" w:ascii="宋体" w:hAnsi="宋体" w:cs="宋体"/>
                <w:color w:val="auto"/>
                <w:kern w:val="0"/>
                <w:sz w:val="20"/>
                <w:szCs w:val="20"/>
                <w:highlight w:val="none"/>
              </w:rPr>
            </w:pPr>
            <w:r>
              <w:rPr>
                <w:rFonts w:hint="default" w:ascii="宋体" w:hAnsi="宋体" w:eastAsia="宋体"/>
                <w:b w:val="0"/>
                <w:i w:val="0"/>
                <w:color w:val="000000"/>
                <w:sz w:val="20"/>
                <w:szCs w:val="20"/>
                <w:u w:val="none"/>
                <w:lang w:eastAsia="zh-CN"/>
              </w:rPr>
              <w:t>44</w:t>
            </w:r>
          </w:p>
        </w:tc>
        <w:tc>
          <w:tcPr>
            <w:tcW w:w="1125" w:type="dxa"/>
            <w:tcBorders>
              <w:top w:val="single" w:color="000000" w:sz="4" w:space="0"/>
              <w:left w:val="nil"/>
              <w:bottom w:val="single" w:color="000000" w:sz="4" w:space="0"/>
              <w:right w:val="nil"/>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r>
              <w:rPr>
                <w:rFonts w:hint="default" w:ascii="宋体" w:hAnsi="宋体" w:eastAsia="宋体"/>
                <w:b w:val="0"/>
                <w:i w:val="0"/>
                <w:color w:val="000000"/>
                <w:sz w:val="20"/>
                <w:szCs w:val="20"/>
                <w:u w:val="none"/>
                <w:lang w:eastAsia="zh-CN"/>
              </w:rPr>
              <w:t>2.00</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r>
              <w:rPr>
                <w:rFonts w:hint="default" w:ascii="宋体" w:hAnsi="宋体" w:eastAsia="宋体"/>
                <w:b w:val="0"/>
                <w:i w:val="0"/>
                <w:color w:val="000000"/>
                <w:sz w:val="20"/>
                <w:szCs w:val="20"/>
                <w:u w:val="none"/>
                <w:lang w:eastAsia="zh-CN"/>
              </w:rPr>
              <w:t>2.00</w:t>
            </w: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13</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2748"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autoSpaceDN w:val="0"/>
              <w:jc w:val="left"/>
              <w:textAlignment w:val="center"/>
              <w:rPr>
                <w:rFonts w:hint="eastAsia" w:ascii="宋体" w:hAnsi="宋体" w:cs="宋体"/>
                <w:color w:val="auto"/>
                <w:sz w:val="20"/>
                <w:szCs w:val="20"/>
                <w:highlight w:val="none"/>
              </w:rPr>
            </w:pPr>
            <w:r>
              <w:rPr>
                <w:rFonts w:hint="default" w:ascii="宋体" w:hAnsi="宋体" w:eastAsia="宋体"/>
                <w:b w:val="0"/>
                <w:i w:val="0"/>
                <w:color w:val="000000"/>
                <w:sz w:val="20"/>
                <w:szCs w:val="20"/>
                <w:u w:val="none"/>
                <w:lang w:eastAsia="zh-CN"/>
              </w:rPr>
              <w:t>十三、交通运输支出</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hint="eastAsia" w:ascii="宋体" w:hAnsi="宋体" w:cs="宋体"/>
                <w:color w:val="auto"/>
                <w:kern w:val="0"/>
                <w:sz w:val="20"/>
                <w:szCs w:val="20"/>
                <w:highlight w:val="none"/>
              </w:rPr>
            </w:pPr>
            <w:r>
              <w:rPr>
                <w:rFonts w:hint="default" w:ascii="宋体" w:hAnsi="宋体" w:eastAsia="宋体"/>
                <w:b w:val="0"/>
                <w:i w:val="0"/>
                <w:color w:val="000000"/>
                <w:sz w:val="20"/>
                <w:szCs w:val="20"/>
                <w:u w:val="none"/>
                <w:lang w:eastAsia="zh-CN"/>
              </w:rPr>
              <w:t>45</w:t>
            </w:r>
          </w:p>
        </w:tc>
        <w:tc>
          <w:tcPr>
            <w:tcW w:w="1125" w:type="dxa"/>
            <w:tcBorders>
              <w:top w:val="single" w:color="000000" w:sz="4" w:space="0"/>
              <w:left w:val="nil"/>
              <w:bottom w:val="single" w:color="000000" w:sz="4" w:space="0"/>
              <w:right w:val="nil"/>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14</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2748"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autoSpaceDN w:val="0"/>
              <w:jc w:val="left"/>
              <w:textAlignment w:val="center"/>
              <w:rPr>
                <w:rFonts w:hint="eastAsia" w:ascii="宋体" w:hAnsi="宋体" w:cs="宋体"/>
                <w:color w:val="auto"/>
                <w:sz w:val="20"/>
                <w:szCs w:val="20"/>
                <w:highlight w:val="none"/>
              </w:rPr>
            </w:pPr>
            <w:r>
              <w:rPr>
                <w:rFonts w:hint="default" w:ascii="宋体" w:hAnsi="宋体" w:eastAsia="宋体"/>
                <w:b w:val="0"/>
                <w:i w:val="0"/>
                <w:color w:val="000000"/>
                <w:sz w:val="20"/>
                <w:szCs w:val="20"/>
                <w:u w:val="none"/>
                <w:lang w:eastAsia="zh-CN"/>
              </w:rPr>
              <w:t>十四、资源勘探工业信息等支出</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hint="eastAsia" w:ascii="宋体" w:hAnsi="宋体" w:cs="宋体"/>
                <w:color w:val="auto"/>
                <w:kern w:val="0"/>
                <w:sz w:val="20"/>
                <w:szCs w:val="20"/>
                <w:highlight w:val="none"/>
              </w:rPr>
            </w:pPr>
            <w:r>
              <w:rPr>
                <w:rFonts w:hint="default" w:ascii="宋体" w:hAnsi="宋体" w:eastAsia="宋体"/>
                <w:b w:val="0"/>
                <w:i w:val="0"/>
                <w:color w:val="000000"/>
                <w:sz w:val="20"/>
                <w:szCs w:val="20"/>
                <w:u w:val="none"/>
                <w:lang w:eastAsia="zh-CN"/>
              </w:rPr>
              <w:t>46</w:t>
            </w:r>
          </w:p>
        </w:tc>
        <w:tc>
          <w:tcPr>
            <w:tcW w:w="1125" w:type="dxa"/>
            <w:tcBorders>
              <w:top w:val="single" w:color="000000" w:sz="4" w:space="0"/>
              <w:left w:val="nil"/>
              <w:bottom w:val="single" w:color="000000" w:sz="4" w:space="0"/>
              <w:right w:val="nil"/>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15</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2748"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autoSpaceDN w:val="0"/>
              <w:jc w:val="left"/>
              <w:textAlignment w:val="center"/>
              <w:rPr>
                <w:rFonts w:hint="eastAsia" w:ascii="宋体" w:hAnsi="宋体" w:cs="宋体"/>
                <w:color w:val="auto"/>
                <w:sz w:val="20"/>
                <w:szCs w:val="20"/>
                <w:highlight w:val="none"/>
              </w:rPr>
            </w:pPr>
            <w:r>
              <w:rPr>
                <w:rFonts w:hint="default" w:ascii="宋体" w:hAnsi="宋体" w:eastAsia="宋体"/>
                <w:b w:val="0"/>
                <w:i w:val="0"/>
                <w:color w:val="000000"/>
                <w:sz w:val="20"/>
                <w:szCs w:val="20"/>
                <w:u w:val="none"/>
                <w:lang w:eastAsia="zh-CN"/>
              </w:rPr>
              <w:t>十五、商业服务业等支出</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hint="eastAsia" w:ascii="宋体" w:hAnsi="宋体" w:cs="宋体"/>
                <w:color w:val="auto"/>
                <w:kern w:val="0"/>
                <w:sz w:val="20"/>
                <w:szCs w:val="20"/>
                <w:highlight w:val="none"/>
              </w:rPr>
            </w:pPr>
            <w:r>
              <w:rPr>
                <w:rFonts w:hint="default" w:ascii="宋体" w:hAnsi="宋体" w:eastAsia="宋体"/>
                <w:b w:val="0"/>
                <w:i w:val="0"/>
                <w:color w:val="000000"/>
                <w:sz w:val="20"/>
                <w:szCs w:val="20"/>
                <w:u w:val="none"/>
                <w:lang w:eastAsia="zh-CN"/>
              </w:rPr>
              <w:t>47</w:t>
            </w:r>
          </w:p>
        </w:tc>
        <w:tc>
          <w:tcPr>
            <w:tcW w:w="1125" w:type="dxa"/>
            <w:tcBorders>
              <w:top w:val="single" w:color="000000" w:sz="4" w:space="0"/>
              <w:left w:val="nil"/>
              <w:bottom w:val="single" w:color="000000" w:sz="4" w:space="0"/>
              <w:right w:val="nil"/>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kern w:val="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eastAsia" w:ascii="宋体" w:hAnsi="宋体" w:cs="宋体"/>
                <w:color w:val="000000"/>
                <w:kern w:val="0"/>
                <w:sz w:val="20"/>
                <w:szCs w:val="20"/>
                <w:highlight w:val="none"/>
                <w:lang w:val="en-US" w:eastAsia="zh-CN"/>
              </w:rPr>
            </w:pPr>
            <w:r>
              <w:rPr>
                <w:rFonts w:hint="default" w:ascii="宋体" w:hAnsi="宋体" w:eastAsia="宋体"/>
                <w:b w:val="0"/>
                <w:i w:val="0"/>
                <w:color w:val="000000"/>
                <w:sz w:val="20"/>
                <w:szCs w:val="20"/>
                <w:u w:val="none"/>
                <w:lang w:eastAsia="zh-CN"/>
              </w:rPr>
              <w:t>16</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27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autoSpaceDN w:val="0"/>
              <w:jc w:val="left"/>
              <w:textAlignment w:val="center"/>
              <w:rPr>
                <w:rFonts w:hint="default" w:ascii="宋体" w:hAnsi="宋体" w:eastAsia="宋体"/>
                <w:b/>
                <w:i w:val="0"/>
                <w:color w:val="000000"/>
                <w:sz w:val="20"/>
                <w:szCs w:val="20"/>
                <w:u w:val="none"/>
                <w:lang w:eastAsia="zh-CN"/>
              </w:rPr>
            </w:pPr>
            <w:r>
              <w:rPr>
                <w:rFonts w:hint="default" w:ascii="宋体" w:hAnsi="宋体" w:eastAsia="宋体"/>
                <w:b w:val="0"/>
                <w:i w:val="0"/>
                <w:color w:val="000000"/>
                <w:sz w:val="20"/>
                <w:szCs w:val="20"/>
                <w:u w:val="none"/>
                <w:lang w:eastAsia="zh-CN"/>
              </w:rPr>
              <w:t>十六、金融支出</w:t>
            </w:r>
          </w:p>
        </w:tc>
        <w:tc>
          <w:tcPr>
            <w:tcW w:w="630"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48</w:t>
            </w:r>
          </w:p>
        </w:tc>
        <w:tc>
          <w:tcPr>
            <w:tcW w:w="1125"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kern w:val="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eastAsia" w:ascii="宋体" w:hAnsi="宋体" w:cs="宋体"/>
                <w:color w:val="000000"/>
                <w:kern w:val="0"/>
                <w:sz w:val="20"/>
                <w:szCs w:val="20"/>
                <w:highlight w:val="none"/>
                <w:lang w:val="en-US" w:eastAsia="zh-CN"/>
              </w:rPr>
            </w:pPr>
            <w:r>
              <w:rPr>
                <w:rFonts w:hint="default" w:ascii="宋体" w:hAnsi="宋体" w:eastAsia="宋体"/>
                <w:b w:val="0"/>
                <w:i w:val="0"/>
                <w:color w:val="000000"/>
                <w:sz w:val="20"/>
                <w:szCs w:val="20"/>
                <w:u w:val="none"/>
                <w:lang w:eastAsia="zh-CN"/>
              </w:rPr>
              <w:t>17</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27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autoSpaceDN w:val="0"/>
              <w:jc w:val="left"/>
              <w:textAlignment w:val="center"/>
              <w:rPr>
                <w:rFonts w:hint="default" w:ascii="宋体" w:hAnsi="宋体" w:eastAsia="宋体"/>
                <w:b/>
                <w:i w:val="0"/>
                <w:color w:val="000000"/>
                <w:sz w:val="20"/>
                <w:szCs w:val="20"/>
                <w:u w:val="none"/>
                <w:lang w:eastAsia="zh-CN"/>
              </w:rPr>
            </w:pPr>
            <w:r>
              <w:rPr>
                <w:rFonts w:hint="default" w:ascii="宋体" w:hAnsi="宋体" w:eastAsia="宋体"/>
                <w:b w:val="0"/>
                <w:i w:val="0"/>
                <w:color w:val="000000"/>
                <w:sz w:val="20"/>
                <w:szCs w:val="20"/>
                <w:u w:val="none"/>
                <w:lang w:eastAsia="zh-CN"/>
              </w:rPr>
              <w:t>十七、援助其他地区支出</w:t>
            </w:r>
          </w:p>
        </w:tc>
        <w:tc>
          <w:tcPr>
            <w:tcW w:w="630"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49</w:t>
            </w:r>
          </w:p>
        </w:tc>
        <w:tc>
          <w:tcPr>
            <w:tcW w:w="1125"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kern w:val="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eastAsia" w:ascii="宋体" w:hAnsi="宋体" w:cs="宋体"/>
                <w:color w:val="000000"/>
                <w:kern w:val="0"/>
                <w:sz w:val="20"/>
                <w:szCs w:val="20"/>
                <w:highlight w:val="none"/>
                <w:lang w:val="en-US" w:eastAsia="zh-CN"/>
              </w:rPr>
            </w:pPr>
            <w:r>
              <w:rPr>
                <w:rFonts w:hint="default" w:ascii="宋体" w:hAnsi="宋体" w:eastAsia="宋体"/>
                <w:b w:val="0"/>
                <w:i w:val="0"/>
                <w:color w:val="000000"/>
                <w:sz w:val="20"/>
                <w:szCs w:val="20"/>
                <w:u w:val="none"/>
                <w:lang w:eastAsia="zh-CN"/>
              </w:rPr>
              <w:t>18</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27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autoSpaceDN w:val="0"/>
              <w:jc w:val="left"/>
              <w:textAlignment w:val="center"/>
              <w:rPr>
                <w:rFonts w:hint="default" w:ascii="宋体" w:hAnsi="宋体" w:eastAsia="宋体"/>
                <w:b/>
                <w:i w:val="0"/>
                <w:color w:val="000000"/>
                <w:sz w:val="20"/>
                <w:szCs w:val="20"/>
                <w:u w:val="none"/>
                <w:lang w:eastAsia="zh-CN"/>
              </w:rPr>
            </w:pPr>
            <w:r>
              <w:rPr>
                <w:rFonts w:hint="default" w:ascii="宋体" w:hAnsi="宋体" w:eastAsia="宋体"/>
                <w:b w:val="0"/>
                <w:i w:val="0"/>
                <w:color w:val="000000"/>
                <w:sz w:val="20"/>
                <w:szCs w:val="20"/>
                <w:u w:val="none"/>
                <w:lang w:eastAsia="zh-CN"/>
              </w:rPr>
              <w:t>十八、自然资源海洋气象等支出</w:t>
            </w:r>
          </w:p>
        </w:tc>
        <w:tc>
          <w:tcPr>
            <w:tcW w:w="630"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50</w:t>
            </w:r>
          </w:p>
        </w:tc>
        <w:tc>
          <w:tcPr>
            <w:tcW w:w="1125"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kern w:val="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eastAsia" w:ascii="宋体" w:hAnsi="宋体" w:cs="宋体"/>
                <w:color w:val="000000"/>
                <w:kern w:val="0"/>
                <w:sz w:val="20"/>
                <w:szCs w:val="20"/>
                <w:highlight w:val="none"/>
                <w:lang w:val="en-US" w:eastAsia="zh-CN"/>
              </w:rPr>
            </w:pPr>
            <w:r>
              <w:rPr>
                <w:rFonts w:hint="default" w:ascii="宋体" w:hAnsi="宋体" w:eastAsia="宋体"/>
                <w:b w:val="0"/>
                <w:i w:val="0"/>
                <w:color w:val="000000"/>
                <w:sz w:val="20"/>
                <w:szCs w:val="20"/>
                <w:u w:val="none"/>
                <w:lang w:eastAsia="zh-CN"/>
              </w:rPr>
              <w:t>19</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27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autoSpaceDN w:val="0"/>
              <w:jc w:val="left"/>
              <w:textAlignment w:val="center"/>
              <w:rPr>
                <w:rFonts w:hint="default" w:ascii="宋体" w:hAnsi="宋体" w:eastAsia="宋体"/>
                <w:b/>
                <w:i w:val="0"/>
                <w:color w:val="000000"/>
                <w:sz w:val="20"/>
                <w:szCs w:val="20"/>
                <w:u w:val="none"/>
                <w:lang w:eastAsia="zh-CN"/>
              </w:rPr>
            </w:pPr>
            <w:r>
              <w:rPr>
                <w:rFonts w:hint="default" w:ascii="宋体" w:hAnsi="宋体" w:eastAsia="宋体"/>
                <w:b w:val="0"/>
                <w:i w:val="0"/>
                <w:color w:val="000000"/>
                <w:sz w:val="20"/>
                <w:szCs w:val="20"/>
                <w:u w:val="none"/>
                <w:lang w:eastAsia="zh-CN"/>
              </w:rPr>
              <w:t>十九、住房保障支出</w:t>
            </w:r>
          </w:p>
        </w:tc>
        <w:tc>
          <w:tcPr>
            <w:tcW w:w="630"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51</w:t>
            </w:r>
          </w:p>
        </w:tc>
        <w:tc>
          <w:tcPr>
            <w:tcW w:w="1125"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kern w:val="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eastAsia" w:ascii="宋体" w:hAnsi="宋体" w:cs="宋体"/>
                <w:color w:val="000000"/>
                <w:kern w:val="0"/>
                <w:sz w:val="20"/>
                <w:szCs w:val="20"/>
                <w:highlight w:val="none"/>
                <w:lang w:val="en-US" w:eastAsia="zh-CN"/>
              </w:rPr>
            </w:pPr>
            <w:r>
              <w:rPr>
                <w:rFonts w:hint="default" w:ascii="宋体" w:hAnsi="宋体" w:eastAsia="宋体"/>
                <w:b w:val="0"/>
                <w:i w:val="0"/>
                <w:color w:val="000000"/>
                <w:sz w:val="20"/>
                <w:szCs w:val="20"/>
                <w:u w:val="none"/>
                <w:lang w:eastAsia="zh-CN"/>
              </w:rPr>
              <w:t>20</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27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autoSpaceDN w:val="0"/>
              <w:jc w:val="left"/>
              <w:textAlignment w:val="center"/>
              <w:rPr>
                <w:rFonts w:hint="default" w:ascii="宋体" w:hAnsi="宋体" w:eastAsia="宋体"/>
                <w:b/>
                <w:i w:val="0"/>
                <w:color w:val="000000"/>
                <w:sz w:val="20"/>
                <w:szCs w:val="20"/>
                <w:u w:val="none"/>
                <w:lang w:eastAsia="zh-CN"/>
              </w:rPr>
            </w:pPr>
            <w:r>
              <w:rPr>
                <w:rFonts w:hint="default" w:ascii="宋体" w:hAnsi="宋体" w:eastAsia="宋体"/>
                <w:b w:val="0"/>
                <w:i w:val="0"/>
                <w:color w:val="000000"/>
                <w:sz w:val="20"/>
                <w:szCs w:val="20"/>
                <w:u w:val="none"/>
                <w:lang w:eastAsia="zh-CN"/>
              </w:rPr>
              <w:t>二十、粮油物资储备支出</w:t>
            </w:r>
          </w:p>
        </w:tc>
        <w:tc>
          <w:tcPr>
            <w:tcW w:w="630"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52</w:t>
            </w:r>
          </w:p>
        </w:tc>
        <w:tc>
          <w:tcPr>
            <w:tcW w:w="1125"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kern w:val="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eastAsia" w:ascii="宋体" w:hAnsi="宋体" w:cs="宋体"/>
                <w:color w:val="000000"/>
                <w:kern w:val="0"/>
                <w:sz w:val="20"/>
                <w:szCs w:val="20"/>
                <w:highlight w:val="none"/>
                <w:lang w:val="en-US" w:eastAsia="zh-CN"/>
              </w:rPr>
            </w:pPr>
            <w:r>
              <w:rPr>
                <w:rFonts w:hint="default" w:ascii="宋体" w:hAnsi="宋体" w:eastAsia="宋体"/>
                <w:b w:val="0"/>
                <w:i w:val="0"/>
                <w:color w:val="000000"/>
                <w:sz w:val="20"/>
                <w:szCs w:val="20"/>
                <w:u w:val="none"/>
                <w:lang w:eastAsia="zh-CN"/>
              </w:rPr>
              <w:t>21</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27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autoSpaceDN w:val="0"/>
              <w:jc w:val="left"/>
              <w:textAlignment w:val="center"/>
              <w:rPr>
                <w:rFonts w:hint="default" w:ascii="宋体" w:hAnsi="宋体" w:eastAsia="宋体"/>
                <w:b/>
                <w:i w:val="0"/>
                <w:color w:val="000000"/>
                <w:sz w:val="20"/>
                <w:szCs w:val="20"/>
                <w:u w:val="none"/>
                <w:lang w:eastAsia="zh-CN"/>
              </w:rPr>
            </w:pPr>
            <w:r>
              <w:rPr>
                <w:rFonts w:hint="default" w:ascii="宋体" w:hAnsi="宋体" w:eastAsia="宋体"/>
                <w:b w:val="0"/>
                <w:i w:val="0"/>
                <w:color w:val="000000"/>
                <w:sz w:val="20"/>
                <w:szCs w:val="20"/>
                <w:u w:val="none"/>
                <w:lang w:eastAsia="zh-CN"/>
              </w:rPr>
              <w:t>二十一、国有资本经营预算支出</w:t>
            </w:r>
          </w:p>
        </w:tc>
        <w:tc>
          <w:tcPr>
            <w:tcW w:w="630"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53</w:t>
            </w:r>
          </w:p>
        </w:tc>
        <w:tc>
          <w:tcPr>
            <w:tcW w:w="1125"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kern w:val="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eastAsia" w:ascii="宋体" w:hAnsi="宋体" w:cs="宋体"/>
                <w:color w:val="000000"/>
                <w:kern w:val="0"/>
                <w:sz w:val="20"/>
                <w:szCs w:val="20"/>
                <w:highlight w:val="none"/>
                <w:lang w:val="en-US" w:eastAsia="zh-CN"/>
              </w:rPr>
            </w:pPr>
            <w:r>
              <w:rPr>
                <w:rFonts w:hint="default" w:ascii="宋体" w:hAnsi="宋体" w:eastAsia="宋体"/>
                <w:b w:val="0"/>
                <w:i w:val="0"/>
                <w:color w:val="000000"/>
                <w:sz w:val="20"/>
                <w:szCs w:val="20"/>
                <w:u w:val="none"/>
                <w:lang w:eastAsia="zh-CN"/>
              </w:rPr>
              <w:t>22</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27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autoSpaceDN w:val="0"/>
              <w:jc w:val="left"/>
              <w:textAlignment w:val="center"/>
              <w:rPr>
                <w:rFonts w:hint="default" w:ascii="宋体" w:hAnsi="宋体" w:eastAsia="宋体"/>
                <w:b/>
                <w:i w:val="0"/>
                <w:color w:val="000000"/>
                <w:sz w:val="20"/>
                <w:szCs w:val="20"/>
                <w:u w:val="none"/>
                <w:lang w:eastAsia="zh-CN"/>
              </w:rPr>
            </w:pPr>
            <w:r>
              <w:rPr>
                <w:rFonts w:hint="default" w:ascii="宋体" w:hAnsi="宋体" w:eastAsia="宋体"/>
                <w:b w:val="0"/>
                <w:i w:val="0"/>
                <w:color w:val="000000"/>
                <w:sz w:val="20"/>
                <w:szCs w:val="20"/>
                <w:u w:val="none"/>
                <w:lang w:eastAsia="zh-CN"/>
              </w:rPr>
              <w:t>二十二、灾害防治及应急管理支出</w:t>
            </w:r>
          </w:p>
        </w:tc>
        <w:tc>
          <w:tcPr>
            <w:tcW w:w="630"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54</w:t>
            </w:r>
          </w:p>
        </w:tc>
        <w:tc>
          <w:tcPr>
            <w:tcW w:w="1125"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kern w:val="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eastAsia" w:ascii="宋体" w:hAnsi="宋体" w:cs="宋体"/>
                <w:color w:val="000000"/>
                <w:kern w:val="0"/>
                <w:sz w:val="20"/>
                <w:szCs w:val="20"/>
                <w:highlight w:val="none"/>
                <w:lang w:val="en-US" w:eastAsia="zh-CN"/>
              </w:rPr>
            </w:pPr>
            <w:r>
              <w:rPr>
                <w:rFonts w:hint="default" w:ascii="宋体" w:hAnsi="宋体" w:eastAsia="宋体"/>
                <w:b w:val="0"/>
                <w:i w:val="0"/>
                <w:color w:val="000000"/>
                <w:sz w:val="20"/>
                <w:szCs w:val="20"/>
                <w:u w:val="none"/>
                <w:lang w:eastAsia="zh-CN"/>
              </w:rPr>
              <w:t>23</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27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autoSpaceDN w:val="0"/>
              <w:jc w:val="left"/>
              <w:textAlignment w:val="center"/>
              <w:rPr>
                <w:rFonts w:hint="default" w:ascii="宋体" w:hAnsi="宋体" w:eastAsia="宋体"/>
                <w:b/>
                <w:i w:val="0"/>
                <w:color w:val="000000"/>
                <w:sz w:val="20"/>
                <w:szCs w:val="20"/>
                <w:u w:val="none"/>
                <w:lang w:eastAsia="zh-CN"/>
              </w:rPr>
            </w:pPr>
            <w:r>
              <w:rPr>
                <w:rFonts w:hint="default" w:ascii="宋体" w:hAnsi="宋体" w:eastAsia="宋体"/>
                <w:b w:val="0"/>
                <w:i w:val="0"/>
                <w:color w:val="000000"/>
                <w:sz w:val="20"/>
                <w:szCs w:val="20"/>
                <w:u w:val="none"/>
                <w:lang w:eastAsia="zh-CN"/>
              </w:rPr>
              <w:t>二十三、其他支出</w:t>
            </w:r>
          </w:p>
        </w:tc>
        <w:tc>
          <w:tcPr>
            <w:tcW w:w="630"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55</w:t>
            </w:r>
          </w:p>
        </w:tc>
        <w:tc>
          <w:tcPr>
            <w:tcW w:w="1125"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kern w:val="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eastAsia" w:ascii="宋体" w:hAnsi="宋体" w:cs="宋体"/>
                <w:color w:val="000000"/>
                <w:kern w:val="0"/>
                <w:sz w:val="20"/>
                <w:szCs w:val="20"/>
                <w:highlight w:val="none"/>
                <w:lang w:val="en-US" w:eastAsia="zh-CN"/>
              </w:rPr>
            </w:pPr>
            <w:r>
              <w:rPr>
                <w:rFonts w:hint="default" w:ascii="宋体" w:hAnsi="宋体" w:eastAsia="宋体"/>
                <w:b w:val="0"/>
                <w:i w:val="0"/>
                <w:color w:val="000000"/>
                <w:sz w:val="20"/>
                <w:szCs w:val="20"/>
                <w:u w:val="none"/>
                <w:lang w:eastAsia="zh-CN"/>
              </w:rPr>
              <w:t>24</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27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autoSpaceDN w:val="0"/>
              <w:jc w:val="left"/>
              <w:textAlignment w:val="center"/>
              <w:rPr>
                <w:rFonts w:hint="default" w:ascii="宋体" w:hAnsi="宋体" w:eastAsia="宋体"/>
                <w:b/>
                <w:i w:val="0"/>
                <w:color w:val="000000"/>
                <w:sz w:val="20"/>
                <w:szCs w:val="20"/>
                <w:u w:val="none"/>
                <w:lang w:eastAsia="zh-CN"/>
              </w:rPr>
            </w:pPr>
            <w:r>
              <w:rPr>
                <w:rFonts w:hint="default" w:ascii="宋体" w:hAnsi="宋体" w:eastAsia="宋体"/>
                <w:b w:val="0"/>
                <w:i w:val="0"/>
                <w:color w:val="000000"/>
                <w:sz w:val="20"/>
                <w:szCs w:val="20"/>
                <w:u w:val="none"/>
                <w:lang w:eastAsia="zh-CN"/>
              </w:rPr>
              <w:t>二十四、债务还本支出</w:t>
            </w:r>
          </w:p>
        </w:tc>
        <w:tc>
          <w:tcPr>
            <w:tcW w:w="630"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56</w:t>
            </w:r>
          </w:p>
        </w:tc>
        <w:tc>
          <w:tcPr>
            <w:tcW w:w="1125"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kern w:val="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eastAsia" w:ascii="宋体" w:hAnsi="宋体" w:cs="宋体"/>
                <w:color w:val="000000"/>
                <w:kern w:val="0"/>
                <w:sz w:val="20"/>
                <w:szCs w:val="20"/>
                <w:highlight w:val="none"/>
                <w:lang w:val="en-US" w:eastAsia="zh-CN"/>
              </w:rPr>
            </w:pPr>
            <w:r>
              <w:rPr>
                <w:rFonts w:hint="default" w:ascii="宋体" w:hAnsi="宋体" w:eastAsia="宋体"/>
                <w:b w:val="0"/>
                <w:i w:val="0"/>
                <w:color w:val="000000"/>
                <w:sz w:val="20"/>
                <w:szCs w:val="20"/>
                <w:u w:val="none"/>
                <w:lang w:eastAsia="zh-CN"/>
              </w:rPr>
              <w:t>25</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27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autoSpaceDN w:val="0"/>
              <w:jc w:val="left"/>
              <w:textAlignment w:val="center"/>
              <w:rPr>
                <w:rFonts w:hint="default" w:ascii="宋体" w:hAnsi="宋体" w:eastAsia="宋体"/>
                <w:b/>
                <w:i w:val="0"/>
                <w:color w:val="000000"/>
                <w:sz w:val="20"/>
                <w:szCs w:val="20"/>
                <w:u w:val="none"/>
                <w:lang w:eastAsia="zh-CN"/>
              </w:rPr>
            </w:pPr>
            <w:r>
              <w:rPr>
                <w:rFonts w:hint="default" w:ascii="宋体" w:hAnsi="宋体" w:eastAsia="宋体"/>
                <w:b w:val="0"/>
                <w:i w:val="0"/>
                <w:color w:val="000000"/>
                <w:sz w:val="20"/>
                <w:szCs w:val="20"/>
                <w:u w:val="none"/>
                <w:lang w:eastAsia="zh-CN"/>
              </w:rPr>
              <w:t>二十五、债务付息支出</w:t>
            </w:r>
          </w:p>
        </w:tc>
        <w:tc>
          <w:tcPr>
            <w:tcW w:w="630"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57</w:t>
            </w:r>
          </w:p>
        </w:tc>
        <w:tc>
          <w:tcPr>
            <w:tcW w:w="1125"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kern w:val="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eastAsia" w:ascii="宋体" w:hAnsi="宋体" w:cs="宋体"/>
                <w:color w:val="000000"/>
                <w:kern w:val="0"/>
                <w:sz w:val="20"/>
                <w:szCs w:val="20"/>
                <w:highlight w:val="none"/>
                <w:lang w:val="en-US" w:eastAsia="zh-CN"/>
              </w:rPr>
            </w:pPr>
            <w:r>
              <w:rPr>
                <w:rFonts w:hint="default" w:ascii="宋体" w:hAnsi="宋体" w:eastAsia="宋体"/>
                <w:b w:val="0"/>
                <w:i w:val="0"/>
                <w:color w:val="000000"/>
                <w:sz w:val="20"/>
                <w:szCs w:val="20"/>
                <w:u w:val="none"/>
                <w:lang w:eastAsia="zh-CN"/>
              </w:rPr>
              <w:t>26</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27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autoSpaceDN w:val="0"/>
              <w:jc w:val="left"/>
              <w:textAlignment w:val="center"/>
              <w:rPr>
                <w:rFonts w:hint="default" w:ascii="宋体" w:hAnsi="宋体" w:eastAsia="宋体"/>
                <w:b/>
                <w:i w:val="0"/>
                <w:color w:val="000000"/>
                <w:sz w:val="20"/>
                <w:szCs w:val="20"/>
                <w:u w:val="none"/>
                <w:lang w:eastAsia="zh-CN"/>
              </w:rPr>
            </w:pPr>
            <w:r>
              <w:rPr>
                <w:rFonts w:hint="default" w:ascii="宋体" w:hAnsi="宋体" w:eastAsia="宋体"/>
                <w:b w:val="0"/>
                <w:i w:val="0"/>
                <w:color w:val="000000"/>
                <w:sz w:val="20"/>
                <w:szCs w:val="20"/>
                <w:u w:val="none"/>
                <w:lang w:eastAsia="zh-CN"/>
              </w:rPr>
              <w:t>二十六、抗疫特别国债安排的支出</w:t>
            </w:r>
          </w:p>
        </w:tc>
        <w:tc>
          <w:tcPr>
            <w:tcW w:w="630"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58</w:t>
            </w:r>
          </w:p>
        </w:tc>
        <w:tc>
          <w:tcPr>
            <w:tcW w:w="1125"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kern w:val="0"/>
                <w:sz w:val="20"/>
                <w:szCs w:val="20"/>
                <w:highlight w:val="none"/>
              </w:rPr>
            </w:pPr>
            <w:r>
              <w:rPr>
                <w:rFonts w:hint="eastAsia" w:ascii="宋体" w:hAnsi="宋体" w:cs="宋体"/>
                <w:b/>
                <w:color w:val="000000"/>
                <w:kern w:val="0"/>
                <w:sz w:val="20"/>
                <w:szCs w:val="20"/>
                <w:highlight w:val="none"/>
              </w:rPr>
              <w:t>本年收入合计</w:t>
            </w:r>
          </w:p>
        </w:tc>
        <w:tc>
          <w:tcPr>
            <w:tcW w:w="665"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eastAsia" w:ascii="宋体" w:hAnsi="宋体" w:cs="宋体"/>
                <w:color w:val="000000"/>
                <w:kern w:val="0"/>
                <w:sz w:val="20"/>
                <w:szCs w:val="20"/>
                <w:highlight w:val="none"/>
                <w:lang w:val="en-US" w:eastAsia="zh-CN"/>
              </w:rPr>
            </w:pPr>
            <w:r>
              <w:rPr>
                <w:rFonts w:hint="default" w:ascii="宋体" w:hAnsi="宋体" w:eastAsia="宋体"/>
                <w:b w:val="0"/>
                <w:i w:val="0"/>
                <w:color w:val="000000"/>
                <w:sz w:val="20"/>
                <w:szCs w:val="20"/>
                <w:u w:val="none"/>
                <w:lang w:eastAsia="zh-CN"/>
              </w:rPr>
              <w:t>27</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2,513.91</w:t>
            </w:r>
          </w:p>
        </w:tc>
        <w:tc>
          <w:tcPr>
            <w:tcW w:w="27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autoSpaceDN w:val="0"/>
              <w:jc w:val="center"/>
              <w:textAlignment w:val="center"/>
              <w:rPr>
                <w:rFonts w:hint="default" w:ascii="宋体" w:hAnsi="宋体" w:eastAsia="宋体"/>
                <w:b/>
                <w:i w:val="0"/>
                <w:color w:val="000000"/>
                <w:sz w:val="20"/>
                <w:szCs w:val="20"/>
                <w:u w:val="none"/>
                <w:lang w:eastAsia="zh-CN"/>
              </w:rPr>
            </w:pPr>
            <w:r>
              <w:rPr>
                <w:rFonts w:hint="default" w:ascii="宋体" w:hAnsi="宋体" w:eastAsia="宋体"/>
                <w:b/>
                <w:i w:val="0"/>
                <w:color w:val="000000"/>
                <w:sz w:val="20"/>
                <w:szCs w:val="20"/>
                <w:u w:val="none"/>
                <w:lang w:eastAsia="zh-CN"/>
              </w:rPr>
              <w:t>本年支出合计</w:t>
            </w:r>
          </w:p>
        </w:tc>
        <w:tc>
          <w:tcPr>
            <w:tcW w:w="630"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59</w:t>
            </w:r>
          </w:p>
        </w:tc>
        <w:tc>
          <w:tcPr>
            <w:tcW w:w="1125"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6,292.93</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6,292.93</w:t>
            </w: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kern w:val="0"/>
                <w:sz w:val="20"/>
                <w:szCs w:val="20"/>
                <w:highlight w:val="none"/>
              </w:rPr>
            </w:pPr>
            <w:r>
              <w:rPr>
                <w:rFonts w:hint="eastAsia" w:ascii="宋体" w:hAnsi="宋体" w:cs="宋体"/>
                <w:color w:val="000000"/>
                <w:kern w:val="0"/>
                <w:sz w:val="20"/>
                <w:szCs w:val="20"/>
                <w:highlight w:val="none"/>
                <w:lang w:eastAsia="zh-CN"/>
              </w:rPr>
              <w:t>年初</w:t>
            </w:r>
            <w:r>
              <w:rPr>
                <w:rFonts w:hint="eastAsia" w:ascii="宋体" w:hAnsi="宋体" w:cs="宋体"/>
                <w:color w:val="000000"/>
                <w:kern w:val="0"/>
                <w:sz w:val="20"/>
                <w:szCs w:val="20"/>
                <w:highlight w:val="none"/>
              </w:rPr>
              <w:t>财政拨款结转和结余</w:t>
            </w:r>
          </w:p>
        </w:tc>
        <w:tc>
          <w:tcPr>
            <w:tcW w:w="665"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eastAsia" w:ascii="宋体" w:hAnsi="宋体" w:cs="宋体"/>
                <w:color w:val="000000"/>
                <w:kern w:val="0"/>
                <w:sz w:val="20"/>
                <w:szCs w:val="20"/>
                <w:highlight w:val="none"/>
                <w:lang w:val="en-US" w:eastAsia="zh-CN"/>
              </w:rPr>
            </w:pPr>
            <w:r>
              <w:rPr>
                <w:rFonts w:hint="default" w:ascii="宋体" w:hAnsi="宋体" w:eastAsia="宋体"/>
                <w:b w:val="0"/>
                <w:i w:val="0"/>
                <w:color w:val="000000"/>
                <w:sz w:val="20"/>
                <w:szCs w:val="20"/>
                <w:u w:val="none"/>
                <w:lang w:eastAsia="zh-CN"/>
              </w:rPr>
              <w:t>28</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3,779.02</w:t>
            </w:r>
          </w:p>
        </w:tc>
        <w:tc>
          <w:tcPr>
            <w:tcW w:w="27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autoSpaceDN w:val="0"/>
              <w:jc w:val="left"/>
              <w:textAlignment w:val="center"/>
              <w:rPr>
                <w:rFonts w:hint="default" w:ascii="宋体" w:hAnsi="宋体" w:eastAsia="宋体"/>
                <w:b/>
                <w:i w:val="0"/>
                <w:color w:val="000000"/>
                <w:sz w:val="20"/>
                <w:szCs w:val="20"/>
                <w:u w:val="none"/>
                <w:lang w:eastAsia="zh-CN"/>
              </w:rPr>
            </w:pPr>
            <w:r>
              <w:rPr>
                <w:rFonts w:hint="default" w:ascii="宋体" w:hAnsi="宋体" w:eastAsia="宋体"/>
                <w:b w:val="0"/>
                <w:i w:val="0"/>
                <w:color w:val="000000"/>
                <w:sz w:val="20"/>
                <w:szCs w:val="20"/>
                <w:u w:val="none"/>
                <w:lang w:eastAsia="zh-CN"/>
              </w:rPr>
              <w:t>年末财政拨款结转和结余</w:t>
            </w:r>
          </w:p>
        </w:tc>
        <w:tc>
          <w:tcPr>
            <w:tcW w:w="630"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60</w:t>
            </w:r>
          </w:p>
        </w:tc>
        <w:tc>
          <w:tcPr>
            <w:tcW w:w="1125"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kern w:val="0"/>
                <w:sz w:val="20"/>
                <w:szCs w:val="20"/>
                <w:highlight w:val="none"/>
              </w:rPr>
            </w:pPr>
            <w:r>
              <w:rPr>
                <w:rFonts w:hint="eastAsia" w:ascii="宋体" w:hAnsi="宋体" w:cs="宋体"/>
                <w:color w:val="000000"/>
                <w:kern w:val="0"/>
                <w:sz w:val="20"/>
                <w:szCs w:val="20"/>
                <w:highlight w:val="none"/>
              </w:rPr>
              <w:t xml:space="preserve">      一般公共预算财政拨款</w:t>
            </w:r>
          </w:p>
        </w:tc>
        <w:tc>
          <w:tcPr>
            <w:tcW w:w="665"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eastAsia" w:ascii="宋体" w:hAnsi="宋体" w:cs="宋体"/>
                <w:color w:val="000000"/>
                <w:kern w:val="0"/>
                <w:sz w:val="20"/>
                <w:szCs w:val="20"/>
                <w:highlight w:val="none"/>
                <w:lang w:val="en-US" w:eastAsia="zh-CN"/>
              </w:rPr>
            </w:pPr>
            <w:r>
              <w:rPr>
                <w:rFonts w:hint="default" w:ascii="宋体" w:hAnsi="宋体" w:eastAsia="宋体"/>
                <w:b w:val="0"/>
                <w:i w:val="0"/>
                <w:color w:val="000000"/>
                <w:sz w:val="20"/>
                <w:szCs w:val="20"/>
                <w:u w:val="none"/>
                <w:lang w:eastAsia="zh-CN"/>
              </w:rPr>
              <w:t>29</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3,779.02</w:t>
            </w:r>
          </w:p>
        </w:tc>
        <w:tc>
          <w:tcPr>
            <w:tcW w:w="27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autoSpaceDN w:val="0"/>
              <w:jc w:val="left"/>
              <w:textAlignment w:val="center"/>
              <w:rPr>
                <w:rFonts w:hint="default" w:ascii="宋体" w:hAnsi="宋体" w:eastAsia="宋体"/>
                <w:b/>
                <w:i w:val="0"/>
                <w:color w:val="000000"/>
                <w:sz w:val="20"/>
                <w:szCs w:val="20"/>
                <w:u w:val="none"/>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61</w:t>
            </w:r>
          </w:p>
        </w:tc>
        <w:tc>
          <w:tcPr>
            <w:tcW w:w="1125"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政府性基金预算财政拨款</w:t>
            </w: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30</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27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autoSpaceDN w:val="0"/>
              <w:jc w:val="left"/>
              <w:textAlignment w:val="center"/>
              <w:rPr>
                <w:rFonts w:hint="eastAsia" w:ascii="宋体" w:hAnsi="宋体" w:cs="宋体"/>
                <w:color w:val="auto"/>
                <w:sz w:val="20"/>
                <w:szCs w:val="20"/>
                <w:highlight w:val="none"/>
              </w:rPr>
            </w:pPr>
          </w:p>
        </w:tc>
        <w:tc>
          <w:tcPr>
            <w:tcW w:w="630"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eastAsia" w:ascii="宋体" w:hAnsi="宋体" w:cs="宋体"/>
                <w:color w:val="auto"/>
                <w:kern w:val="0"/>
                <w:sz w:val="20"/>
                <w:szCs w:val="20"/>
                <w:highlight w:val="none"/>
              </w:rPr>
            </w:pPr>
            <w:r>
              <w:rPr>
                <w:rFonts w:hint="default" w:ascii="宋体" w:hAnsi="宋体" w:eastAsia="宋体"/>
                <w:b w:val="0"/>
                <w:i w:val="0"/>
                <w:color w:val="000000"/>
                <w:sz w:val="20"/>
                <w:szCs w:val="20"/>
                <w:u w:val="none"/>
                <w:lang w:eastAsia="zh-CN"/>
              </w:rPr>
              <w:t>62</w:t>
            </w:r>
          </w:p>
        </w:tc>
        <w:tc>
          <w:tcPr>
            <w:tcW w:w="1125"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国有资本经营预算财政拨款</w:t>
            </w: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sz w:val="20"/>
                <w:szCs w:val="20"/>
                <w:highlight w:val="none"/>
                <w:lang w:val="en-US" w:eastAsia="zh-CN"/>
              </w:rPr>
              <w:t>31</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27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autoSpaceDN w:val="0"/>
              <w:jc w:val="left"/>
              <w:textAlignment w:val="center"/>
              <w:rPr>
                <w:rFonts w:hint="eastAsia" w:ascii="宋体" w:hAnsi="宋体" w:cs="宋体"/>
                <w:color w:val="auto"/>
                <w:sz w:val="20"/>
                <w:szCs w:val="20"/>
                <w:highlight w:val="none"/>
              </w:rPr>
            </w:pPr>
          </w:p>
        </w:tc>
        <w:tc>
          <w:tcPr>
            <w:tcW w:w="630"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eastAsia" w:ascii="宋体" w:hAnsi="宋体" w:cs="宋体"/>
                <w:color w:val="auto"/>
                <w:kern w:val="0"/>
                <w:sz w:val="20"/>
                <w:szCs w:val="20"/>
                <w:highlight w:val="none"/>
              </w:rPr>
            </w:pPr>
            <w:r>
              <w:rPr>
                <w:rFonts w:hint="default" w:ascii="宋体" w:hAnsi="宋体" w:eastAsia="宋体"/>
                <w:b w:val="0"/>
                <w:i w:val="0"/>
                <w:color w:val="000000"/>
                <w:sz w:val="20"/>
                <w:szCs w:val="20"/>
                <w:u w:val="none"/>
                <w:lang w:eastAsia="zh-CN"/>
              </w:rPr>
              <w:t>63</w:t>
            </w:r>
          </w:p>
        </w:tc>
        <w:tc>
          <w:tcPr>
            <w:tcW w:w="1125"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1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总计</w:t>
            </w: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32</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6,292.93</w:t>
            </w:r>
          </w:p>
        </w:tc>
        <w:tc>
          <w:tcPr>
            <w:tcW w:w="27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autoSpaceDN w:val="0"/>
              <w:jc w:val="center"/>
              <w:textAlignment w:val="center"/>
              <w:rPr>
                <w:rFonts w:hint="eastAsia" w:ascii="宋体" w:hAnsi="宋体" w:cs="宋体"/>
                <w:b/>
                <w:color w:val="auto"/>
                <w:sz w:val="20"/>
                <w:szCs w:val="20"/>
                <w:highlight w:val="none"/>
              </w:rPr>
            </w:pPr>
            <w:r>
              <w:rPr>
                <w:rFonts w:hint="default" w:ascii="宋体" w:hAnsi="宋体" w:eastAsia="宋体"/>
                <w:b/>
                <w:i w:val="0"/>
                <w:color w:val="000000"/>
                <w:sz w:val="20"/>
                <w:szCs w:val="20"/>
                <w:u w:val="none"/>
                <w:lang w:eastAsia="zh-CN"/>
              </w:rPr>
              <w:t>总计</w:t>
            </w:r>
          </w:p>
        </w:tc>
        <w:tc>
          <w:tcPr>
            <w:tcW w:w="630" w:type="dxa"/>
            <w:tcBorders>
              <w:top w:val="single" w:color="000000" w:sz="4" w:space="0"/>
              <w:left w:val="single" w:color="000000" w:sz="4" w:space="0"/>
              <w:bottom w:val="single" w:color="000000" w:sz="4" w:space="0"/>
              <w:right w:val="single" w:color="000000" w:sz="4" w:space="0"/>
            </w:tcBorders>
            <w:shd w:val="clear" w:color="C0C0C0" w:fill="auto"/>
            <w:tcMar>
              <w:top w:w="15" w:type="dxa"/>
              <w:left w:w="15" w:type="dxa"/>
              <w:right w:w="15" w:type="dxa"/>
            </w:tcMar>
            <w:vAlign w:val="center"/>
          </w:tcPr>
          <w:p>
            <w:pPr>
              <w:autoSpaceDN w:val="0"/>
              <w:jc w:val="center"/>
              <w:textAlignment w:val="center"/>
              <w:rPr>
                <w:rFonts w:hint="eastAsia" w:ascii="宋体" w:hAnsi="宋体" w:cs="宋体"/>
                <w:color w:val="auto"/>
                <w:sz w:val="20"/>
                <w:szCs w:val="20"/>
                <w:highlight w:val="none"/>
              </w:rPr>
            </w:pPr>
            <w:r>
              <w:rPr>
                <w:rFonts w:hint="default" w:ascii="宋体" w:hAnsi="宋体" w:eastAsia="宋体"/>
                <w:b w:val="0"/>
                <w:i w:val="0"/>
                <w:color w:val="000000"/>
                <w:sz w:val="20"/>
                <w:szCs w:val="20"/>
                <w:u w:val="none"/>
                <w:lang w:eastAsia="zh-CN"/>
              </w:rPr>
              <w:t>64</w:t>
            </w:r>
          </w:p>
        </w:tc>
        <w:tc>
          <w:tcPr>
            <w:tcW w:w="1125"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r>
              <w:rPr>
                <w:rFonts w:hint="default" w:ascii="宋体" w:hAnsi="宋体" w:eastAsia="宋体"/>
                <w:b w:val="0"/>
                <w:i w:val="0"/>
                <w:color w:val="000000"/>
                <w:sz w:val="20"/>
                <w:szCs w:val="20"/>
                <w:u w:val="none"/>
                <w:lang w:eastAsia="zh-CN"/>
              </w:rPr>
              <w:t>6,292.93</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utoSpaceDN w:val="0"/>
              <w:jc w:val="right"/>
              <w:textAlignment w:val="center"/>
              <w:rPr>
                <w:rFonts w:hint="eastAsia" w:ascii="宋体" w:hAnsi="宋体" w:cs="宋体"/>
                <w:color w:val="auto"/>
                <w:sz w:val="20"/>
                <w:szCs w:val="20"/>
                <w:highlight w:val="none"/>
              </w:rPr>
            </w:pPr>
            <w:r>
              <w:rPr>
                <w:rFonts w:hint="default" w:ascii="宋体" w:hAnsi="宋体" w:eastAsia="宋体"/>
                <w:b w:val="0"/>
                <w:i w:val="0"/>
                <w:color w:val="000000"/>
                <w:sz w:val="20"/>
                <w:szCs w:val="20"/>
                <w:u w:val="none"/>
                <w:lang w:eastAsia="zh-CN"/>
              </w:rPr>
              <w:t>6,292.93</w:t>
            </w:r>
          </w:p>
        </w:tc>
        <w:tc>
          <w:tcPr>
            <w:tcW w:w="1261"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color w:val="auto"/>
                <w:sz w:val="20"/>
                <w:szCs w:val="20"/>
                <w:highlight w:val="none"/>
              </w:rPr>
            </w:pPr>
          </w:p>
        </w:tc>
        <w:tc>
          <w:tcPr>
            <w:tcW w:w="1060" w:type="dxa"/>
            <w:gridSpan w:val="2"/>
            <w:tcBorders>
              <w:top w:val="single" w:color="000000" w:sz="4" w:space="0"/>
              <w:left w:val="nil"/>
              <w:bottom w:val="single" w:color="000000" w:sz="4" w:space="0"/>
              <w:right w:val="single" w:color="000000" w:sz="8" w:space="0"/>
            </w:tcBorders>
            <w:vAlign w:val="top"/>
          </w:tcPr>
          <w:p>
            <w:pPr>
              <w:rPr>
                <w:rFonts w:hint="eastAsia" w:ascii="宋体" w:hAnsi="宋体" w:cs="宋体"/>
                <w:b/>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7" w:hRule="atLeast"/>
        </w:trPr>
        <w:tc>
          <w:tcPr>
            <w:tcW w:w="12920"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b w:val="0"/>
                <w:i w:val="0"/>
                <w:color w:val="000000"/>
                <w:sz w:val="20"/>
                <w:szCs w:val="20"/>
                <w:u w:val="none"/>
                <w:lang w:eastAsia="zh-CN"/>
              </w:rPr>
              <w:t>单位</w:t>
            </w:r>
            <w:r>
              <w:rPr>
                <w:rFonts w:hint="eastAsia" w:ascii="宋体" w:hAnsi="宋体" w:cs="宋体"/>
                <w:color w:val="000000"/>
                <w:kern w:val="0"/>
                <w:sz w:val="20"/>
                <w:szCs w:val="20"/>
                <w:highlight w:val="none"/>
              </w:rPr>
              <w:t>本年度一般公共预算财政拨款、政府性基金预算财政拨款和国有资本经营预算财政拨款的总收支和年末结转结余情况。本表金额转换为万元时，因四舍五入可能存在尾差。</w:t>
            </w:r>
          </w:p>
        </w:tc>
        <w:tc>
          <w:tcPr>
            <w:tcW w:w="1060" w:type="dxa"/>
            <w:gridSpan w:val="2"/>
            <w:tcBorders>
              <w:top w:val="single" w:color="000000" w:sz="8" w:space="0"/>
              <w:left w:val="nil"/>
              <w:bottom w:val="nil"/>
              <w:right w:val="nil"/>
            </w:tcBorders>
            <w:vAlign w:val="top"/>
          </w:tcPr>
          <w:p>
            <w:pPr>
              <w:widowControl/>
              <w:jc w:val="left"/>
              <w:textAlignment w:val="center"/>
              <w:rPr>
                <w:rFonts w:hint="eastAsia" w:ascii="宋体" w:hAnsi="宋体" w:cs="宋体"/>
                <w:color w:val="000000"/>
                <w:kern w:val="0"/>
                <w:sz w:val="20"/>
                <w:szCs w:val="20"/>
                <w:highlight w:val="none"/>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6"/>
        <w:gridCol w:w="688"/>
        <w:gridCol w:w="2225"/>
        <w:gridCol w:w="3449"/>
        <w:gridCol w:w="3449"/>
        <w:gridCol w:w="3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25"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34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w:t>
            </w:r>
            <w:r>
              <w:rPr>
                <w:rStyle w:val="14"/>
                <w:rFonts w:hint="default"/>
                <w:highlight w:val="none"/>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639" w:type="dxa"/>
            <w:gridSpan w:val="3"/>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eastAsia="zh-CN"/>
              </w:rPr>
              <w:t>许昌市城市管理局（本级）</w:t>
            </w:r>
          </w:p>
        </w:tc>
        <w:tc>
          <w:tcPr>
            <w:tcW w:w="344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34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项 </w:t>
            </w:r>
            <w:r>
              <w:rPr>
                <w:rStyle w:val="12"/>
                <w:rFonts w:hint="default"/>
                <w:sz w:val="20"/>
                <w:szCs w:val="20"/>
                <w:highlight w:val="none"/>
              </w:rPr>
              <w:t xml:space="preserve">   </w:t>
            </w:r>
            <w:r>
              <w:rPr>
                <w:rStyle w:val="10"/>
                <w:rFonts w:hint="default"/>
                <w:sz w:val="20"/>
                <w:szCs w:val="20"/>
                <w:highlight w:val="none"/>
              </w:rPr>
              <w:t>目</w:t>
            </w:r>
          </w:p>
        </w:tc>
        <w:tc>
          <w:tcPr>
            <w:tcW w:w="10349"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基本支出</w:t>
            </w:r>
          </w:p>
        </w:tc>
        <w:tc>
          <w:tcPr>
            <w:tcW w:w="3451"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6,292.93</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584.87</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5,708.06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一般公共服务支出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1.83</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1.83</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20129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群众团体事务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1.83</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1.83</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2012906</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工会事务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1.83</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1.83</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208</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社会保障和就业支出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70.78</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70.78</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20805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行政事业单位养老支出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70.78</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70.78</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2080501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行政单位离退休</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47.18</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47.18</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2080505</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机关事业单位基本养老保险缴费支出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23.59</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23.59</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2080599</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其他行政事业单位养老支出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0.01</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0.01</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210</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卫生健康支出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22.32</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22.32</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21011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行政事业单位医疗</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22.32</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22.32</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2101101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行政单位医疗</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11.43</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11.43</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2101103</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公务员医疗补助</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10.89</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10.89</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节能环保支出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785.53</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785.53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21114</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能源管理事务</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785.53</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785.53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2111499</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其他能源管理事务支出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785.53</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785.53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城乡社区支出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5,410.47</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489.94</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4,920.52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城乡社区管理事务</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3,367.11</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489.94</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2,877.17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2120101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行政运行</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489.94</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489.94</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2120102</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一般行政管理事务</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2,477.01</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2,477.01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2120199</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其他城乡社区管理事务支出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400.17</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400.17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21202</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城乡社区规划与管理</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299.12</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299.12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2120201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城乡社区规划与管理</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299.12</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299.12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21203</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城乡社区公共设施</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1,744.23</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1,744.23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2120399</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其他城乡社区公共设施支出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1,744.23</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1,744.23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213</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农林水支出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2.00</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21303</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水利</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2.00</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2130399</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其他水利支出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2.00</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b w:val="0"/>
                <w:bCs/>
                <w:color w:val="000000"/>
                <w:sz w:val="20"/>
                <w:szCs w:val="20"/>
                <w:highlight w:val="none"/>
              </w:rPr>
            </w:pPr>
            <w:r>
              <w:rPr>
                <w:rFonts w:hint="default" w:ascii="宋体" w:hAnsi="宋体" w:eastAsia="宋体"/>
                <w:b w:val="0"/>
                <w:bCs/>
                <w:i w:val="0"/>
                <w:color w:val="000000"/>
                <w:sz w:val="20"/>
                <w:szCs w:val="20"/>
                <w:u w:val="none"/>
                <w:lang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b w:val="0"/>
                <w:i w:val="0"/>
                <w:color w:val="000000"/>
                <w:sz w:val="20"/>
                <w:szCs w:val="20"/>
                <w:u w:val="none"/>
                <w:lang w:eastAsia="zh-CN"/>
              </w:rPr>
              <w:t>单位</w:t>
            </w:r>
            <w:r>
              <w:rPr>
                <w:rFonts w:hint="eastAsia" w:ascii="宋体" w:hAnsi="宋体" w:cs="宋体"/>
                <w:color w:val="000000"/>
                <w:kern w:val="0"/>
                <w:sz w:val="20"/>
                <w:szCs w:val="20"/>
                <w:highlight w:val="none"/>
              </w:rPr>
              <w:t>本年度一般公共预算财政拨款支出情况。本表金额转换为万元时，因四舍五入可能存在尾差。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785"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2066"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4513"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r>
              <w:rPr>
                <w:rFonts w:hint="eastAsia" w:ascii="宋体" w:hAnsi="宋体" w:cs="宋体"/>
                <w:color w:val="000000"/>
                <w:kern w:val="0"/>
                <w:sz w:val="20"/>
                <w:szCs w:val="20"/>
                <w:highlight w:val="none"/>
                <w:lang w:eastAsia="zh-CN"/>
              </w:rPr>
              <w:t>单位</w:t>
            </w:r>
            <w:r>
              <w:rPr>
                <w:rFonts w:ascii="Arial" w:hAnsi="Arial" w:cs="Arial"/>
                <w:color w:val="000000"/>
                <w:kern w:val="0"/>
                <w:sz w:val="20"/>
                <w:szCs w:val="20"/>
                <w:highlight w:val="none"/>
              </w:rPr>
              <w:t>：</w:t>
            </w:r>
            <w:r>
              <w:rPr>
                <w:rFonts w:hint="eastAsia" w:ascii="Arial" w:hAnsi="Arial" w:cs="Arial"/>
                <w:color w:val="000000"/>
                <w:kern w:val="0"/>
                <w:sz w:val="20"/>
                <w:szCs w:val="20"/>
                <w:highlight w:val="none"/>
                <w:lang w:eastAsia="zh-CN"/>
              </w:rPr>
              <w:t>许昌市城市管理局（本级）</w:t>
            </w:r>
          </w:p>
        </w:tc>
        <w:tc>
          <w:tcPr>
            <w:tcW w:w="938"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2066"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938"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4513" w:type="dxa"/>
            <w:gridSpan w:val="2"/>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经济分类科目编码</w:t>
            </w:r>
          </w:p>
        </w:tc>
        <w:tc>
          <w:tcPr>
            <w:tcW w:w="278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工资福利支出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367.60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169.39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基本工资</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94.03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办公费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23.09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津贴补贴</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167.76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印刷费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奖金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37.46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咨询费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30106</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手续费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31005</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30107</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绩效工资</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大型修缮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30108</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机关事业单位基本养老保险</w:t>
            </w:r>
            <w:r>
              <w:rPr>
                <w:rFonts w:hint="eastAsia" w:ascii="宋体" w:hAnsi="宋体" w:cs="宋体"/>
                <w:color w:val="000000"/>
                <w:kern w:val="0"/>
                <w:sz w:val="20"/>
                <w:szCs w:val="20"/>
                <w:highlight w:val="none"/>
                <w:lang w:eastAsia="zh-CN"/>
              </w:rPr>
              <w:t>缴</w:t>
            </w:r>
            <w:r>
              <w:rPr>
                <w:rFonts w:hint="eastAsia" w:ascii="宋体" w:hAnsi="宋体" w:cs="宋体"/>
                <w:color w:val="000000"/>
                <w:kern w:val="0"/>
                <w:sz w:val="20"/>
                <w:szCs w:val="20"/>
                <w:highlight w:val="none"/>
              </w:rPr>
              <w:t>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23.59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邮电费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物资储备</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30110</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11.43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取暖费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土地补偿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10.89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安置补助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0.15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差旅费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5.82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22.18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拆迁补偿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30114</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医疗费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维修（护）费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5.53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30199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0.13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租赁费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61.82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对个人和家庭的补助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47.69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会议费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1.89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31021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离休费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培训费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31022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退休费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47.19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0.72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退职（役）费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0.73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30304</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抚恤金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30305</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生活补助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30306</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救济费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劳务费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31204</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费用补贴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30307</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36.86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31205</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利息补贴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30308</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助学金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工会经费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1.83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奖励金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福利费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3.82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对社会保障基金补助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30310</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30231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31302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30311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val="en-US" w:eastAsia="zh-CN"/>
              </w:rPr>
              <w:t xml:space="preserve">  </w:t>
            </w:r>
            <w:r>
              <w:rPr>
                <w:rFonts w:hint="eastAsia" w:ascii="宋体" w:hAnsi="宋体" w:cs="宋体"/>
                <w:color w:val="000000"/>
                <w:sz w:val="20"/>
                <w:szCs w:val="20"/>
                <w:highlight w:val="none"/>
                <w:lang w:eastAsia="zh-CN"/>
              </w:rPr>
              <w:t>代缴社会保险费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0.51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30239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19.66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31303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30399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30240</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30299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1.45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赠与</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债务利息及费用支出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18"/>
                <w:szCs w:val="18"/>
                <w:highlight w:val="none"/>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18"/>
                <w:szCs w:val="18"/>
                <w:highlight w:val="none"/>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人员经费合计</w:t>
            </w:r>
          </w:p>
        </w:tc>
        <w:tc>
          <w:tcPr>
            <w:tcW w:w="93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415.30</w:t>
            </w:r>
          </w:p>
        </w:tc>
        <w:tc>
          <w:tcPr>
            <w:tcW w:w="831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公用经费合计</w:t>
            </w:r>
          </w:p>
        </w:tc>
        <w:tc>
          <w:tcPr>
            <w:tcW w:w="938"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169.57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b w:val="0"/>
                <w:i w:val="0"/>
                <w:color w:val="000000"/>
                <w:sz w:val="20"/>
                <w:szCs w:val="20"/>
                <w:u w:val="none"/>
                <w:lang w:eastAsia="zh-CN"/>
              </w:rPr>
              <w:t>单位</w:t>
            </w:r>
            <w:r>
              <w:rPr>
                <w:rFonts w:hint="eastAsia" w:ascii="宋体" w:hAnsi="宋体" w:cs="宋体"/>
                <w:color w:val="000000"/>
                <w:kern w:val="0"/>
                <w:sz w:val="20"/>
                <w:szCs w:val="20"/>
                <w:highlight w:val="none"/>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138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4604" w:type="dxa"/>
            <w:gridSpan w:val="4"/>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eastAsia="zh-CN"/>
              </w:rPr>
              <w:t>许昌市城市管理局（本级）</w:t>
            </w: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4604" w:type="dxa"/>
            <w:gridSpan w:val="4"/>
            <w:tcBorders>
              <w:top w:val="nil"/>
              <w:left w:val="nil"/>
              <w:bottom w:val="single" w:color="000000" w:sz="8" w:space="0"/>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6.50</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2.50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2.77</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2.05</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2.05</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注：本表反映</w:t>
            </w:r>
            <w:r>
              <w:rPr>
                <w:rFonts w:hint="eastAsia" w:ascii="宋体" w:hAnsi="宋体"/>
                <w:b w:val="0"/>
                <w:i w:val="0"/>
                <w:color w:val="000000"/>
                <w:sz w:val="20"/>
                <w:szCs w:val="20"/>
                <w:u w:val="none"/>
                <w:lang w:eastAsia="zh-CN"/>
              </w:rPr>
              <w:t>单位</w:t>
            </w:r>
            <w:r>
              <w:rPr>
                <w:rFonts w:hint="eastAsia" w:ascii="宋体" w:hAnsi="宋体" w:cs="宋体"/>
                <w:color w:val="000000"/>
                <w:kern w:val="0"/>
                <w:sz w:val="20"/>
                <w:szCs w:val="20"/>
                <w:highlight w:val="none"/>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13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0"/>
        <w:gridCol w:w="535"/>
        <w:gridCol w:w="1273"/>
        <w:gridCol w:w="1920"/>
        <w:gridCol w:w="1921"/>
        <w:gridCol w:w="1921"/>
        <w:gridCol w:w="1922"/>
        <w:gridCol w:w="1921"/>
        <w:gridCol w:w="1928"/>
        <w:gridCol w:w="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 w:type="dxa"/>
          <w:trHeight w:val="527" w:hRule="atLeast"/>
        </w:trPr>
        <w:tc>
          <w:tcPr>
            <w:tcW w:w="13951" w:type="dxa"/>
            <w:gridSpan w:val="9"/>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 w:type="dxa"/>
          <w:trHeight w:val="270" w:hRule="atLeast"/>
        </w:trPr>
        <w:tc>
          <w:tcPr>
            <w:tcW w:w="61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5"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3"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2"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8"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338" w:type="dxa"/>
            <w:gridSpan w:val="4"/>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eastAsia="zh-CN"/>
              </w:rPr>
              <w:t>许昌市城市管理局（本级）</w:t>
            </w:r>
          </w:p>
        </w:tc>
        <w:tc>
          <w:tcPr>
            <w:tcW w:w="192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2"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57"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 w:type="dxa"/>
          <w:trHeight w:val="363" w:hRule="atLeast"/>
        </w:trPr>
        <w:tc>
          <w:tcPr>
            <w:tcW w:w="2418"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1920"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年初</w:t>
            </w:r>
            <w:r>
              <w:rPr>
                <w:rFonts w:hint="eastAsia" w:ascii="宋体" w:hAnsi="宋体" w:cs="宋体"/>
                <w:color w:val="000000"/>
                <w:kern w:val="0"/>
                <w:sz w:val="20"/>
                <w:szCs w:val="20"/>
                <w:highlight w:val="none"/>
              </w:rPr>
              <w:t>结转和结余</w:t>
            </w:r>
          </w:p>
        </w:tc>
        <w:tc>
          <w:tcPr>
            <w:tcW w:w="1921"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本年收入</w:t>
            </w:r>
          </w:p>
        </w:tc>
        <w:tc>
          <w:tcPr>
            <w:tcW w:w="5764" w:type="dxa"/>
            <w:gridSpan w:val="3"/>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本年支出</w:t>
            </w:r>
          </w:p>
        </w:tc>
        <w:tc>
          <w:tcPr>
            <w:tcW w:w="1928"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 w:type="dxa"/>
          <w:trHeight w:val="474" w:hRule="atLeast"/>
        </w:trPr>
        <w:tc>
          <w:tcPr>
            <w:tcW w:w="1145"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科目编码</w:t>
            </w:r>
          </w:p>
        </w:tc>
        <w:tc>
          <w:tcPr>
            <w:tcW w:w="127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1920"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1"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1"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基本支出</w:t>
            </w:r>
          </w:p>
        </w:tc>
        <w:tc>
          <w:tcPr>
            <w:tcW w:w="1921" w:type="dxa"/>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项目支出</w:t>
            </w:r>
          </w:p>
        </w:tc>
        <w:tc>
          <w:tcPr>
            <w:tcW w:w="1928"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 w:type="dxa"/>
          <w:trHeight w:val="326" w:hRule="atLeast"/>
        </w:trPr>
        <w:tc>
          <w:tcPr>
            <w:tcW w:w="1145"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0"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1"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1"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8"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 w:type="dxa"/>
          <w:trHeight w:val="400" w:hRule="atLeast"/>
        </w:trPr>
        <w:tc>
          <w:tcPr>
            <w:tcW w:w="1145"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0"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1"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1"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8"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 w:type="dxa"/>
          <w:trHeight w:val="392" w:hRule="atLeast"/>
        </w:trPr>
        <w:tc>
          <w:tcPr>
            <w:tcW w:w="2418"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栏次</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9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92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 w:type="dxa"/>
          <w:trHeight w:val="392" w:hRule="atLeast"/>
        </w:trPr>
        <w:tc>
          <w:tcPr>
            <w:tcW w:w="2418"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 w:type="dxa"/>
          <w:trHeight w:val="392" w:hRule="atLeast"/>
        </w:trPr>
        <w:tc>
          <w:tcPr>
            <w:tcW w:w="1145"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 w:type="dxa"/>
          <w:trHeight w:val="392" w:hRule="atLeast"/>
        </w:trPr>
        <w:tc>
          <w:tcPr>
            <w:tcW w:w="1145"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 w:type="dxa"/>
          <w:trHeight w:val="392" w:hRule="atLeast"/>
        </w:trPr>
        <w:tc>
          <w:tcPr>
            <w:tcW w:w="1145"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 w:type="dxa"/>
          <w:trHeight w:val="392" w:hRule="atLeast"/>
        </w:trPr>
        <w:tc>
          <w:tcPr>
            <w:tcW w:w="1145"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 w:type="dxa"/>
          <w:trHeight w:val="392" w:hRule="atLeast"/>
        </w:trPr>
        <w:tc>
          <w:tcPr>
            <w:tcW w:w="1145"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 w:type="dxa"/>
          <w:trHeight w:val="392" w:hRule="atLeast"/>
        </w:trPr>
        <w:tc>
          <w:tcPr>
            <w:tcW w:w="1145"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8"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 w:type="dxa"/>
          <w:trHeight w:val="1057" w:hRule="atLeast"/>
        </w:trPr>
        <w:tc>
          <w:tcPr>
            <w:tcW w:w="13951"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b w:val="0"/>
                <w:i w:val="0"/>
                <w:color w:val="000000"/>
                <w:sz w:val="20"/>
                <w:szCs w:val="20"/>
                <w:u w:val="none"/>
                <w:lang w:eastAsia="zh-CN"/>
              </w:rPr>
              <w:t>单位</w:t>
            </w:r>
            <w:r>
              <w:rPr>
                <w:rFonts w:hint="eastAsia" w:ascii="宋体" w:hAnsi="宋体" w:cs="宋体"/>
                <w:color w:val="000000"/>
                <w:kern w:val="0"/>
                <w:sz w:val="20"/>
                <w:szCs w:val="20"/>
                <w:highlight w:val="none"/>
              </w:rPr>
              <w:t>本年度政府性基金预算财政拨款收入、支出及结转和结余情况。本表金额转换为万元时，因四舍五入可能存在尾差。</w:t>
            </w:r>
          </w:p>
          <w:p>
            <w:pPr>
              <w:widowControl/>
              <w:jc w:val="left"/>
              <w:textAlignment w:val="center"/>
              <w:rPr>
                <w:rFonts w:ascii="宋体" w:hAnsi="宋体" w:cs="宋体"/>
                <w:color w:val="000000"/>
                <w:sz w:val="32"/>
                <w:szCs w:val="32"/>
                <w:highlight w:val="none"/>
              </w:rPr>
            </w:pPr>
            <w:r>
              <w:rPr>
                <w:rFonts w:hint="eastAsia" w:ascii="宋体" w:hAnsi="宋体" w:cs="宋体"/>
                <w:color w:val="000000"/>
                <w:sz w:val="32"/>
                <w:szCs w:val="32"/>
                <w:highlight w:val="none"/>
              </w:rPr>
              <w:t>说明：我</w:t>
            </w:r>
            <w:r>
              <w:rPr>
                <w:rFonts w:hint="eastAsia" w:ascii="宋体" w:hAnsi="宋体" w:cs="宋体"/>
                <w:color w:val="000000"/>
                <w:sz w:val="32"/>
                <w:szCs w:val="32"/>
                <w:highlight w:val="none"/>
                <w:lang w:eastAsia="zh-CN"/>
              </w:rPr>
              <w:t>单位</w:t>
            </w:r>
            <w:r>
              <w:rPr>
                <w:rFonts w:hint="eastAsia" w:ascii="宋体" w:hAnsi="宋体" w:cs="宋体"/>
                <w:color w:val="000000"/>
                <w:sz w:val="32"/>
                <w:szCs w:val="32"/>
                <w:highlight w:val="none"/>
              </w:rPr>
              <w:t>没有政府性基金收入，也没有使用政府性基金安排的支出，故本表无数据。</w:t>
            </w:r>
          </w:p>
          <w:p>
            <w:pPr>
              <w:widowControl/>
              <w:jc w:val="left"/>
              <w:textAlignment w:val="center"/>
              <w:rPr>
                <w:rFonts w:ascii="宋体" w:hAnsi="宋体" w:cs="宋体"/>
                <w:color w:val="000000"/>
                <w:sz w:val="20"/>
                <w:szCs w:val="20"/>
                <w:highlight w:val="none"/>
              </w:rPr>
            </w:pPr>
          </w:p>
          <w:p>
            <w:pPr>
              <w:widowControl/>
              <w:jc w:val="center"/>
              <w:textAlignment w:val="center"/>
              <w:rPr>
                <w:rFonts w:hint="eastAsia" w:ascii="宋体" w:hAnsi="宋体" w:cs="宋体"/>
                <w:color w:val="000000"/>
                <w:sz w:val="20"/>
                <w:szCs w:val="20"/>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wordWrap/>
        <w:adjustRightInd/>
        <w:snapToGrid/>
        <w:spacing w:before="0" w:after="0" w:line="590" w:lineRule="exact"/>
        <w:ind w:left="0" w:leftChars="0" w:right="0" w:firstLine="640" w:firstLineChars="200"/>
        <w:jc w:val="both"/>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6295.89</w:t>
      </w:r>
      <w:r>
        <w:rPr>
          <w:rFonts w:hint="eastAsia" w:ascii="仿宋_GB2312" w:hAnsi="仿宋_GB2312" w:eastAsia="仿宋_GB2312" w:cs="仿宋_GB2312"/>
          <w:sz w:val="32"/>
          <w:szCs w:val="32"/>
          <w:highlight w:val="none"/>
        </w:rPr>
        <w:t>万元。与上年度相比，收、支总计各</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lang w:val="en-US" w:eastAsia="zh-CN"/>
        </w:rPr>
        <w:t>1327.01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下降</w:t>
      </w:r>
      <w:r>
        <w:rPr>
          <w:rFonts w:hint="eastAsia" w:ascii="仿宋_GB2312" w:hAnsi="仿宋_GB2312" w:eastAsia="仿宋_GB2312" w:cs="仿宋_GB2312"/>
          <w:sz w:val="32"/>
          <w:szCs w:val="32"/>
          <w:highlight w:val="none"/>
          <w:lang w:val="en-US" w:eastAsia="zh-CN"/>
        </w:rPr>
        <w:t>17.41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项目经费减少</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wordWrap/>
        <w:adjustRightInd/>
        <w:snapToGrid/>
        <w:spacing w:before="0" w:after="0" w:line="590" w:lineRule="exact"/>
        <w:ind w:left="0" w:leftChars="0" w:right="0" w:firstLine="640" w:firstLineChars="200"/>
        <w:jc w:val="both"/>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2513.99</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2513.91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99.9968</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0.0032</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6295.76</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584.87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9.29</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5710.89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90.71</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6292.93</w:t>
      </w:r>
      <w:r>
        <w:rPr>
          <w:rFonts w:hint="eastAsia" w:ascii="仿宋_GB2312" w:hAnsi="仿宋_GB2312" w:eastAsia="仿宋_GB2312" w:cs="仿宋_GB2312"/>
          <w:sz w:val="32"/>
          <w:szCs w:val="32"/>
          <w:highlight w:val="none"/>
        </w:rPr>
        <w:t>万元。与上年度相比，财政拨款收、支总计各</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lang w:val="en-US" w:eastAsia="zh-CN"/>
        </w:rPr>
        <w:t>1260.18</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下降</w:t>
      </w:r>
      <w:r>
        <w:rPr>
          <w:rFonts w:hint="eastAsia" w:ascii="仿宋_GB2312" w:hAnsi="仿宋_GB2312" w:eastAsia="仿宋_GB2312" w:cs="仿宋_GB2312"/>
          <w:sz w:val="32"/>
          <w:szCs w:val="32"/>
          <w:highlight w:val="none"/>
          <w:lang w:val="en-US" w:eastAsia="zh-CN"/>
        </w:rPr>
        <w:t>16.68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项目经费减少</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wordWrap/>
        <w:adjustRightInd/>
        <w:snapToGrid/>
        <w:spacing w:before="0" w:after="0" w:line="590" w:lineRule="exact"/>
        <w:ind w:left="0" w:leftChars="0" w:right="0" w:firstLine="642" w:firstLineChars="200"/>
        <w:jc w:val="both"/>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6292.93</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99.96</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1276.69</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25.45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本年度</w:t>
      </w:r>
      <w:r>
        <w:rPr>
          <w:rFonts w:hint="eastAsia" w:ascii="仿宋_GB2312" w:hAnsi="仿宋_GB2312" w:eastAsia="仿宋_GB2312" w:cs="仿宋_GB2312"/>
          <w:sz w:val="32"/>
          <w:szCs w:val="32"/>
          <w:highlight w:val="none"/>
          <w:lang w:val="en-US" w:eastAsia="zh-CN"/>
        </w:rPr>
        <w:t>拨付</w:t>
      </w:r>
      <w:r>
        <w:rPr>
          <w:rFonts w:hint="eastAsia" w:ascii="仿宋_GB2312" w:hAnsi="仿宋_GB2312" w:eastAsia="仿宋_GB2312" w:cs="仿宋_GB2312"/>
          <w:sz w:val="32"/>
          <w:szCs w:val="32"/>
          <w:highlight w:val="none"/>
          <w:lang w:eastAsia="zh-CN"/>
        </w:rPr>
        <w:t>资金</w:t>
      </w:r>
      <w:r>
        <w:rPr>
          <w:rFonts w:hint="eastAsia" w:ascii="仿宋_GB2312" w:hAnsi="仿宋_GB2312" w:eastAsia="仿宋_GB2312" w:cs="仿宋_GB2312"/>
          <w:sz w:val="32"/>
          <w:szCs w:val="32"/>
          <w:highlight w:val="none"/>
          <w:lang w:val="en-US" w:eastAsia="zh-CN"/>
        </w:rPr>
        <w:t>性质</w:t>
      </w:r>
      <w:r>
        <w:rPr>
          <w:rFonts w:hint="eastAsia" w:ascii="仿宋_GB2312" w:hAnsi="仿宋_GB2312" w:eastAsia="仿宋_GB2312" w:cs="仿宋_GB2312"/>
          <w:sz w:val="32"/>
          <w:szCs w:val="32"/>
          <w:highlight w:val="none"/>
          <w:lang w:eastAsia="zh-CN"/>
        </w:rPr>
        <w:t>为一般公共预算财政拨款</w:t>
      </w:r>
      <w:r>
        <w:rPr>
          <w:rFonts w:hint="eastAsia" w:ascii="仿宋_GB2312" w:hAnsi="仿宋_GB2312" w:eastAsia="仿宋_GB2312" w:cs="仿宋_GB2312"/>
          <w:sz w:val="32"/>
          <w:szCs w:val="32"/>
          <w:highlight w:val="none"/>
          <w:lang w:val="en-US" w:eastAsia="zh-CN"/>
        </w:rPr>
        <w:t>的项目经费较上年增加</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6292.93</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1.83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社会保障和就业</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70.78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1.13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卫生健康（类）支出</w:t>
      </w:r>
      <w:r>
        <w:rPr>
          <w:rFonts w:hint="eastAsia" w:ascii="仿宋_GB2312" w:hAnsi="仿宋_GB2312" w:eastAsia="仿宋_GB2312" w:cs="仿宋_GB2312"/>
          <w:sz w:val="32"/>
          <w:szCs w:val="32"/>
          <w:highlight w:val="none"/>
          <w:lang w:val="en-US" w:eastAsia="zh-CN"/>
        </w:rPr>
        <w:t>22.32万元，占0.35%；节能环保（类）支出785.53万元，占12.48%；城乡社区（类）支出5410.47万元，占85.98%；农林水（类）支出2.00万元，占0.03%</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553.20</w:t>
      </w:r>
      <w:r>
        <w:rPr>
          <w:rFonts w:hint="eastAsia" w:ascii="仿宋_GB2312" w:hAnsi="仿宋_GB2312" w:eastAsia="仿宋_GB2312" w:cs="仿宋_GB2312"/>
          <w:sz w:val="32"/>
          <w:szCs w:val="32"/>
          <w:highlight w:val="none"/>
        </w:rPr>
        <w:t>元，支出决算为</w:t>
      </w:r>
      <w:r>
        <w:rPr>
          <w:rFonts w:hint="eastAsia" w:ascii="仿宋_GB2312" w:hAnsi="仿宋_GB2312" w:eastAsia="仿宋_GB2312" w:cs="仿宋_GB2312"/>
          <w:sz w:val="32"/>
          <w:szCs w:val="32"/>
          <w:highlight w:val="none"/>
          <w:lang w:val="en-US" w:eastAsia="zh-CN"/>
        </w:rPr>
        <w:t>6292.93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1137.55</w:t>
      </w:r>
      <w:r>
        <w:rPr>
          <w:rFonts w:hint="eastAsia" w:ascii="仿宋_GB2312" w:hAnsi="仿宋_GB2312" w:eastAsia="仿宋_GB2312" w:cs="仿宋_GB2312"/>
          <w:sz w:val="32"/>
          <w:szCs w:val="32"/>
          <w:highlight w:val="none"/>
        </w:rPr>
        <w:t>%。其中：</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eastAsia="zh-CN"/>
        </w:rPr>
        <w:t>一般公共服务</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群众团体事务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工会事务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1.83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47.31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47.18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99.73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预算数据保留整数，四舍五入产生误差</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机关事业单位基本养老保险缴费支出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22.17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23.59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106.41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社保基数调整，增加基数，使用上年结转资金</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其他行政事业单位养老支出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0.01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卫生健康</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行政单位医疗</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11.40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11.43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100.26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社保基数调整，核算缴费基数时四舍五入产生误差</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卫生健康</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公务员医疗补助</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10.86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10.89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99.31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社保基数调整，核算缴费基数时四舍五入产生误差</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节能环保</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能源管理事务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其他能源管理事务支出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785.53</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追加垃圾焚烧补贴款未列入年度部门预算</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城乡社区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城乡社区管理事务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459.62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489.94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106.60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w:t>
      </w:r>
      <w:r>
        <w:rPr>
          <w:rFonts w:hint="eastAsia" w:ascii="仿宋_GB2312" w:hAnsi="仿宋_GB2312" w:eastAsia="仿宋_GB2312" w:cs="仿宋_GB2312"/>
          <w:color w:val="auto"/>
          <w:sz w:val="32"/>
          <w:szCs w:val="32"/>
          <w:highlight w:val="none"/>
          <w:lang w:eastAsia="zh-CN"/>
        </w:rPr>
        <w:t>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年中追加人员晋级晋档、新增人员各项经费</w:t>
      </w:r>
      <w:r>
        <w:rPr>
          <w:rFonts w:hint="eastAsia" w:ascii="仿宋_GB2312" w:hAnsi="仿宋_GB2312" w:eastAsia="仿宋_GB2312" w:cs="仿宋_GB2312"/>
          <w:color w:val="auto"/>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城乡社区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城乡社区管理事务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一般行政管理事务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w:t>
      </w:r>
      <w:r>
        <w:rPr>
          <w:rFonts w:hint="eastAsia" w:ascii="仿宋_GB2312" w:hAnsi="仿宋_GB2312" w:eastAsia="仿宋_GB2312" w:cs="仿宋_GB2312"/>
          <w:color w:val="auto"/>
          <w:sz w:val="32"/>
          <w:szCs w:val="32"/>
          <w:highlight w:val="none"/>
          <w:lang w:eastAsia="zh-CN"/>
        </w:rPr>
        <w:t>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2477.01</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追加项目款未列入年度部门预算</w:t>
      </w:r>
      <w:r>
        <w:rPr>
          <w:rFonts w:hint="eastAsia" w:ascii="仿宋_GB2312" w:hAnsi="仿宋_GB2312" w:eastAsia="仿宋_GB2312" w:cs="仿宋_GB2312"/>
          <w:color w:val="auto"/>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0</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城乡社区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城乡社区管理事务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其他城乡社区管理事务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400.17</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追加项目尾款和中央公园管养经费未列入年度部门预算</w:t>
      </w:r>
      <w:r>
        <w:rPr>
          <w:rFonts w:hint="eastAsia" w:ascii="仿宋_GB2312" w:hAnsi="仿宋_GB2312" w:eastAsia="仿宋_GB2312" w:cs="仿宋_GB2312"/>
          <w:color w:val="auto"/>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城乡社区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城乡社区规划与管理</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城乡社区规划与管理</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299.12</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财政拨付及年中追加人员经费</w:t>
      </w:r>
      <w:r>
        <w:rPr>
          <w:rFonts w:hint="eastAsia" w:ascii="仿宋_GB2312" w:hAnsi="仿宋_GB2312" w:eastAsia="仿宋_GB2312" w:cs="仿宋_GB2312"/>
          <w:color w:val="auto"/>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城乡社区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城乡社区公共设施</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其他城乡社区公共设施</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1744.23</w:t>
      </w:r>
      <w:r>
        <w:rPr>
          <w:rFonts w:hint="eastAsia" w:ascii="仿宋_GB2312" w:hAnsi="仿宋_GB2312" w:eastAsia="仿宋_GB2312" w:cs="仿宋_GB2312"/>
          <w:sz w:val="32"/>
          <w:szCs w:val="32"/>
          <w:highlight w:val="none"/>
        </w:rPr>
        <w:t>万</w:t>
      </w:r>
      <w:r>
        <w:rPr>
          <w:rFonts w:hint="eastAsia" w:ascii="仿宋_GB2312" w:hAnsi="仿宋_GB2312" w:eastAsia="仿宋_GB2312" w:cs="仿宋_GB2312"/>
          <w:color w:val="auto"/>
          <w:sz w:val="32"/>
          <w:szCs w:val="32"/>
          <w:highlight w:val="none"/>
        </w:rPr>
        <w:t>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项目工程款、中央公园管养经费等未列入年度部门预算</w:t>
      </w:r>
      <w:r>
        <w:rPr>
          <w:rFonts w:hint="eastAsia" w:ascii="仿宋_GB2312" w:hAnsi="仿宋_GB2312" w:eastAsia="仿宋_GB2312" w:cs="仿宋_GB2312"/>
          <w:color w:val="auto"/>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lang w:val="en-US" w:eastAsia="zh-CN"/>
        </w:rPr>
        <w:t>13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农林水</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水利</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其他水利</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2.00</w:t>
      </w:r>
      <w:r>
        <w:rPr>
          <w:rFonts w:hint="eastAsia" w:ascii="仿宋_GB2312" w:hAnsi="仿宋_GB2312" w:eastAsia="仿宋_GB2312" w:cs="仿宋_GB2312"/>
          <w:sz w:val="32"/>
          <w:szCs w:val="32"/>
          <w:highlight w:val="none"/>
        </w:rPr>
        <w:t>万</w:t>
      </w:r>
      <w:r>
        <w:rPr>
          <w:rFonts w:hint="eastAsia" w:ascii="仿宋_GB2312" w:hAnsi="仿宋_GB2312" w:eastAsia="仿宋_GB2312" w:cs="仿宋_GB2312"/>
          <w:color w:val="auto"/>
          <w:sz w:val="32"/>
          <w:szCs w:val="32"/>
          <w:highlight w:val="none"/>
        </w:rPr>
        <w:t>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该项资金为</w:t>
      </w:r>
      <w:r>
        <w:rPr>
          <w:rFonts w:hint="eastAsia" w:ascii="仿宋_GB2312" w:hAnsi="仿宋_GB2312" w:eastAsia="仿宋_GB2312" w:cs="仿宋_GB2312"/>
          <w:color w:val="auto"/>
          <w:sz w:val="32"/>
          <w:szCs w:val="32"/>
          <w:highlight w:val="none"/>
          <w:lang w:val="en-US" w:eastAsia="zh-CN"/>
        </w:rPr>
        <w:t>河湖水系考核</w:t>
      </w:r>
      <w:r>
        <w:rPr>
          <w:rFonts w:hint="eastAsia" w:ascii="仿宋_GB2312" w:hAnsi="仿宋_GB2312" w:eastAsia="仿宋_GB2312" w:cs="仿宋_GB2312"/>
          <w:color w:val="auto"/>
          <w:sz w:val="32"/>
          <w:szCs w:val="32"/>
          <w:highlight w:val="none"/>
          <w:lang w:eastAsia="zh-CN"/>
        </w:rPr>
        <w:t>奖励资金，未列入年度部门预算</w:t>
      </w:r>
      <w:r>
        <w:rPr>
          <w:rFonts w:hint="eastAsia" w:ascii="仿宋_GB2312" w:hAnsi="仿宋_GB2312" w:eastAsia="仿宋_GB2312" w:cs="仿宋_GB2312"/>
          <w:color w:val="auto"/>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584.87</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415.30</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w:t>
      </w:r>
      <w:r>
        <w:rPr>
          <w:rFonts w:hint="eastAsia" w:ascii="仿宋_GB2312" w:hAnsi="仿宋_GB2312" w:eastAsia="仿宋_GB2312" w:cs="仿宋_GB2312"/>
          <w:sz w:val="32"/>
          <w:szCs w:val="32"/>
          <w:highlight w:val="none"/>
          <w:lang w:eastAsia="zh-CN"/>
        </w:rPr>
        <w:t>缴</w:t>
      </w:r>
      <w:r>
        <w:rPr>
          <w:rFonts w:hint="eastAsia" w:ascii="仿宋_GB2312" w:hAnsi="仿宋_GB2312" w:eastAsia="仿宋_GB2312" w:cs="仿宋_GB2312"/>
          <w:sz w:val="32"/>
          <w:szCs w:val="32"/>
          <w:highlight w:val="none"/>
        </w:rPr>
        <w:t>费、</w:t>
      </w:r>
      <w:r>
        <w:rPr>
          <w:rFonts w:hint="eastAsia" w:ascii="仿宋_GB2312" w:hAnsi="仿宋_GB2312" w:eastAsia="仿宋_GB2312" w:cs="仿宋_GB2312"/>
          <w:sz w:val="32"/>
          <w:szCs w:val="32"/>
          <w:highlight w:val="none"/>
          <w:lang w:eastAsia="zh-CN"/>
        </w:rPr>
        <w:t>职工基本医疗保险缴费、公务员医疗补助缴费、</w:t>
      </w:r>
      <w:r>
        <w:rPr>
          <w:rFonts w:hint="eastAsia" w:ascii="仿宋_GB2312" w:hAnsi="仿宋_GB2312" w:eastAsia="仿宋_GB2312" w:cs="仿宋_GB2312"/>
          <w:sz w:val="32"/>
          <w:szCs w:val="32"/>
          <w:highlight w:val="none"/>
        </w:rPr>
        <w:t>其他社会保障缴费、</w:t>
      </w:r>
      <w:r>
        <w:rPr>
          <w:rFonts w:hint="eastAsia" w:ascii="仿宋_GB2312" w:hAnsi="仿宋_GB2312" w:eastAsia="仿宋_GB2312" w:cs="仿宋_GB2312"/>
          <w:sz w:val="32"/>
          <w:szCs w:val="32"/>
          <w:highlight w:val="none"/>
          <w:lang w:eastAsia="zh-CN"/>
        </w:rPr>
        <w:t>住房公积金、</w:t>
      </w:r>
      <w:r>
        <w:rPr>
          <w:rFonts w:hint="eastAsia" w:ascii="仿宋_GB2312" w:hAnsi="仿宋_GB2312" w:eastAsia="仿宋_GB2312" w:cs="仿宋_GB2312"/>
          <w:sz w:val="32"/>
          <w:szCs w:val="32"/>
          <w:highlight w:val="none"/>
        </w:rPr>
        <w:t>其他工资福利支出、退休费、</w:t>
      </w:r>
      <w:r>
        <w:rPr>
          <w:rFonts w:hint="eastAsia" w:ascii="仿宋_GB2312" w:hAnsi="仿宋_GB2312" w:eastAsia="仿宋_GB2312" w:cs="仿宋_GB2312"/>
          <w:sz w:val="32"/>
          <w:szCs w:val="32"/>
          <w:highlight w:val="none"/>
          <w:lang w:eastAsia="zh-CN"/>
        </w:rPr>
        <w:t>代缴社会保险费</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169.57</w:t>
      </w:r>
      <w:r>
        <w:rPr>
          <w:rFonts w:hint="eastAsia" w:ascii="仿宋_GB2312" w:hAnsi="仿宋_GB2312" w:eastAsia="仿宋_GB2312" w:cs="仿宋_GB2312"/>
          <w:sz w:val="32"/>
          <w:szCs w:val="32"/>
          <w:highlight w:val="none"/>
        </w:rPr>
        <w:t>万元，主要包括：办公费、印刷费、邮电费、差旅费、维修（护）费、租赁费、会议费、公务接待费、专用材料费、委托业务费、工会经费、福利费、公务用车运行维护费、其他交通费用、其他商品和服务支出、办公设备购置。</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wordWrap/>
        <w:adjustRightInd/>
        <w:snapToGrid/>
        <w:spacing w:before="0" w:after="0" w:line="590" w:lineRule="exact"/>
        <w:ind w:left="0" w:leftChars="0" w:right="0" w:firstLine="642" w:firstLineChars="200"/>
        <w:jc w:val="both"/>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6.50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2.77</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42.62</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继续严格执行八项规定，节约预算资金使用，减少不必要的公务活动，压缩了三公经费开支</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2.05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51.25</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74.01</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0.72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28.80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25.99</w:t>
      </w:r>
      <w:r>
        <w:rPr>
          <w:rFonts w:hint="eastAsia" w:ascii="仿宋_GB2312" w:hAnsi="仿宋_GB2312" w:eastAsia="仿宋_GB2312" w:cs="仿宋_GB2312"/>
          <w:sz w:val="32"/>
          <w:szCs w:val="32"/>
          <w:highlight w:val="none"/>
        </w:rPr>
        <w:t>%。具体情况如下：</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2021年度“三公”经费支出</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sz w:val="32"/>
          <w:szCs w:val="32"/>
          <w:highlight w:val="none"/>
          <w:lang w:eastAsia="zh-CN"/>
        </w:rPr>
        <w:t>。因公出国（境）团组数0个，因公出国（境）人次数0人。</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51.25</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继续严格执行八项规定，节约预算资金使用，减少不必要的公务活动，压缩了三公经费开支</w:t>
      </w:r>
      <w:r>
        <w:rPr>
          <w:rFonts w:hint="eastAsia" w:ascii="仿宋_GB2312" w:hAnsi="仿宋_GB2312" w:eastAsia="仿宋_GB2312" w:cs="仿宋_GB2312"/>
          <w:sz w:val="32"/>
          <w:szCs w:val="32"/>
          <w:highlight w:val="none"/>
        </w:rPr>
        <w:t>。其中：</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2.05</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公务用车燃油费、维修保养费、过路过桥费、车辆保险费等支出</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1辆</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2.50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0.72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28.80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继续严格执行八项规定，节约预算资金使用，减少不必要的公务活动，压缩了三公经费开支</w:t>
      </w:r>
      <w:r>
        <w:rPr>
          <w:rFonts w:hint="eastAsia" w:ascii="仿宋_GB2312" w:hAnsi="仿宋_GB2312" w:eastAsia="仿宋_GB2312" w:cs="仿宋_GB2312"/>
          <w:sz w:val="32"/>
          <w:szCs w:val="32"/>
          <w:highlight w:val="none"/>
        </w:rPr>
        <w:t>。其中：</w:t>
      </w:r>
    </w:p>
    <w:p>
      <w:pPr>
        <w:widowControl/>
        <w:wordWrap/>
        <w:adjustRightInd/>
        <w:snapToGrid/>
        <w:spacing w:before="0" w:after="0" w:line="590" w:lineRule="exact"/>
        <w:ind w:left="0" w:leftChars="0" w:right="0" w:firstLine="642"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0.72</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外地市城市管理部门学习、考察等公务接待</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62</w:t>
      </w:r>
      <w:r>
        <w:rPr>
          <w:rFonts w:hint="eastAsia" w:ascii="仿宋_GB2312" w:hAnsi="仿宋_GB2312" w:eastAsia="仿宋_GB2312" w:cs="仿宋_GB2312"/>
          <w:sz w:val="32"/>
          <w:szCs w:val="32"/>
          <w:highlight w:val="none"/>
        </w:rPr>
        <w:t>人次（不包括陪同人员）。</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情况说明：我单位</w:t>
      </w:r>
      <w:r>
        <w:rPr>
          <w:rFonts w:hint="eastAsia" w:ascii="仿宋_GB2312" w:hAnsi="仿宋_GB2312" w:eastAsia="仿宋_GB2312" w:cs="仿宋_GB2312"/>
          <w:sz w:val="32"/>
          <w:szCs w:val="32"/>
          <w:highlight w:val="none"/>
          <w:lang w:val="en-US" w:eastAsia="zh-CN"/>
        </w:rPr>
        <w:t>2021年度没有政府性基金收入，也没有使用政府性基金安排的支出</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148.75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169.57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114.00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b w:val="0"/>
          <w:bCs w:val="0"/>
          <w:sz w:val="32"/>
          <w:szCs w:val="32"/>
          <w:lang w:val="en-US" w:eastAsia="zh-CN"/>
        </w:rPr>
        <w:t>正常工作需要，使用上年度结转资金</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台（套）。</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2021年期末，我单位国有资产车辆较</w:t>
      </w:r>
      <w:r>
        <w:rPr>
          <w:rFonts w:hint="eastAsia" w:ascii="仿宋_GB2312" w:hAnsi="仿宋_GB2312" w:eastAsia="仿宋_GB2312" w:cs="仿宋_GB2312"/>
          <w:sz w:val="32"/>
          <w:szCs w:val="32"/>
          <w:highlight w:val="none"/>
        </w:rPr>
        <w:t>公务用车保有量</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lang w:val="en-US" w:eastAsia="zh-CN"/>
        </w:rPr>
        <w:t>1辆，为中央公园管理巡逻使用的电动车辆。</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before="0" w:after="0" w:line="360" w:lineRule="auto"/>
        <w:ind w:left="0" w:leftChars="0"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ordWrap/>
        <w:adjustRightInd/>
        <w:snapToGrid/>
        <w:spacing w:before="0" w:after="0" w:line="560" w:lineRule="exact"/>
        <w:ind w:left="0" w:leftChars="0" w:right="0" w:firstLine="640" w:firstLineChars="200"/>
        <w:jc w:val="both"/>
        <w:textAlignment w:val="auto"/>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认真做好年度财政资金的预算编制与预算绩效目标编制工作，做到应编尽编。在资金使用和管理方面，进一步强化支出管理，明确开支范围，细化资金用途，做到“预算编制有目标、预算执行有</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”，促进绩效目标如期保质保量实现。</w:t>
      </w:r>
      <w:r>
        <w:rPr>
          <w:rFonts w:hint="eastAsia" w:ascii="仿宋_GB2312" w:hAnsi="仿宋_GB2312" w:eastAsia="仿宋_GB2312" w:cs="仿宋_GB2312"/>
          <w:color w:val="000000"/>
          <w:kern w:val="0"/>
          <w:sz w:val="32"/>
          <w:szCs w:val="32"/>
          <w:lang w:val="en-US" w:eastAsia="zh-CN"/>
        </w:rPr>
        <w:t>按照年初工作任务安排，在财政资金的支持下有序开展城市管理相关工作，确保各项目标能够完成。实施的预算支出与实际需求高度相关</w:t>
      </w:r>
      <w:r>
        <w:rPr>
          <w:rFonts w:hint="eastAsia" w:ascii="仿宋_GB2312" w:hAnsi="仿宋_GB2312" w:eastAsia="仿宋_GB2312" w:cs="仿宋_GB2312"/>
          <w:color w:val="auto"/>
          <w:kern w:val="0"/>
          <w:sz w:val="32"/>
          <w:szCs w:val="32"/>
          <w:highlight w:val="none"/>
          <w:lang w:val="en-US" w:eastAsia="zh-CN"/>
        </w:rPr>
        <w:t>；具有明确的绩效目标，预算资金到位及时，预算实施过程中严格按实际需要实施，具有较高的效率；预算项目的顺利实施有力的保障了我单位工作的良性开展，取得了优异的成绩，具有较好的经济效益和社会效益，实施效果较好。</w:t>
      </w:r>
      <w:r>
        <w:rPr>
          <w:rFonts w:hint="eastAsia" w:ascii="仿宋_GB2312" w:hAnsi="仿宋_GB2312" w:eastAsia="仿宋_GB2312" w:cs="仿宋_GB2312"/>
          <w:sz w:val="32"/>
          <w:szCs w:val="32"/>
        </w:rPr>
        <w:t>全年基本支出保证了</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的正常运行和日常工作的正常开展，项目支出保证了业务工作有效开展，达到预期绩效目标。</w:t>
      </w:r>
    </w:p>
    <w:p>
      <w:pPr>
        <w:widowControl/>
        <w:wordWrap/>
        <w:adjustRightInd/>
        <w:snapToGrid/>
        <w:spacing w:before="0" w:after="0" w:line="360" w:lineRule="auto"/>
        <w:ind w:left="0" w:leftChars="0"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wordWrap/>
        <w:adjustRightInd/>
        <w:snapToGrid/>
        <w:spacing w:before="0" w:after="0"/>
        <w:ind w:left="0" w:leftChars="0" w:right="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预算执行率达到100%，财政资金的使用严格按照财政部门工作要求，加强财务管理，规范支出手续，保证资金使用依法依规，有效保证了各项工作的开展，取得了良好的社会效益。二是项目绩效自评情况：7</w:t>
      </w:r>
      <w:r>
        <w:rPr>
          <w:rFonts w:hint="eastAsia" w:ascii="仿宋_GB2312" w:hAnsi="Times New Roman" w:eastAsia="仿宋_GB2312" w:cs="Times New Roman"/>
          <w:kern w:val="2"/>
          <w:sz w:val="32"/>
          <w:szCs w:val="32"/>
          <w:lang w:val="en-US" w:eastAsia="zh-CN" w:bidi="ar-SA"/>
        </w:rPr>
        <w:t>个项目分别按照实施内容和目标进行开展，全部执行完毕，</w:t>
      </w:r>
      <w:r>
        <w:rPr>
          <w:rFonts w:hint="eastAsia" w:ascii="仿宋" w:hAnsi="仿宋" w:eastAsia="仿宋" w:cs="仿宋"/>
          <w:color w:val="000000"/>
          <w:kern w:val="0"/>
          <w:sz w:val="32"/>
          <w:szCs w:val="32"/>
          <w:lang w:val="en-US" w:eastAsia="zh-CN"/>
        </w:rPr>
        <w:t>项目预算执行、产出指标、经济指标、服务对象满意度等指标完成较好，</w:t>
      </w:r>
      <w:r>
        <w:rPr>
          <w:rFonts w:hint="eastAsia" w:ascii="仿宋_GB2312" w:hAnsi="Times New Roman" w:eastAsia="仿宋_GB2312" w:cs="Times New Roman"/>
          <w:kern w:val="2"/>
          <w:sz w:val="32"/>
          <w:szCs w:val="32"/>
          <w:lang w:val="en-US" w:eastAsia="zh-CN" w:bidi="ar-SA"/>
        </w:rPr>
        <w:t>达到了预期效果，有力的保证了我单位工作业务的开展，项目的实施效果得到了实施对象的满意和认可</w:t>
      </w:r>
      <w:r>
        <w:rPr>
          <w:rFonts w:hint="eastAsia" w:ascii="仿宋_GB2312" w:hAnsi="仿宋_GB2312" w:eastAsia="仿宋_GB2312" w:cs="仿宋_GB2312"/>
          <w:color w:val="auto"/>
          <w:sz w:val="32"/>
          <w:szCs w:val="32"/>
          <w:highlight w:val="none"/>
          <w:lang w:val="en-US" w:eastAsia="zh-CN"/>
        </w:rPr>
        <w:t>。我单位共有7个项目批复了绩效目标，项目金额4599.46万元。</w:t>
      </w:r>
    </w:p>
    <w:p>
      <w:pPr>
        <w:widowControl/>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100分。其中：7个项目评价等级为“优”、0个项目评价等级为“良”、0个项目评价等级为“中”、0个项目评价等级为“差”。</w:t>
      </w:r>
    </w:p>
    <w:p>
      <w:pPr>
        <w:widowControl/>
        <w:wordWrap/>
        <w:adjustRightInd/>
        <w:snapToGrid/>
        <w:spacing w:before="0" w:after="0" w:line="360" w:lineRule="auto"/>
        <w:ind w:left="0" w:leftChars="0"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spacing w:before="0" w:after="0"/>
        <w:ind w:left="0" w:leftChars="0" w:right="0" w:firstLine="640" w:firstLineChars="200"/>
        <w:jc w:val="both"/>
        <w:textAlignment w:val="auto"/>
        <w:rPr>
          <w:rFonts w:hint="default" w:ascii="黑体" w:hAnsi="宋体" w:eastAsia="黑体" w:cs="宋体"/>
          <w:kern w:val="0"/>
          <w:sz w:val="28"/>
          <w:szCs w:val="28"/>
          <w:highlight w:val="none"/>
          <w:lang w:val="en-US"/>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lang w:val="en-US" w:eastAsia="zh-CN"/>
        </w:rPr>
      </w:pPr>
      <w:r>
        <w:rPr>
          <w:rFonts w:hint="eastAsia" w:ascii="黑体" w:hAnsi="宋体" w:eastAsia="黑体" w:cs="宋体"/>
          <w:kern w:val="0"/>
          <w:sz w:val="28"/>
          <w:szCs w:val="28"/>
          <w:highlight w:val="none"/>
          <w:lang w:val="en-US" w:eastAsia="zh-CN"/>
        </w:rPr>
        <w:t xml:space="preserve">  </w:t>
      </w: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w:pict>
        <v:rect id="文本框 6" o:spid="_x0000_s2049"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2050"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w:pict>
        <v:rect id="文本框 7" o:spid="_x0000_s2051"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BD4930A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rFonts w:eastAsia="楷体_GB2312"/>
      <w:sz w:val="28"/>
      <w:szCs w:val="20"/>
    </w:rPr>
  </w:style>
  <w:style w:type="paragraph" w:styleId="3">
    <w:name w:val="Balloon Text"/>
    <w:basedOn w:val="1"/>
    <w:link w:val="17"/>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font51"/>
    <w:qFormat/>
    <w:uiPriority w:val="0"/>
    <w:rPr>
      <w:rFonts w:hint="eastAsia" w:ascii="宋体" w:hAnsi="宋体" w:eastAsia="宋体" w:cs="宋体"/>
      <w:color w:val="000000"/>
      <w:sz w:val="24"/>
      <w:szCs w:val="24"/>
      <w:u w:val="none"/>
    </w:rPr>
  </w:style>
  <w:style w:type="character" w:customStyle="1" w:styleId="11">
    <w:name w:val="font21"/>
    <w:qFormat/>
    <w:uiPriority w:val="0"/>
    <w:rPr>
      <w:rFonts w:hint="eastAsia" w:ascii="宋体" w:hAnsi="宋体" w:eastAsia="宋体" w:cs="宋体"/>
      <w:color w:val="000000"/>
      <w:sz w:val="22"/>
      <w:szCs w:val="22"/>
      <w:u w:val="none"/>
    </w:rPr>
  </w:style>
  <w:style w:type="character" w:customStyle="1" w:styleId="12">
    <w:name w:val="font01"/>
    <w:qFormat/>
    <w:uiPriority w:val="0"/>
    <w:rPr>
      <w:rFonts w:hint="eastAsia" w:ascii="宋体" w:hAnsi="宋体" w:eastAsia="宋体" w:cs="宋体"/>
      <w:color w:val="000000"/>
      <w:sz w:val="22"/>
      <w:szCs w:val="22"/>
      <w:u w:val="none"/>
    </w:rPr>
  </w:style>
  <w:style w:type="character" w:customStyle="1" w:styleId="13">
    <w:name w:val="页脚 Char Char Char"/>
    <w:link w:val="4"/>
    <w:qFormat/>
    <w:uiPriority w:val="99"/>
    <w:rPr>
      <w:kern w:val="2"/>
      <w:sz w:val="18"/>
      <w:szCs w:val="18"/>
    </w:rPr>
  </w:style>
  <w:style w:type="character" w:customStyle="1" w:styleId="14">
    <w:name w:val="font11"/>
    <w:qFormat/>
    <w:uiPriority w:val="0"/>
    <w:rPr>
      <w:rFonts w:hint="eastAsia" w:ascii="宋体" w:hAnsi="宋体" w:eastAsia="宋体" w:cs="宋体"/>
      <w:color w:val="000000"/>
      <w:sz w:val="20"/>
      <w:szCs w:val="20"/>
      <w:u w:val="none"/>
    </w:rPr>
  </w:style>
  <w:style w:type="character" w:customStyle="1" w:styleId="15">
    <w:name w:val="font41"/>
    <w:qFormat/>
    <w:uiPriority w:val="0"/>
    <w:rPr>
      <w:rFonts w:hint="eastAsia" w:ascii="宋体" w:hAnsi="宋体" w:eastAsia="宋体" w:cs="宋体"/>
      <w:color w:val="000000"/>
      <w:sz w:val="24"/>
      <w:szCs w:val="24"/>
      <w:u w:val="none"/>
    </w:rPr>
  </w:style>
  <w:style w:type="character" w:customStyle="1" w:styleId="16">
    <w:name w:val="页眉 Char Char Char"/>
    <w:link w:val="5"/>
    <w:qFormat/>
    <w:uiPriority w:val="99"/>
    <w:rPr>
      <w:kern w:val="2"/>
      <w:sz w:val="18"/>
      <w:szCs w:val="18"/>
    </w:rPr>
  </w:style>
  <w:style w:type="character" w:customStyle="1" w:styleId="17">
    <w:name w:val="批注框文本 Char Char Char"/>
    <w:link w:val="3"/>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40</Pages>
  <Words>11653</Words>
  <Characters>14254</Characters>
  <Lines>60</Lines>
  <Paragraphs>16</Paragraphs>
  <TotalTime>17</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2007-11-30T11:41:00Z</dcterms:created>
  <dc:creator>管理者</dc:creator>
  <cp:lastModifiedBy>huanghe</cp:lastModifiedBy>
  <cp:lastPrinted>2023-05-10T10:42:00Z</cp:lastPrinted>
  <dcterms:modified xsi:type="dcterms:W3CDTF">2023-05-16T11:17:34Z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8A56E596816C433AADCDEC9283F38E78</vt:lpwstr>
  </property>
</Properties>
</file>