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lang w:eastAsia="zh-CN"/>
        </w:rPr>
        <w:t>许昌市土地收购储备中心单位</w:t>
      </w:r>
      <w:r>
        <w:rPr>
          <w:rFonts w:hint="eastAsia" w:ascii="黑体" w:hAnsi="黑体" w:eastAsia="黑体" w:cs="黑体"/>
          <w:sz w:val="52"/>
          <w:szCs w:val="52"/>
          <w:highlight w:val="none"/>
        </w:rPr>
        <w:t>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sz w:val="32"/>
          <w:szCs w:val="32"/>
          <w:highlight w:val="none"/>
          <w:lang w:eastAsia="zh-CN"/>
        </w:rPr>
        <w:t>许昌市土地收购储备中心</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部门职责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numPr>
          <w:ilvl w:val="0"/>
          <w:numId w:val="2"/>
        </w:numPr>
        <w:jc w:val="center"/>
        <w:outlineLvl w:val="0"/>
        <w:rPr>
          <w:rFonts w:hint="eastAsia" w:ascii="黑体" w:hAnsi="黑体" w:eastAsia="黑体" w:cs="黑体"/>
          <w:sz w:val="48"/>
          <w:szCs w:val="48"/>
          <w:highlight w:val="none"/>
          <w:lang w:eastAsia="zh-CN"/>
        </w:rPr>
      </w:pPr>
      <w:r>
        <w:rPr>
          <w:rFonts w:hint="eastAsia" w:ascii="黑体" w:hAnsi="黑体" w:eastAsia="黑体" w:cs="黑体"/>
          <w:sz w:val="48"/>
          <w:szCs w:val="48"/>
          <w:highlight w:val="none"/>
          <w:lang w:eastAsia="zh-CN"/>
        </w:rPr>
        <w:t>许昌市土地收购储备中心</w:t>
      </w:r>
    </w:p>
    <w:p>
      <w:pPr>
        <w:widowControl/>
        <w:numPr>
          <w:ilvl w:val="0"/>
          <w:numId w:val="0"/>
        </w:numPr>
        <w:ind w:firstLine="4320" w:firstLineChars="900"/>
        <w:jc w:val="both"/>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一、部门</w:t>
      </w:r>
      <w:r>
        <w:rPr>
          <w:rFonts w:hint="eastAsia" w:ascii="黑体" w:hAnsi="黑体" w:eastAsia="黑体" w:cs="黑体"/>
          <w:bCs/>
          <w:sz w:val="32"/>
          <w:szCs w:val="32"/>
          <w:highlight w:val="none"/>
        </w:rPr>
        <w:t>职责</w:t>
      </w:r>
    </w:p>
    <w:p>
      <w:pPr>
        <w:widowControl/>
        <w:spacing w:line="360" w:lineRule="auto"/>
        <w:ind w:firstLine="643" w:firstLineChars="200"/>
        <w:jc w:val="left"/>
        <w:rPr>
          <w:rFonts w:ascii="仿宋_GB2312" w:eastAsia="仿宋_GB2312"/>
          <w:sz w:val="32"/>
          <w:szCs w:val="32"/>
        </w:rPr>
      </w:pPr>
      <w:r>
        <w:rPr>
          <w:rFonts w:hint="eastAsia" w:ascii="黑体" w:hAnsi="黑体" w:eastAsia="黑体" w:cs="黑体"/>
          <w:b/>
          <w:bCs/>
          <w:sz w:val="32"/>
          <w:szCs w:val="32"/>
          <w:lang w:val="en-US" w:eastAsia="zh-CN"/>
        </w:rPr>
        <w:t xml:space="preserve"> </w:t>
      </w:r>
      <w:r>
        <w:rPr>
          <w:rFonts w:hint="eastAsia" w:ascii="仿宋_GB2312" w:eastAsia="仿宋_GB2312"/>
          <w:sz w:val="32"/>
          <w:szCs w:val="32"/>
        </w:rPr>
        <w:t>1、为合理用地提供收购储备服务，违法用地与闲置抛荒土地收购资金管理与使用。</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firstLine="640" w:firstLineChars="200"/>
        <w:jc w:val="left"/>
        <w:textAlignment w:val="auto"/>
        <w:rPr>
          <w:rFonts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制定土地储备中长期规划，编制年度土地收储计划并及时发布土地储备信息;</w:t>
      </w:r>
    </w:p>
    <w:p>
      <w:pPr>
        <w:spacing w:line="600" w:lineRule="exact"/>
        <w:ind w:firstLine="640" w:firstLineChars="200"/>
        <w:rPr>
          <w:rFonts w:hint="eastAsia" w:ascii="仿宋_GB2312" w:hAnsi="宋体" w:eastAsia="仿宋_GB2312" w:cs="宋体"/>
          <w:kern w:val="0"/>
          <w:sz w:val="32"/>
          <w:szCs w:val="32"/>
          <w:highlight w:val="none"/>
        </w:rPr>
      </w:pPr>
      <w:r>
        <w:rPr>
          <w:rFonts w:hint="eastAsia" w:ascii="仿宋_GB2312" w:eastAsia="仿宋_GB2312"/>
          <w:sz w:val="32"/>
          <w:szCs w:val="32"/>
          <w:lang w:val="en-US" w:eastAsia="zh-CN"/>
        </w:rPr>
        <w:t>3、</w:t>
      </w:r>
      <w:r>
        <w:rPr>
          <w:rFonts w:hint="eastAsia" w:ascii="仿宋_GB2312" w:eastAsia="仿宋_GB2312"/>
          <w:sz w:val="32"/>
          <w:szCs w:val="32"/>
        </w:rPr>
        <w:t>制定土地一级开发计划，负责开发土地的调查、规划、临时利用和土地开发的前期论证及监督、检查、验收等</w:t>
      </w: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keepNext w:val="0"/>
        <w:keepLines w:val="0"/>
        <w:pageBreakBefore w:val="0"/>
        <w:widowControl/>
        <w:numPr>
          <w:ilvl w:val="0"/>
          <w:numId w:val="0"/>
        </w:numPr>
        <w:kinsoku/>
        <w:wordWrap/>
        <w:overflowPunct/>
        <w:topLinePunct w:val="0"/>
        <w:autoSpaceDE/>
        <w:autoSpaceDN/>
        <w:bidi w:val="0"/>
        <w:adjustRightInd/>
        <w:snapToGrid/>
        <w:ind w:leftChars="0" w:right="0" w:rightChars="0"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许昌市土地收购储备中心</w:t>
      </w:r>
      <w:r>
        <w:rPr>
          <w:rFonts w:hint="eastAsia" w:ascii="仿宋_GB2312" w:hAnsi="仿宋_GB2312" w:eastAsia="仿宋_GB2312" w:cs="仿宋_GB2312"/>
          <w:b w:val="0"/>
          <w:bCs w:val="0"/>
          <w:color w:val="auto"/>
          <w:kern w:val="0"/>
          <w:sz w:val="32"/>
          <w:szCs w:val="32"/>
          <w:highlight w:val="none"/>
          <w:lang w:val="en-US" w:eastAsia="zh-CN"/>
        </w:rPr>
        <w:t>内设机构</w:t>
      </w:r>
      <w:r>
        <w:rPr>
          <w:rFonts w:hint="eastAsia" w:ascii="仿宋" w:hAnsi="仿宋" w:eastAsia="仿宋" w:cs="仿宋"/>
          <w:kern w:val="0"/>
          <w:sz w:val="32"/>
          <w:szCs w:val="32"/>
        </w:rPr>
        <w:t>5个，包括：收购科、储备科、开发科、财务室、办公室。</w:t>
      </w:r>
    </w:p>
    <w:p>
      <w:pPr>
        <w:adjustRightInd w:val="0"/>
        <w:snapToGrid w:val="0"/>
        <w:spacing w:line="600" w:lineRule="exact"/>
        <w:ind w:firstLine="640" w:firstLineChars="200"/>
        <w:textAlignment w:val="center"/>
        <w:rPr>
          <w:rFonts w:hint="eastAsia" w:ascii="仿宋_GB2312" w:hAnsi="仿宋_GB2312" w:eastAsia="仿宋_GB2312" w:cs="仿宋_GB2312"/>
          <w:kern w:val="0"/>
          <w:sz w:val="32"/>
          <w:szCs w:val="32"/>
          <w:highlight w:val="none"/>
        </w:rPr>
      </w:pPr>
      <w:r>
        <w:rPr>
          <w:rFonts w:hint="eastAsia" w:ascii="仿宋" w:hAnsi="仿宋" w:eastAsia="仿宋" w:cs="仿宋"/>
          <w:kern w:val="0"/>
          <w:sz w:val="32"/>
          <w:szCs w:val="32"/>
        </w:rPr>
        <w:t>从决算单位构成看，许昌市土地收购储备中</w:t>
      </w:r>
      <w:r>
        <w:rPr>
          <w:rFonts w:hint="eastAsia" w:ascii="仿宋" w:hAnsi="仿宋" w:eastAsia="仿宋" w:cs="仿宋"/>
          <w:kern w:val="0"/>
          <w:sz w:val="32"/>
          <w:szCs w:val="32"/>
          <w:lang w:eastAsia="zh-CN"/>
        </w:rPr>
        <w:t>单位</w:t>
      </w:r>
      <w:r>
        <w:rPr>
          <w:rFonts w:hint="eastAsia" w:ascii="仿宋" w:hAnsi="仿宋" w:eastAsia="仿宋" w:cs="仿宋"/>
          <w:kern w:val="0"/>
          <w:sz w:val="32"/>
          <w:szCs w:val="32"/>
        </w:rPr>
        <w:t>决算包括：本级决算</w:t>
      </w:r>
      <w:r>
        <w:rPr>
          <w:rFonts w:hint="eastAsia" w:ascii="仿宋_GB2312" w:hAnsi="仿宋_GB2312" w:eastAsia="仿宋_GB2312" w:cs="仿宋_GB2312"/>
          <w:sz w:val="32"/>
          <w:szCs w:val="32"/>
          <w:highlight w:val="none"/>
          <w:lang w:eastAsia="zh-CN"/>
        </w:rPr>
        <w:t>(1个)。</w:t>
      </w:r>
    </w:p>
    <w:p>
      <w:pPr>
        <w:widowControl/>
        <w:ind w:firstLine="640" w:firstLineChars="200"/>
        <w:jc w:val="left"/>
        <w:rPr>
          <w:rFonts w:hint="eastAsia" w:ascii="仿宋" w:hAnsi="仿宋" w:eastAsia="仿宋" w:cs="仿宋"/>
          <w:color w:val="auto"/>
          <w:kern w:val="0"/>
          <w:sz w:val="28"/>
          <w:szCs w:val="28"/>
          <w:highlight w:val="none"/>
          <w:lang w:val="en-US" w:eastAsia="zh-CN"/>
        </w:rPr>
      </w:pPr>
      <w:r>
        <w:rPr>
          <w:rFonts w:hint="eastAsia" w:ascii="仿宋" w:hAnsi="仿宋" w:eastAsia="仿宋" w:cs="仿宋"/>
          <w:kern w:val="0"/>
          <w:sz w:val="32"/>
          <w:szCs w:val="32"/>
        </w:rPr>
        <w:t>纳入本</w:t>
      </w:r>
      <w:r>
        <w:rPr>
          <w:rFonts w:hint="eastAsia" w:ascii="仿宋" w:hAnsi="仿宋" w:eastAsia="仿宋" w:cs="仿宋"/>
          <w:kern w:val="0"/>
          <w:sz w:val="32"/>
          <w:szCs w:val="32"/>
          <w:lang w:eastAsia="zh-CN"/>
        </w:rPr>
        <w:t>单位</w:t>
      </w:r>
      <w:r>
        <w:rPr>
          <w:rFonts w:hint="eastAsia" w:ascii="仿宋" w:hAnsi="仿宋" w:eastAsia="仿宋" w:cs="仿宋"/>
          <w:kern w:val="0"/>
          <w:sz w:val="32"/>
          <w:szCs w:val="32"/>
        </w:rPr>
        <w:t>20</w:t>
      </w:r>
      <w:r>
        <w:rPr>
          <w:rFonts w:hint="eastAsia" w:ascii="仿宋" w:hAnsi="仿宋" w:eastAsia="仿宋" w:cs="仿宋"/>
          <w:kern w:val="0"/>
          <w:sz w:val="32"/>
          <w:szCs w:val="32"/>
          <w:lang w:val="en-US" w:eastAsia="zh-CN"/>
        </w:rPr>
        <w:t>21</w:t>
      </w:r>
      <w:r>
        <w:rPr>
          <w:rFonts w:hint="eastAsia" w:ascii="仿宋" w:hAnsi="仿宋" w:eastAsia="仿宋" w:cs="仿宋"/>
          <w:kern w:val="0"/>
          <w:sz w:val="32"/>
          <w:szCs w:val="32"/>
        </w:rPr>
        <w:t>年度</w:t>
      </w:r>
      <w:r>
        <w:rPr>
          <w:rFonts w:hint="eastAsia" w:ascii="仿宋" w:hAnsi="仿宋" w:eastAsia="仿宋" w:cs="仿宋"/>
          <w:kern w:val="0"/>
          <w:sz w:val="32"/>
          <w:szCs w:val="32"/>
          <w:lang w:eastAsia="zh-CN"/>
        </w:rPr>
        <w:t>单位</w:t>
      </w:r>
      <w:r>
        <w:rPr>
          <w:rFonts w:hint="eastAsia" w:ascii="仿宋" w:hAnsi="仿宋" w:eastAsia="仿宋" w:cs="仿宋"/>
          <w:kern w:val="0"/>
          <w:sz w:val="32"/>
          <w:szCs w:val="32"/>
        </w:rPr>
        <w:t>决算编制范围的单位共1个，</w:t>
      </w:r>
      <w:r>
        <w:rPr>
          <w:rFonts w:hint="eastAsia" w:ascii="仿宋" w:hAnsi="仿宋" w:eastAsia="仿宋" w:cs="仿宋"/>
          <w:kern w:val="0"/>
          <w:sz w:val="32"/>
          <w:szCs w:val="32"/>
          <w:lang w:val="en-US" w:eastAsia="zh-CN"/>
        </w:rPr>
        <w:t>具体是：</w:t>
      </w:r>
    </w:p>
    <w:p>
      <w:pPr>
        <w:widowControl/>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许昌市土地收购储备中心</w:t>
      </w:r>
    </w:p>
    <w:p>
      <w:pPr>
        <w:widowControl/>
        <w:ind w:firstLine="640" w:firstLineChars="200"/>
        <w:jc w:val="left"/>
        <w:rPr>
          <w:rFonts w:hint="eastAsia" w:ascii="仿宋_GB2312" w:hAnsi="仿宋_GB2312" w:eastAsia="仿宋_GB2312" w:cs="仿宋_GB2312"/>
          <w:kern w:val="0"/>
          <w:sz w:val="32"/>
          <w:szCs w:val="32"/>
          <w:highlight w:val="none"/>
        </w:rPr>
      </w:pPr>
    </w:p>
    <w:p>
      <w:pPr>
        <w:widowControl/>
        <w:jc w:val="left"/>
        <w:rPr>
          <w:rFonts w:hint="eastAsia" w:ascii="黑体" w:hAnsi="宋体" w:eastAsia="黑体" w:cs="宋体"/>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2021年度部门决算表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tbl>
      <w:tblPr>
        <w:tblStyle w:val="7"/>
        <w:tblW w:w="13944"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19"/>
        <w:gridCol w:w="1080"/>
        <w:gridCol w:w="1470"/>
        <w:gridCol w:w="4140"/>
        <w:gridCol w:w="1170"/>
        <w:gridCol w:w="1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3944" w:type="dxa"/>
            <w:gridSpan w:val="6"/>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4419"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108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47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14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835"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5499" w:type="dxa"/>
            <w:gridSpan w:val="2"/>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部门：许昌市土地收购储备中心</w:t>
            </w:r>
          </w:p>
        </w:tc>
        <w:tc>
          <w:tcPr>
            <w:tcW w:w="147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14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835"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969"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6975" w:type="dxa"/>
            <w:gridSpan w:val="3"/>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1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0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4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414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1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66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1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080"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4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14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170"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66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1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10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333.84</w:t>
            </w:r>
          </w:p>
        </w:tc>
        <w:tc>
          <w:tcPr>
            <w:tcW w:w="4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1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6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1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10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4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11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6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1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10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4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11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6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1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10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4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11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6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1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10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4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11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6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1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10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4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11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6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1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10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4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1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6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1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10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4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1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6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1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0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4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11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6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1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0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4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11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6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1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0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4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11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6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1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0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4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11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6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1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0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4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11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6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1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0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4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1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6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1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0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4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1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6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1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0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4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11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6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1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0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4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1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6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1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0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4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1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6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1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0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4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11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6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1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0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4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1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6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1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0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4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1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6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1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0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4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1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6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1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0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4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11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6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19" w:type="dxa"/>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10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4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1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6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1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10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4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1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6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1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10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4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1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6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1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10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4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333.84</w:t>
            </w:r>
          </w:p>
        </w:tc>
        <w:tc>
          <w:tcPr>
            <w:tcW w:w="414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1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6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375.56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1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10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4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11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6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1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0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4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41.72</w:t>
            </w:r>
          </w:p>
        </w:tc>
        <w:tc>
          <w:tcPr>
            <w:tcW w:w="4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11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6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1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0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4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4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1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66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1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1080" w:type="dxa"/>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4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375.56</w:t>
            </w:r>
          </w:p>
        </w:tc>
        <w:tc>
          <w:tcPr>
            <w:tcW w:w="414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11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6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375.56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44" w:type="dxa"/>
            <w:gridSpan w:val="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1398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17"/>
        <w:gridCol w:w="237"/>
        <w:gridCol w:w="240"/>
        <w:gridCol w:w="2735"/>
        <w:gridCol w:w="1635"/>
        <w:gridCol w:w="1590"/>
        <w:gridCol w:w="881"/>
        <w:gridCol w:w="516"/>
        <w:gridCol w:w="514"/>
        <w:gridCol w:w="1204"/>
        <w:gridCol w:w="12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13980" w:type="dxa"/>
            <w:gridSpan w:val="11"/>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3217"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23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4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73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63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59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8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1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1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0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11"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429" w:type="dxa"/>
            <w:gridSpan w:val="4"/>
            <w:tcBorders>
              <w:top w:val="nil"/>
              <w:left w:val="nil"/>
              <w:bottom w:val="nil"/>
              <w:right w:val="nil"/>
            </w:tcBorders>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部门：许昌市土地收购储备中心</w:t>
            </w:r>
          </w:p>
        </w:tc>
        <w:tc>
          <w:tcPr>
            <w:tcW w:w="163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59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8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1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14" w:type="dxa"/>
            <w:tcBorders>
              <w:top w:val="nil"/>
              <w:left w:val="nil"/>
              <w:bottom w:val="nil"/>
              <w:right w:val="nil"/>
            </w:tcBorders>
            <w:noWrap/>
            <w:vAlign w:val="bottom"/>
          </w:tcPr>
          <w:p>
            <w:pPr>
              <w:jc w:val="right"/>
              <w:rPr>
                <w:rFonts w:hint="default" w:ascii="Arial" w:hAnsi="Arial" w:cs="Arial"/>
                <w:i w:val="0"/>
                <w:iCs w:val="0"/>
                <w:color w:val="000000"/>
                <w:sz w:val="20"/>
                <w:szCs w:val="20"/>
                <w:u w:val="none"/>
              </w:rPr>
            </w:pPr>
          </w:p>
        </w:tc>
        <w:tc>
          <w:tcPr>
            <w:tcW w:w="2415"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7" w:hRule="atLeast"/>
        </w:trPr>
        <w:tc>
          <w:tcPr>
            <w:tcW w:w="6429"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63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59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881"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516"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514"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1204"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211"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694"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2735"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6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8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1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1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0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1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694"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735"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6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8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1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1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0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1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8" w:hRule="atLeast"/>
        </w:trPr>
        <w:tc>
          <w:tcPr>
            <w:tcW w:w="3694"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735"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6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8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1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1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0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1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7" w:hRule="atLeast"/>
        </w:trPr>
        <w:tc>
          <w:tcPr>
            <w:tcW w:w="6429"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63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9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88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51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51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0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21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429"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333.84</w:t>
            </w:r>
          </w:p>
        </w:tc>
        <w:tc>
          <w:tcPr>
            <w:tcW w:w="15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333.84</w:t>
            </w:r>
          </w:p>
        </w:tc>
        <w:tc>
          <w:tcPr>
            <w:tcW w:w="8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5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51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2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21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7" w:hRule="atLeast"/>
        </w:trPr>
        <w:tc>
          <w:tcPr>
            <w:tcW w:w="369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27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6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w:t>
            </w:r>
          </w:p>
        </w:tc>
        <w:tc>
          <w:tcPr>
            <w:tcW w:w="15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w:t>
            </w:r>
          </w:p>
        </w:tc>
        <w:tc>
          <w:tcPr>
            <w:tcW w:w="8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1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7" w:hRule="atLeast"/>
        </w:trPr>
        <w:tc>
          <w:tcPr>
            <w:tcW w:w="369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27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6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w:t>
            </w:r>
          </w:p>
        </w:tc>
        <w:tc>
          <w:tcPr>
            <w:tcW w:w="15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w:t>
            </w:r>
          </w:p>
        </w:tc>
        <w:tc>
          <w:tcPr>
            <w:tcW w:w="8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1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7" w:hRule="atLeast"/>
        </w:trPr>
        <w:tc>
          <w:tcPr>
            <w:tcW w:w="369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27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16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w:t>
            </w:r>
          </w:p>
        </w:tc>
        <w:tc>
          <w:tcPr>
            <w:tcW w:w="15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w:t>
            </w:r>
          </w:p>
        </w:tc>
        <w:tc>
          <w:tcPr>
            <w:tcW w:w="8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1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7" w:hRule="atLeast"/>
        </w:trPr>
        <w:tc>
          <w:tcPr>
            <w:tcW w:w="369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27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25.24</w:t>
            </w:r>
          </w:p>
        </w:tc>
        <w:tc>
          <w:tcPr>
            <w:tcW w:w="15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25.24</w:t>
            </w:r>
          </w:p>
        </w:tc>
        <w:tc>
          <w:tcPr>
            <w:tcW w:w="8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1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7" w:hRule="atLeast"/>
        </w:trPr>
        <w:tc>
          <w:tcPr>
            <w:tcW w:w="369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27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25.24</w:t>
            </w:r>
          </w:p>
        </w:tc>
        <w:tc>
          <w:tcPr>
            <w:tcW w:w="15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25.24</w:t>
            </w:r>
          </w:p>
        </w:tc>
        <w:tc>
          <w:tcPr>
            <w:tcW w:w="8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1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7" w:hRule="atLeast"/>
        </w:trPr>
        <w:tc>
          <w:tcPr>
            <w:tcW w:w="369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27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16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11.25</w:t>
            </w:r>
          </w:p>
        </w:tc>
        <w:tc>
          <w:tcPr>
            <w:tcW w:w="15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11.25</w:t>
            </w:r>
          </w:p>
        </w:tc>
        <w:tc>
          <w:tcPr>
            <w:tcW w:w="8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1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7" w:hRule="atLeast"/>
        </w:trPr>
        <w:tc>
          <w:tcPr>
            <w:tcW w:w="369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27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5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8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1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7" w:hRule="atLeast"/>
        </w:trPr>
        <w:tc>
          <w:tcPr>
            <w:tcW w:w="369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27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6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17.20</w:t>
            </w:r>
          </w:p>
        </w:tc>
        <w:tc>
          <w:tcPr>
            <w:tcW w:w="15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17.20</w:t>
            </w:r>
          </w:p>
        </w:tc>
        <w:tc>
          <w:tcPr>
            <w:tcW w:w="8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1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7" w:hRule="atLeast"/>
        </w:trPr>
        <w:tc>
          <w:tcPr>
            <w:tcW w:w="369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27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6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17.20</w:t>
            </w:r>
          </w:p>
        </w:tc>
        <w:tc>
          <w:tcPr>
            <w:tcW w:w="15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17.20</w:t>
            </w:r>
          </w:p>
        </w:tc>
        <w:tc>
          <w:tcPr>
            <w:tcW w:w="8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1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7" w:hRule="atLeast"/>
        </w:trPr>
        <w:tc>
          <w:tcPr>
            <w:tcW w:w="369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27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16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9.97</w:t>
            </w:r>
          </w:p>
        </w:tc>
        <w:tc>
          <w:tcPr>
            <w:tcW w:w="15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9.97</w:t>
            </w:r>
          </w:p>
        </w:tc>
        <w:tc>
          <w:tcPr>
            <w:tcW w:w="8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1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7" w:hRule="atLeast"/>
        </w:trPr>
        <w:tc>
          <w:tcPr>
            <w:tcW w:w="369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27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16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7.24</w:t>
            </w:r>
          </w:p>
        </w:tc>
        <w:tc>
          <w:tcPr>
            <w:tcW w:w="15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7.24</w:t>
            </w:r>
          </w:p>
        </w:tc>
        <w:tc>
          <w:tcPr>
            <w:tcW w:w="8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1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7" w:hRule="atLeast"/>
        </w:trPr>
        <w:tc>
          <w:tcPr>
            <w:tcW w:w="369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27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16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289.71</w:t>
            </w:r>
          </w:p>
        </w:tc>
        <w:tc>
          <w:tcPr>
            <w:tcW w:w="15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289.71</w:t>
            </w:r>
          </w:p>
        </w:tc>
        <w:tc>
          <w:tcPr>
            <w:tcW w:w="8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1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7" w:hRule="atLeast"/>
        </w:trPr>
        <w:tc>
          <w:tcPr>
            <w:tcW w:w="369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w:t>
            </w:r>
          </w:p>
        </w:tc>
        <w:tc>
          <w:tcPr>
            <w:tcW w:w="27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城乡社区管理事务</w:t>
            </w:r>
          </w:p>
        </w:tc>
        <w:tc>
          <w:tcPr>
            <w:tcW w:w="16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289.71</w:t>
            </w:r>
          </w:p>
        </w:tc>
        <w:tc>
          <w:tcPr>
            <w:tcW w:w="15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289.71</w:t>
            </w:r>
          </w:p>
        </w:tc>
        <w:tc>
          <w:tcPr>
            <w:tcW w:w="8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1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7" w:hRule="atLeast"/>
        </w:trPr>
        <w:tc>
          <w:tcPr>
            <w:tcW w:w="369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2120101</w:t>
            </w:r>
          </w:p>
        </w:tc>
        <w:tc>
          <w:tcPr>
            <w:tcW w:w="27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28.88</w:t>
            </w:r>
          </w:p>
        </w:tc>
        <w:tc>
          <w:tcPr>
            <w:tcW w:w="15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28.88</w:t>
            </w:r>
          </w:p>
        </w:tc>
        <w:tc>
          <w:tcPr>
            <w:tcW w:w="8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1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7" w:hRule="atLeast"/>
        </w:trPr>
        <w:tc>
          <w:tcPr>
            <w:tcW w:w="369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2120199</w:t>
            </w:r>
          </w:p>
        </w:tc>
        <w:tc>
          <w:tcPr>
            <w:tcW w:w="27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其他城乡社区管理事务支出</w:t>
            </w:r>
          </w:p>
        </w:tc>
        <w:tc>
          <w:tcPr>
            <w:tcW w:w="16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260.83</w:t>
            </w:r>
          </w:p>
        </w:tc>
        <w:tc>
          <w:tcPr>
            <w:tcW w:w="15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260.83</w:t>
            </w:r>
          </w:p>
        </w:tc>
        <w:tc>
          <w:tcPr>
            <w:tcW w:w="8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1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7" w:hRule="atLeast"/>
        </w:trPr>
        <w:tc>
          <w:tcPr>
            <w:tcW w:w="13980" w:type="dxa"/>
            <w:gridSpan w:val="11"/>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14004"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16"/>
        <w:gridCol w:w="222"/>
        <w:gridCol w:w="222"/>
        <w:gridCol w:w="3956"/>
        <w:gridCol w:w="1416"/>
        <w:gridCol w:w="1287"/>
        <w:gridCol w:w="705"/>
        <w:gridCol w:w="1005"/>
        <w:gridCol w:w="735"/>
        <w:gridCol w:w="1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4004"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3016"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22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95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41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8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0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0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175"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3016" w:type="dxa"/>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部门：许昌市土地收购储备中心</w:t>
            </w:r>
          </w:p>
        </w:tc>
        <w:tc>
          <w:tcPr>
            <w:tcW w:w="22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95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41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8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0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180" w:type="dxa"/>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416"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416"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28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70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00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73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44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3956"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41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8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0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0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95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41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8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0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0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95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41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8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0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0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416"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41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8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0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0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4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416"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4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375.56</w:t>
            </w:r>
          </w:p>
        </w:tc>
        <w:tc>
          <w:tcPr>
            <w:tcW w:w="128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375.56</w:t>
            </w:r>
          </w:p>
        </w:tc>
        <w:tc>
          <w:tcPr>
            <w:tcW w:w="7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0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7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4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4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w:t>
            </w:r>
          </w:p>
        </w:tc>
        <w:tc>
          <w:tcPr>
            <w:tcW w:w="128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w:t>
            </w:r>
          </w:p>
        </w:tc>
        <w:tc>
          <w:tcPr>
            <w:tcW w:w="7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4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w:t>
            </w:r>
          </w:p>
        </w:tc>
        <w:tc>
          <w:tcPr>
            <w:tcW w:w="128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w:t>
            </w:r>
          </w:p>
        </w:tc>
        <w:tc>
          <w:tcPr>
            <w:tcW w:w="7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14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w:t>
            </w:r>
          </w:p>
        </w:tc>
        <w:tc>
          <w:tcPr>
            <w:tcW w:w="128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w:t>
            </w:r>
          </w:p>
        </w:tc>
        <w:tc>
          <w:tcPr>
            <w:tcW w:w="7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4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26.07</w:t>
            </w:r>
          </w:p>
        </w:tc>
        <w:tc>
          <w:tcPr>
            <w:tcW w:w="128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26.07</w:t>
            </w:r>
          </w:p>
        </w:tc>
        <w:tc>
          <w:tcPr>
            <w:tcW w:w="7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4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26.07</w:t>
            </w:r>
          </w:p>
        </w:tc>
        <w:tc>
          <w:tcPr>
            <w:tcW w:w="128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26.07</w:t>
            </w:r>
          </w:p>
        </w:tc>
        <w:tc>
          <w:tcPr>
            <w:tcW w:w="7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14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12.07</w:t>
            </w:r>
          </w:p>
        </w:tc>
        <w:tc>
          <w:tcPr>
            <w:tcW w:w="128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12.07</w:t>
            </w:r>
          </w:p>
        </w:tc>
        <w:tc>
          <w:tcPr>
            <w:tcW w:w="7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4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28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7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4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17.20</w:t>
            </w:r>
          </w:p>
        </w:tc>
        <w:tc>
          <w:tcPr>
            <w:tcW w:w="128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17.20</w:t>
            </w:r>
          </w:p>
        </w:tc>
        <w:tc>
          <w:tcPr>
            <w:tcW w:w="7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4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17.20</w:t>
            </w:r>
          </w:p>
        </w:tc>
        <w:tc>
          <w:tcPr>
            <w:tcW w:w="128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17.20</w:t>
            </w:r>
          </w:p>
        </w:tc>
        <w:tc>
          <w:tcPr>
            <w:tcW w:w="7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14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9.97</w:t>
            </w:r>
          </w:p>
        </w:tc>
        <w:tc>
          <w:tcPr>
            <w:tcW w:w="128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9.97</w:t>
            </w:r>
          </w:p>
        </w:tc>
        <w:tc>
          <w:tcPr>
            <w:tcW w:w="7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14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7.24</w:t>
            </w:r>
          </w:p>
        </w:tc>
        <w:tc>
          <w:tcPr>
            <w:tcW w:w="128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7.24</w:t>
            </w:r>
          </w:p>
        </w:tc>
        <w:tc>
          <w:tcPr>
            <w:tcW w:w="7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14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330.60</w:t>
            </w:r>
          </w:p>
        </w:tc>
        <w:tc>
          <w:tcPr>
            <w:tcW w:w="128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330.60</w:t>
            </w:r>
          </w:p>
        </w:tc>
        <w:tc>
          <w:tcPr>
            <w:tcW w:w="7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城乡社区管理事务</w:t>
            </w:r>
          </w:p>
        </w:tc>
        <w:tc>
          <w:tcPr>
            <w:tcW w:w="14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330.60</w:t>
            </w:r>
          </w:p>
        </w:tc>
        <w:tc>
          <w:tcPr>
            <w:tcW w:w="128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330.60</w:t>
            </w:r>
          </w:p>
        </w:tc>
        <w:tc>
          <w:tcPr>
            <w:tcW w:w="7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2120101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4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28.88</w:t>
            </w:r>
          </w:p>
        </w:tc>
        <w:tc>
          <w:tcPr>
            <w:tcW w:w="128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28.88</w:t>
            </w:r>
          </w:p>
        </w:tc>
        <w:tc>
          <w:tcPr>
            <w:tcW w:w="7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2120199</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其他城乡社区管理事务支出</w:t>
            </w:r>
          </w:p>
        </w:tc>
        <w:tc>
          <w:tcPr>
            <w:tcW w:w="14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301.72</w:t>
            </w:r>
          </w:p>
        </w:tc>
        <w:tc>
          <w:tcPr>
            <w:tcW w:w="128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301.72</w:t>
            </w:r>
          </w:p>
        </w:tc>
        <w:tc>
          <w:tcPr>
            <w:tcW w:w="7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04" w:type="dxa"/>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463" w:left="1440" w:header="720" w:footer="720" w:gutter="0"/>
          <w:pgNumType w:fmt="numberInDash"/>
          <w:cols w:space="720" w:num="1"/>
          <w:docGrid w:type="lines" w:linePitch="312" w:charSpace="0"/>
        </w:sectPr>
      </w:pPr>
    </w:p>
    <w:tbl>
      <w:tblPr>
        <w:tblStyle w:val="7"/>
        <w:tblW w:w="1398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76"/>
        <w:gridCol w:w="586"/>
        <w:gridCol w:w="892"/>
        <w:gridCol w:w="3465"/>
        <w:gridCol w:w="525"/>
        <w:gridCol w:w="930"/>
        <w:gridCol w:w="1350"/>
        <w:gridCol w:w="1575"/>
        <w:gridCol w:w="15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3989"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3076"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58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9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46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2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3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35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57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590"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3076" w:type="dxa"/>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部门：许昌市土地收购储备中心</w:t>
            </w:r>
          </w:p>
        </w:tc>
        <w:tc>
          <w:tcPr>
            <w:tcW w:w="58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9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46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2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3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35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57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590"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4" w:hRule="atLeast"/>
        </w:trPr>
        <w:tc>
          <w:tcPr>
            <w:tcW w:w="4554"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9435" w:type="dxa"/>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3076"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8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89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46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2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930"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35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57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59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1" w:hRule="atLeast"/>
        </w:trPr>
        <w:tc>
          <w:tcPr>
            <w:tcW w:w="3076"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8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9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46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30"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3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7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9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86"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89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46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25"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5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57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59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58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9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333.84</w:t>
            </w:r>
          </w:p>
        </w:tc>
        <w:tc>
          <w:tcPr>
            <w:tcW w:w="34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5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w:t>
            </w:r>
          </w:p>
        </w:tc>
        <w:tc>
          <w:tcPr>
            <w:tcW w:w="13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w:t>
            </w:r>
          </w:p>
        </w:tc>
        <w:tc>
          <w:tcPr>
            <w:tcW w:w="15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58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8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4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5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58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8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4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5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8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8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4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5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8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8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4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5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8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8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4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5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8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8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4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5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8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8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4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5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26.07</w:t>
            </w:r>
          </w:p>
        </w:tc>
        <w:tc>
          <w:tcPr>
            <w:tcW w:w="13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26.07</w:t>
            </w:r>
          </w:p>
        </w:tc>
        <w:tc>
          <w:tcPr>
            <w:tcW w:w="15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8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8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4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5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17.20</w:t>
            </w:r>
          </w:p>
        </w:tc>
        <w:tc>
          <w:tcPr>
            <w:tcW w:w="13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17.20</w:t>
            </w:r>
          </w:p>
        </w:tc>
        <w:tc>
          <w:tcPr>
            <w:tcW w:w="15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8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8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4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5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8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8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4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5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330.60</w:t>
            </w:r>
          </w:p>
        </w:tc>
        <w:tc>
          <w:tcPr>
            <w:tcW w:w="13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330.60</w:t>
            </w:r>
          </w:p>
        </w:tc>
        <w:tc>
          <w:tcPr>
            <w:tcW w:w="15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8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8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4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5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8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8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4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5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8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8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4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5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8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8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4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5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8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8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4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5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8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8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4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5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8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8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4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5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8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8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4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5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8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8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4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5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8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8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4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5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8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8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4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5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8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8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4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5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58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8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4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5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58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8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4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5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58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8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4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5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58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89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333.84</w:t>
            </w:r>
          </w:p>
        </w:tc>
        <w:tc>
          <w:tcPr>
            <w:tcW w:w="346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5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375.56</w:t>
            </w:r>
          </w:p>
        </w:tc>
        <w:tc>
          <w:tcPr>
            <w:tcW w:w="13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375.56</w:t>
            </w:r>
          </w:p>
        </w:tc>
        <w:tc>
          <w:tcPr>
            <w:tcW w:w="15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307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58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89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41.72</w:t>
            </w:r>
          </w:p>
        </w:tc>
        <w:tc>
          <w:tcPr>
            <w:tcW w:w="34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5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58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89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41.72</w:t>
            </w:r>
          </w:p>
        </w:tc>
        <w:tc>
          <w:tcPr>
            <w:tcW w:w="346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58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8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46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58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8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46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586" w:type="dxa"/>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89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375.56</w:t>
            </w:r>
          </w:p>
        </w:tc>
        <w:tc>
          <w:tcPr>
            <w:tcW w:w="346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5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375.56</w:t>
            </w:r>
          </w:p>
        </w:tc>
        <w:tc>
          <w:tcPr>
            <w:tcW w:w="13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375.56</w:t>
            </w:r>
          </w:p>
        </w:tc>
        <w:tc>
          <w:tcPr>
            <w:tcW w:w="15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3989"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1"/>
                <w:szCs w:val="21"/>
                <w:u w:val="none"/>
                <w:lang w:val="en-US" w:eastAsia="zh-CN" w:bidi="ar"/>
              </w:rPr>
              <w:t>注：本表反映部门本年度一般公共预算财政拨款、政府性基金预算财政拨款和国有资本经营预算财政拨款的总收支和年末结转结余情况。本表金额转换为万元时，因四舍五入可能存在尾差。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1407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42"/>
        <w:gridCol w:w="2724"/>
        <w:gridCol w:w="960"/>
        <w:gridCol w:w="1056"/>
        <w:gridCol w:w="1730"/>
        <w:gridCol w:w="881"/>
        <w:gridCol w:w="1337"/>
        <w:gridCol w:w="3294"/>
        <w:gridCol w:w="9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4078" w:type="dxa"/>
            <w:gridSpan w:val="9"/>
            <w:tcBorders>
              <w:top w:val="nil"/>
              <w:left w:val="nil"/>
              <w:bottom w:val="nil"/>
              <w:right w:val="nil"/>
            </w:tcBorders>
            <w:noWrap/>
            <w:vAlign w:val="bottom"/>
          </w:tcPr>
          <w:tbl>
            <w:tblPr>
              <w:tblStyle w:val="7"/>
              <w:tblW w:w="1377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6"/>
              <w:gridCol w:w="426"/>
              <w:gridCol w:w="426"/>
              <w:gridCol w:w="4467"/>
              <w:gridCol w:w="5"/>
              <w:gridCol w:w="2208"/>
              <w:gridCol w:w="5"/>
              <w:gridCol w:w="1843"/>
              <w:gridCol w:w="3959"/>
              <w:gridCol w:w="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384" w:hRule="atLeast"/>
              </w:trPr>
              <w:tc>
                <w:tcPr>
                  <w:tcW w:w="13765"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264" w:hRule="atLeast"/>
              </w:trPr>
              <w:tc>
                <w:tcPr>
                  <w:tcW w:w="426"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42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2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46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213" w:type="dxa"/>
                  <w:gridSpan w:val="2"/>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807" w:type="dxa"/>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264" w:hRule="atLeast"/>
              </w:trPr>
              <w:tc>
                <w:tcPr>
                  <w:tcW w:w="7958" w:type="dxa"/>
                  <w:gridSpan w:val="6"/>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部门：许昌市土地收购储备中心</w:t>
                  </w:r>
                </w:p>
              </w:tc>
              <w:tc>
                <w:tcPr>
                  <w:tcW w:w="5807" w:type="dxa"/>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750"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8016" w:type="dxa"/>
                  <w:gridSpan w:val="5"/>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8"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4472" w:type="dxa"/>
                  <w:gridSpan w:val="2"/>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213" w:type="dxa"/>
                  <w:gridSpan w:val="2"/>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843"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3960" w:type="dxa"/>
                  <w:gridSpan w:val="2"/>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1278"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472" w:type="dxa"/>
                  <w:gridSpan w:val="2"/>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213" w:type="dxa"/>
                  <w:gridSpan w:val="2"/>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4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960" w:type="dxa"/>
                  <w:gridSpan w:val="2"/>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8"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472" w:type="dxa"/>
                  <w:gridSpan w:val="2"/>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213" w:type="dxa"/>
                  <w:gridSpan w:val="2"/>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4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960" w:type="dxa"/>
                  <w:gridSpan w:val="2"/>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750" w:type="dxa"/>
                  <w:gridSpan w:val="5"/>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2213"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84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96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750" w:type="dxa"/>
                  <w:gridSpan w:val="5"/>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213"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375.56</w:t>
                  </w:r>
                </w:p>
              </w:tc>
              <w:tc>
                <w:tcPr>
                  <w:tcW w:w="18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375.56</w:t>
                  </w:r>
                </w:p>
              </w:tc>
              <w:tc>
                <w:tcPr>
                  <w:tcW w:w="396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4472"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2213"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w:t>
                  </w:r>
                </w:p>
              </w:tc>
              <w:tc>
                <w:tcPr>
                  <w:tcW w:w="18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w:t>
                  </w:r>
                </w:p>
              </w:tc>
              <w:tc>
                <w:tcPr>
                  <w:tcW w:w="396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4472"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2213"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w:t>
                  </w:r>
                </w:p>
              </w:tc>
              <w:tc>
                <w:tcPr>
                  <w:tcW w:w="18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w:t>
                  </w:r>
                </w:p>
              </w:tc>
              <w:tc>
                <w:tcPr>
                  <w:tcW w:w="396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4472"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2213"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w:t>
                  </w:r>
                </w:p>
              </w:tc>
              <w:tc>
                <w:tcPr>
                  <w:tcW w:w="18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w:t>
                  </w:r>
                </w:p>
              </w:tc>
              <w:tc>
                <w:tcPr>
                  <w:tcW w:w="396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4472"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213"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26.07</w:t>
                  </w:r>
                </w:p>
              </w:tc>
              <w:tc>
                <w:tcPr>
                  <w:tcW w:w="18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26.07</w:t>
                  </w:r>
                </w:p>
              </w:tc>
              <w:tc>
                <w:tcPr>
                  <w:tcW w:w="396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4472"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213"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26.07</w:t>
                  </w:r>
                </w:p>
              </w:tc>
              <w:tc>
                <w:tcPr>
                  <w:tcW w:w="18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26.07</w:t>
                  </w:r>
                </w:p>
              </w:tc>
              <w:tc>
                <w:tcPr>
                  <w:tcW w:w="396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4472"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2213"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12.07</w:t>
                  </w:r>
                </w:p>
              </w:tc>
              <w:tc>
                <w:tcPr>
                  <w:tcW w:w="18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12.07</w:t>
                  </w:r>
                </w:p>
              </w:tc>
              <w:tc>
                <w:tcPr>
                  <w:tcW w:w="396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4472"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213"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8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396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4472"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2213"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17.20</w:t>
                  </w:r>
                </w:p>
              </w:tc>
              <w:tc>
                <w:tcPr>
                  <w:tcW w:w="18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17.20</w:t>
                  </w:r>
                </w:p>
              </w:tc>
              <w:tc>
                <w:tcPr>
                  <w:tcW w:w="396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4472"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2213"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17.20</w:t>
                  </w:r>
                </w:p>
              </w:tc>
              <w:tc>
                <w:tcPr>
                  <w:tcW w:w="18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17.20</w:t>
                  </w:r>
                </w:p>
              </w:tc>
              <w:tc>
                <w:tcPr>
                  <w:tcW w:w="396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4472"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2213"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9.97</w:t>
                  </w:r>
                </w:p>
              </w:tc>
              <w:tc>
                <w:tcPr>
                  <w:tcW w:w="18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9.97</w:t>
                  </w:r>
                </w:p>
              </w:tc>
              <w:tc>
                <w:tcPr>
                  <w:tcW w:w="396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4472"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2213"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7.24</w:t>
                  </w:r>
                </w:p>
              </w:tc>
              <w:tc>
                <w:tcPr>
                  <w:tcW w:w="18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7.24</w:t>
                  </w:r>
                </w:p>
              </w:tc>
              <w:tc>
                <w:tcPr>
                  <w:tcW w:w="396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4472"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2213"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330.60</w:t>
                  </w:r>
                </w:p>
              </w:tc>
              <w:tc>
                <w:tcPr>
                  <w:tcW w:w="18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330.60</w:t>
                  </w:r>
                </w:p>
              </w:tc>
              <w:tc>
                <w:tcPr>
                  <w:tcW w:w="396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w:t>
                  </w:r>
                </w:p>
              </w:tc>
              <w:tc>
                <w:tcPr>
                  <w:tcW w:w="4472"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城乡社区管理事务</w:t>
                  </w:r>
                </w:p>
              </w:tc>
              <w:tc>
                <w:tcPr>
                  <w:tcW w:w="2213"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330.60</w:t>
                  </w:r>
                </w:p>
              </w:tc>
              <w:tc>
                <w:tcPr>
                  <w:tcW w:w="18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330.60</w:t>
                  </w:r>
                </w:p>
              </w:tc>
              <w:tc>
                <w:tcPr>
                  <w:tcW w:w="396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2120101</w:t>
                  </w:r>
                </w:p>
              </w:tc>
              <w:tc>
                <w:tcPr>
                  <w:tcW w:w="4472"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213"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28.88</w:t>
                  </w:r>
                </w:p>
              </w:tc>
              <w:tc>
                <w:tcPr>
                  <w:tcW w:w="18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28.88</w:t>
                  </w:r>
                </w:p>
              </w:tc>
              <w:tc>
                <w:tcPr>
                  <w:tcW w:w="396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2120199</w:t>
                  </w:r>
                </w:p>
              </w:tc>
              <w:tc>
                <w:tcPr>
                  <w:tcW w:w="4472"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其他城乡社区管理事务支出</w:t>
                  </w:r>
                </w:p>
              </w:tc>
              <w:tc>
                <w:tcPr>
                  <w:tcW w:w="2213"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301.72</w:t>
                  </w:r>
                </w:p>
              </w:tc>
              <w:tc>
                <w:tcPr>
                  <w:tcW w:w="18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301.72</w:t>
                  </w:r>
                </w:p>
              </w:tc>
              <w:tc>
                <w:tcPr>
                  <w:tcW w:w="396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308" w:hRule="atLeast"/>
              </w:trPr>
              <w:tc>
                <w:tcPr>
                  <w:tcW w:w="13765" w:type="dxa"/>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注：本表反映部门本年度一般公共预算财政拨款支出情况。本套报表金额单位转换时可能存在尾数误差。</w:t>
                  </w:r>
                </w:p>
              </w:tc>
            </w:tr>
          </w:tbl>
          <w:p>
            <w:pPr>
              <w:keepNext w:val="0"/>
              <w:keepLines w:val="0"/>
              <w:widowControl/>
              <w:suppressLineNumbers w:val="0"/>
              <w:jc w:val="center"/>
              <w:textAlignment w:val="bottom"/>
              <w:rPr>
                <w:rFonts w:hint="eastAsia" w:ascii="宋体" w:hAnsi="宋体" w:eastAsia="宋体" w:cs="宋体"/>
                <w:i w:val="0"/>
                <w:iCs w:val="0"/>
                <w:color w:val="000000"/>
                <w:kern w:val="0"/>
                <w:sz w:val="30"/>
                <w:szCs w:val="30"/>
                <w:u w:val="none"/>
                <w:lang w:val="en-US" w:eastAsia="zh-CN" w:bidi="ar"/>
              </w:rPr>
            </w:pPr>
          </w:p>
          <w:p>
            <w:pPr>
              <w:keepNext w:val="0"/>
              <w:keepLines w:val="0"/>
              <w:widowControl/>
              <w:suppressLineNumbers w:val="0"/>
              <w:jc w:val="center"/>
              <w:textAlignment w:val="bottom"/>
              <w:rPr>
                <w:rFonts w:hint="eastAsia" w:ascii="宋体" w:hAnsi="宋体" w:eastAsia="宋体" w:cs="宋体"/>
                <w:i w:val="0"/>
                <w:iCs w:val="0"/>
                <w:color w:val="000000"/>
                <w:kern w:val="0"/>
                <w:sz w:val="30"/>
                <w:szCs w:val="30"/>
                <w:u w:val="none"/>
                <w:lang w:val="en-US" w:eastAsia="zh-CN" w:bidi="ar"/>
              </w:rPr>
            </w:pPr>
          </w:p>
          <w:p>
            <w:pPr>
              <w:keepNext w:val="0"/>
              <w:keepLines w:val="0"/>
              <w:widowControl/>
              <w:suppressLineNumbers w:val="0"/>
              <w:jc w:val="center"/>
              <w:textAlignment w:val="bottom"/>
              <w:rPr>
                <w:rFonts w:hint="eastAsia" w:ascii="宋体" w:hAnsi="宋体" w:eastAsia="宋体" w:cs="宋体"/>
                <w:i w:val="0"/>
                <w:iCs w:val="0"/>
                <w:color w:val="000000"/>
                <w:kern w:val="0"/>
                <w:sz w:val="30"/>
                <w:szCs w:val="30"/>
                <w:u w:val="none"/>
                <w:lang w:val="en-US" w:eastAsia="zh-CN" w:bidi="ar"/>
              </w:rPr>
            </w:pPr>
          </w:p>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w:t>
            </w:r>
            <w:r>
              <w:rPr>
                <w:rFonts w:hint="eastAsia" w:ascii="宋体" w:hAnsi="宋体" w:cs="宋体"/>
                <w:i w:val="0"/>
                <w:iCs w:val="0"/>
                <w:color w:val="000000"/>
                <w:kern w:val="0"/>
                <w:sz w:val="30"/>
                <w:szCs w:val="30"/>
                <w:u w:val="none"/>
                <w:lang w:val="en-US" w:eastAsia="zh-CN" w:bidi="ar"/>
              </w:rPr>
              <w:t>明细</w:t>
            </w:r>
            <w:r>
              <w:rPr>
                <w:rFonts w:hint="eastAsia" w:ascii="宋体" w:hAnsi="宋体" w:eastAsia="宋体" w:cs="宋体"/>
                <w:i w:val="0"/>
                <w:iCs w:val="0"/>
                <w:color w:val="000000"/>
                <w:kern w:val="0"/>
                <w:sz w:val="30"/>
                <w:szCs w:val="30"/>
                <w:u w:val="none"/>
                <w:lang w:val="en-US" w:eastAsia="zh-CN" w:bidi="ar"/>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142"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272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6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5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73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8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33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248"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4826" w:type="dxa"/>
            <w:gridSpan w:val="3"/>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部门：许昌市土地收购储备中心</w:t>
            </w:r>
          </w:p>
        </w:tc>
        <w:tc>
          <w:tcPr>
            <w:tcW w:w="105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73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8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33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248"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26"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9252" w:type="dxa"/>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2"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72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96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105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173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88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133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29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95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2"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72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6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5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3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8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3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29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5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27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341.97</w:t>
            </w:r>
          </w:p>
        </w:tc>
        <w:tc>
          <w:tcPr>
            <w:tcW w:w="10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17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88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21.52</w:t>
            </w:r>
          </w:p>
        </w:tc>
        <w:tc>
          <w:tcPr>
            <w:tcW w:w="133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329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9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27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140.61</w:t>
            </w:r>
          </w:p>
        </w:tc>
        <w:tc>
          <w:tcPr>
            <w:tcW w:w="10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17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88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8.22</w:t>
            </w:r>
          </w:p>
        </w:tc>
        <w:tc>
          <w:tcPr>
            <w:tcW w:w="133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329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9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27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87.66</w:t>
            </w:r>
          </w:p>
        </w:tc>
        <w:tc>
          <w:tcPr>
            <w:tcW w:w="10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17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88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4.08</w:t>
            </w:r>
          </w:p>
        </w:tc>
        <w:tc>
          <w:tcPr>
            <w:tcW w:w="133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329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9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27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50.47</w:t>
            </w:r>
          </w:p>
        </w:tc>
        <w:tc>
          <w:tcPr>
            <w:tcW w:w="10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17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8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3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329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9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27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9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17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8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3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329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9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27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9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17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8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3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329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9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27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w:t>
            </w:r>
          </w:p>
        </w:tc>
        <w:tc>
          <w:tcPr>
            <w:tcW w:w="10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17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8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3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329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9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27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9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17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8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3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329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9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27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10.36</w:t>
            </w:r>
          </w:p>
        </w:tc>
        <w:tc>
          <w:tcPr>
            <w:tcW w:w="10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17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8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3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329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9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27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9.76</w:t>
            </w:r>
          </w:p>
        </w:tc>
        <w:tc>
          <w:tcPr>
            <w:tcW w:w="10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17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8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3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329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9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27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0.28</w:t>
            </w:r>
          </w:p>
        </w:tc>
        <w:tc>
          <w:tcPr>
            <w:tcW w:w="10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17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88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0.54</w:t>
            </w:r>
          </w:p>
        </w:tc>
        <w:tc>
          <w:tcPr>
            <w:tcW w:w="133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329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9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27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19.98</w:t>
            </w:r>
          </w:p>
        </w:tc>
        <w:tc>
          <w:tcPr>
            <w:tcW w:w="10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17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8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3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329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9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27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9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17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88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0.06</w:t>
            </w:r>
          </w:p>
        </w:tc>
        <w:tc>
          <w:tcPr>
            <w:tcW w:w="133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329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9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27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w:t>
            </w:r>
          </w:p>
        </w:tc>
        <w:tc>
          <w:tcPr>
            <w:tcW w:w="10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17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8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3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329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9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27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12.07</w:t>
            </w:r>
          </w:p>
        </w:tc>
        <w:tc>
          <w:tcPr>
            <w:tcW w:w="10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17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8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3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329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9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27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9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17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88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0.45</w:t>
            </w:r>
          </w:p>
        </w:tc>
        <w:tc>
          <w:tcPr>
            <w:tcW w:w="133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329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9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27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12.07</w:t>
            </w:r>
          </w:p>
        </w:tc>
        <w:tc>
          <w:tcPr>
            <w:tcW w:w="10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17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88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0.06</w:t>
            </w:r>
          </w:p>
        </w:tc>
        <w:tc>
          <w:tcPr>
            <w:tcW w:w="133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329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9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27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9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17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8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3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329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9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27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9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17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8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3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329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9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27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9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17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8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3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329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9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27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9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17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88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c>
          <w:tcPr>
            <w:tcW w:w="133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329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9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27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9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17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8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3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329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赠与</w:t>
            </w:r>
          </w:p>
        </w:tc>
        <w:tc>
          <w:tcPr>
            <w:tcW w:w="9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27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9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17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88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w:t>
            </w:r>
          </w:p>
        </w:tc>
        <w:tc>
          <w:tcPr>
            <w:tcW w:w="133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329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9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27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9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17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88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2.70</w:t>
            </w:r>
          </w:p>
        </w:tc>
        <w:tc>
          <w:tcPr>
            <w:tcW w:w="133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329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9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27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9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17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88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w:t>
            </w:r>
          </w:p>
        </w:tc>
        <w:tc>
          <w:tcPr>
            <w:tcW w:w="133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329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9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27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9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17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8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37"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294"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27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9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17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8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37"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294"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2724"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17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8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37"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294"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6"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354.04</w:t>
            </w:r>
          </w:p>
        </w:tc>
        <w:tc>
          <w:tcPr>
            <w:tcW w:w="8298" w:type="dxa"/>
            <w:gridSpan w:val="5"/>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95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78" w:type="dxa"/>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13974"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48"/>
        <w:gridCol w:w="888"/>
        <w:gridCol w:w="924"/>
        <w:gridCol w:w="1134"/>
        <w:gridCol w:w="1080"/>
        <w:gridCol w:w="1260"/>
        <w:gridCol w:w="930"/>
        <w:gridCol w:w="1035"/>
        <w:gridCol w:w="960"/>
        <w:gridCol w:w="1425"/>
        <w:gridCol w:w="1860"/>
        <w:gridCol w:w="1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13974" w:type="dxa"/>
            <w:gridSpan w:val="12"/>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948"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88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2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3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8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6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3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3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6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815" w:type="dxa"/>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3894" w:type="dxa"/>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部门：许昌市土地收购储备中心</w:t>
            </w:r>
          </w:p>
        </w:tc>
        <w:tc>
          <w:tcPr>
            <w:tcW w:w="108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6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3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3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6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815" w:type="dxa"/>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234"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7740"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8"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88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138"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26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93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03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4245"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53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948"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8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2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13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08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26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3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3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6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4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86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53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8"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8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2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3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8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6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93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03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96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4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86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53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2.72</w:t>
            </w:r>
          </w:p>
        </w:tc>
        <w:tc>
          <w:tcPr>
            <w:tcW w:w="88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2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3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0.72</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1.98</w:t>
            </w:r>
          </w:p>
        </w:tc>
        <w:tc>
          <w:tcPr>
            <w:tcW w:w="10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w:t>
            </w:r>
          </w:p>
        </w:tc>
        <w:tc>
          <w:tcPr>
            <w:tcW w:w="14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w:t>
            </w:r>
          </w:p>
        </w:tc>
        <w:tc>
          <w:tcPr>
            <w:tcW w:w="15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3974" w:type="dxa"/>
            <w:gridSpan w:val="1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94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8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2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3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8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6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3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3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6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42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86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53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94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8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2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3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8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6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3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3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6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42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86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53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14018" w:type="dxa"/>
        <w:tblInd w:w="0" w:type="dxa"/>
        <w:tblLayout w:type="fixed"/>
        <w:tblCellMar>
          <w:top w:w="0" w:type="dxa"/>
          <w:left w:w="0" w:type="dxa"/>
          <w:bottom w:w="0" w:type="dxa"/>
          <w:right w:w="0" w:type="dxa"/>
        </w:tblCellMar>
      </w:tblPr>
      <w:tblGrid>
        <w:gridCol w:w="612"/>
        <w:gridCol w:w="516"/>
        <w:gridCol w:w="20"/>
        <w:gridCol w:w="30"/>
        <w:gridCol w:w="1246"/>
        <w:gridCol w:w="30"/>
        <w:gridCol w:w="1896"/>
        <w:gridCol w:w="30"/>
        <w:gridCol w:w="1896"/>
        <w:gridCol w:w="30"/>
        <w:gridCol w:w="1896"/>
        <w:gridCol w:w="30"/>
        <w:gridCol w:w="1897"/>
        <w:gridCol w:w="30"/>
        <w:gridCol w:w="1896"/>
        <w:gridCol w:w="30"/>
        <w:gridCol w:w="1903"/>
        <w:gridCol w:w="30"/>
      </w:tblGrid>
      <w:tr>
        <w:tblPrEx>
          <w:tblCellMar>
            <w:top w:w="0" w:type="dxa"/>
            <w:left w:w="0" w:type="dxa"/>
            <w:bottom w:w="0" w:type="dxa"/>
            <w:right w:w="0" w:type="dxa"/>
          </w:tblCellMar>
        </w:tblPrEx>
        <w:trPr>
          <w:gridAfter w:val="1"/>
          <w:wAfter w:w="30" w:type="dxa"/>
          <w:trHeight w:val="600" w:hRule="atLeast"/>
        </w:trPr>
        <w:tc>
          <w:tcPr>
            <w:tcW w:w="13988" w:type="dxa"/>
            <w:gridSpan w:val="17"/>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lang w:bidi="ar"/>
              </w:rPr>
              <w:t>政府性基金预算财政拨款收入支出决算表</w:t>
            </w:r>
          </w:p>
        </w:tc>
      </w:tr>
      <w:tr>
        <w:tblPrEx>
          <w:tblCellMar>
            <w:top w:w="0" w:type="dxa"/>
            <w:left w:w="0" w:type="dxa"/>
            <w:bottom w:w="0" w:type="dxa"/>
            <w:right w:w="0" w:type="dxa"/>
          </w:tblCellMar>
        </w:tblPrEx>
        <w:trPr>
          <w:gridAfter w:val="1"/>
          <w:wAfter w:w="30" w:type="dxa"/>
          <w:trHeight w:val="222" w:hRule="atLeast"/>
        </w:trPr>
        <w:tc>
          <w:tcPr>
            <w:tcW w:w="612"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536" w:type="dxa"/>
            <w:gridSpan w:val="2"/>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gridSpan w:val="2"/>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公开08表</w:t>
            </w:r>
          </w:p>
        </w:tc>
      </w:tr>
      <w:tr>
        <w:tblPrEx>
          <w:tblCellMar>
            <w:top w:w="0" w:type="dxa"/>
            <w:left w:w="0" w:type="dxa"/>
            <w:bottom w:w="0" w:type="dxa"/>
            <w:right w:w="0" w:type="dxa"/>
          </w:tblCellMar>
        </w:tblPrEx>
        <w:trPr>
          <w:trHeight w:val="300" w:hRule="atLeast"/>
        </w:trPr>
        <w:tc>
          <w:tcPr>
            <w:tcW w:w="1128"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部门：</w:t>
            </w:r>
          </w:p>
        </w:tc>
        <w:tc>
          <w:tcPr>
            <w:tcW w:w="50"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27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单位：万元</w:t>
            </w:r>
          </w:p>
        </w:tc>
      </w:tr>
      <w:tr>
        <w:tblPrEx>
          <w:tblCellMar>
            <w:top w:w="0" w:type="dxa"/>
            <w:left w:w="0" w:type="dxa"/>
            <w:bottom w:w="0" w:type="dxa"/>
            <w:right w:w="0" w:type="dxa"/>
          </w:tblCellMar>
        </w:tblPrEx>
        <w:trPr>
          <w:gridAfter w:val="1"/>
          <w:wAfter w:w="30" w:type="dxa"/>
          <w:trHeight w:val="405" w:hRule="atLeast"/>
        </w:trPr>
        <w:tc>
          <w:tcPr>
            <w:tcW w:w="2424" w:type="dxa"/>
            <w:gridSpan w:val="5"/>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    目</w:t>
            </w:r>
          </w:p>
        </w:tc>
        <w:tc>
          <w:tcPr>
            <w:tcW w:w="1926" w:type="dxa"/>
            <w:gridSpan w:val="2"/>
            <w:vMerge w:val="restart"/>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bidi="ar"/>
              </w:rPr>
              <w:t>年初</w:t>
            </w:r>
            <w:r>
              <w:rPr>
                <w:rFonts w:hint="eastAsia" w:ascii="宋体" w:hAnsi="宋体" w:cs="宋体"/>
                <w:color w:val="000000"/>
                <w:kern w:val="0"/>
                <w:sz w:val="20"/>
                <w:szCs w:val="20"/>
                <w:highlight w:val="none"/>
                <w:lang w:bidi="ar"/>
              </w:rPr>
              <w:t>结转和结余</w:t>
            </w:r>
          </w:p>
        </w:tc>
        <w:tc>
          <w:tcPr>
            <w:tcW w:w="1926" w:type="dxa"/>
            <w:gridSpan w:val="2"/>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本年收入</w:t>
            </w:r>
          </w:p>
        </w:tc>
        <w:tc>
          <w:tcPr>
            <w:tcW w:w="5779" w:type="dxa"/>
            <w:gridSpan w:val="6"/>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本年支出</w:t>
            </w:r>
          </w:p>
        </w:tc>
        <w:tc>
          <w:tcPr>
            <w:tcW w:w="1933" w:type="dxa"/>
            <w:gridSpan w:val="2"/>
            <w:vMerge w:val="restart"/>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年末结转和结余</w:t>
            </w:r>
          </w:p>
        </w:tc>
      </w:tr>
      <w:tr>
        <w:tblPrEx>
          <w:tblCellMar>
            <w:top w:w="0" w:type="dxa"/>
            <w:left w:w="0" w:type="dxa"/>
            <w:bottom w:w="0" w:type="dxa"/>
            <w:right w:w="0" w:type="dxa"/>
          </w:tblCellMar>
        </w:tblPrEx>
        <w:trPr>
          <w:gridAfter w:val="1"/>
          <w:wAfter w:w="30" w:type="dxa"/>
          <w:trHeight w:val="540" w:hRule="atLeast"/>
        </w:trPr>
        <w:tc>
          <w:tcPr>
            <w:tcW w:w="1148" w:type="dxa"/>
            <w:gridSpan w:val="3"/>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功能分类</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科目编码</w:t>
            </w:r>
          </w:p>
        </w:tc>
        <w:tc>
          <w:tcPr>
            <w:tcW w:w="1276"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科目名称</w:t>
            </w:r>
          </w:p>
        </w:tc>
        <w:tc>
          <w:tcPr>
            <w:tcW w:w="1926" w:type="dxa"/>
            <w:gridSpan w:val="2"/>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小计</w:t>
            </w:r>
          </w:p>
        </w:tc>
        <w:tc>
          <w:tcPr>
            <w:tcW w:w="1927"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基本支出</w:t>
            </w:r>
          </w:p>
        </w:tc>
        <w:tc>
          <w:tcPr>
            <w:tcW w:w="1926" w:type="dxa"/>
            <w:gridSpan w:val="2"/>
            <w:vMerge w:val="restart"/>
            <w:tcBorders>
              <w:top w:val="nil"/>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项目支出</w:t>
            </w: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360" w:hRule="atLeast"/>
        </w:trPr>
        <w:tc>
          <w:tcPr>
            <w:tcW w:w="1148" w:type="dxa"/>
            <w:gridSpan w:val="3"/>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7"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3"/>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7"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2424" w:type="dxa"/>
            <w:gridSpan w:val="5"/>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栏次</w:t>
            </w: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w:t>
            </w: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w:t>
            </w: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w:t>
            </w: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4</w:t>
            </w: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5</w:t>
            </w: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6</w:t>
            </w:r>
          </w:p>
        </w:tc>
      </w:tr>
      <w:tr>
        <w:tblPrEx>
          <w:tblCellMar>
            <w:top w:w="0" w:type="dxa"/>
            <w:left w:w="0" w:type="dxa"/>
            <w:bottom w:w="0" w:type="dxa"/>
            <w:right w:w="0" w:type="dxa"/>
          </w:tblCellMar>
        </w:tblPrEx>
        <w:trPr>
          <w:gridAfter w:val="1"/>
          <w:wAfter w:w="30" w:type="dxa"/>
          <w:trHeight w:val="450" w:hRule="atLeast"/>
        </w:trPr>
        <w:tc>
          <w:tcPr>
            <w:tcW w:w="2424" w:type="dxa"/>
            <w:gridSpan w:val="5"/>
            <w:tcBorders>
              <w:top w:val="nil"/>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合计</w:t>
            </w: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645" w:hRule="atLeast"/>
        </w:trPr>
        <w:tc>
          <w:tcPr>
            <w:tcW w:w="13988" w:type="dxa"/>
            <w:gridSpan w:val="17"/>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注：本表反映部门本年度政府性基金预算财政拨款收入、支出及结转和结余情况。</w:t>
            </w:r>
          </w:p>
          <w:p>
            <w:pPr>
              <w:widowControl/>
              <w:jc w:val="left"/>
              <w:textAlignment w:val="center"/>
              <w:rPr>
                <w:rFonts w:hint="eastAsia" w:ascii="宋体" w:hAnsi="宋体" w:cs="宋体"/>
                <w:color w:val="000000"/>
                <w:sz w:val="32"/>
                <w:szCs w:val="32"/>
                <w:highlight w:val="none"/>
              </w:rPr>
            </w:pPr>
          </w:p>
          <w:p>
            <w:pPr>
              <w:widowControl/>
              <w:jc w:val="left"/>
              <w:textAlignment w:val="center"/>
              <w:rPr>
                <w:rFonts w:ascii="宋体" w:hAnsi="宋体" w:cs="宋体"/>
                <w:color w:val="000000"/>
                <w:sz w:val="32"/>
                <w:szCs w:val="32"/>
                <w:highlight w:val="none"/>
              </w:rPr>
            </w:pPr>
            <w:r>
              <w:rPr>
                <w:rFonts w:hint="eastAsia" w:ascii="宋体" w:hAnsi="宋体" w:cs="宋体"/>
                <w:color w:val="000000"/>
                <w:sz w:val="32"/>
                <w:szCs w:val="32"/>
                <w:highlight w:val="none"/>
              </w:rPr>
              <w:t>说明：我部门没有政府性基金收入，也没有使用政府性基金安排的支出，故本表无数据。</w:t>
            </w:r>
          </w:p>
          <w:p>
            <w:pPr>
              <w:widowControl/>
              <w:jc w:val="left"/>
              <w:textAlignment w:val="center"/>
              <w:rPr>
                <w:rFonts w:ascii="宋体" w:hAnsi="宋体" w:cs="宋体"/>
                <w:color w:val="000000"/>
                <w:sz w:val="20"/>
                <w:szCs w:val="20"/>
                <w:highlight w:val="none"/>
              </w:rPr>
            </w:pPr>
          </w:p>
          <w:p>
            <w:pPr>
              <w:widowControl/>
              <w:jc w:val="center"/>
              <w:textAlignment w:val="center"/>
              <w:rPr>
                <w:rFonts w:hint="eastAsia" w:ascii="宋体" w:hAnsi="宋体" w:cs="宋体"/>
                <w:color w:val="000000"/>
                <w:sz w:val="20"/>
                <w:szCs w:val="20"/>
                <w:highlight w:val="none"/>
              </w:rPr>
            </w:pPr>
          </w:p>
        </w:tc>
      </w:tr>
    </w:tbl>
    <w:p>
      <w:pPr>
        <w:widowControl/>
        <w:spacing w:line="590" w:lineRule="exact"/>
        <w:jc w:val="left"/>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2021年度部门决算情况说明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w:t>
      </w:r>
      <w:r>
        <w:rPr>
          <w:rFonts w:hint="eastAsia" w:ascii="仿宋_GB2312" w:hAnsi="仿宋_GB2312" w:eastAsia="仿宋_GB2312" w:cs="仿宋_GB2312"/>
          <w:sz w:val="32"/>
          <w:szCs w:val="32"/>
          <w:highlight w:val="none"/>
          <w:lang w:val="en-US" w:eastAsia="zh-CN"/>
        </w:rPr>
        <w:t>375.56</w:t>
      </w:r>
      <w:r>
        <w:rPr>
          <w:rFonts w:hint="eastAsia" w:ascii="仿宋_GB2312" w:hAnsi="仿宋_GB2312" w:eastAsia="仿宋_GB2312" w:cs="仿宋_GB2312"/>
          <w:sz w:val="32"/>
          <w:szCs w:val="32"/>
          <w:highlight w:val="none"/>
        </w:rPr>
        <w:t>万元。与上年度相比，收、支总计各减少</w:t>
      </w:r>
      <w:r>
        <w:rPr>
          <w:rFonts w:hint="eastAsia" w:ascii="仿宋_GB2312" w:hAnsi="仿宋_GB2312" w:eastAsia="仿宋_GB2312" w:cs="仿宋_GB2312"/>
          <w:sz w:val="32"/>
          <w:szCs w:val="32"/>
          <w:highlight w:val="none"/>
          <w:lang w:val="en-US" w:eastAsia="zh-CN"/>
        </w:rPr>
        <w:t>29.79</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7.35</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节约开支</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cs="仿宋_GB2312"/>
          <w:sz w:val="32"/>
          <w:szCs w:val="32"/>
          <w:highlight w:val="none"/>
          <w:lang w:val="en-US" w:eastAsia="zh-CN"/>
        </w:rPr>
        <w:t>333.84</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cs="仿宋_GB2312"/>
          <w:sz w:val="32"/>
          <w:szCs w:val="32"/>
          <w:highlight w:val="none"/>
          <w:lang w:val="en-US" w:eastAsia="zh-CN"/>
        </w:rPr>
        <w:t>333.84</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%；事业收入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%；经营收入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%；附属单位上缴收入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%；其他收入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w:t>
      </w:r>
      <w:r>
        <w:rPr>
          <w:rFonts w:hint="eastAsia" w:ascii="仿宋_GB2312" w:hAnsi="仿宋_GB2312" w:eastAsia="仿宋_GB2312" w:cs="仿宋_GB2312"/>
          <w:sz w:val="32"/>
          <w:szCs w:val="32"/>
          <w:highlight w:val="none"/>
          <w:lang w:val="en-US" w:eastAsia="zh-CN"/>
        </w:rPr>
        <w:t>375.56</w:t>
      </w:r>
      <w:r>
        <w:rPr>
          <w:rFonts w:hint="eastAsia" w:ascii="仿宋_GB2312" w:hAnsi="仿宋_GB2312" w:eastAsia="仿宋_GB2312" w:cs="仿宋_GB2312"/>
          <w:sz w:val="32"/>
          <w:szCs w:val="32"/>
          <w:highlight w:val="none"/>
        </w:rPr>
        <w:t>万元，其中：基本支出</w:t>
      </w:r>
      <w:r>
        <w:rPr>
          <w:rFonts w:hint="eastAsia" w:ascii="仿宋_GB2312" w:hAnsi="仿宋_GB2312" w:eastAsia="仿宋_GB2312" w:cs="仿宋_GB2312"/>
          <w:sz w:val="32"/>
          <w:szCs w:val="32"/>
          <w:highlight w:val="none"/>
          <w:lang w:val="en-US" w:eastAsia="zh-CN"/>
        </w:rPr>
        <w:t>375.56</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%；项目支出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%；上缴上级支出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%；经营支出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%；对附属单位补助支出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w:t>
      </w:r>
      <w:r>
        <w:rPr>
          <w:rFonts w:hint="eastAsia" w:ascii="仿宋_GB2312" w:hAnsi="仿宋_GB2312" w:eastAsia="仿宋_GB2312" w:cs="仿宋_GB2312"/>
          <w:sz w:val="32"/>
          <w:szCs w:val="32"/>
          <w:highlight w:val="none"/>
          <w:lang w:val="en-US" w:eastAsia="zh-CN"/>
        </w:rPr>
        <w:t>375.56</w:t>
      </w:r>
      <w:r>
        <w:rPr>
          <w:rFonts w:hint="eastAsia" w:ascii="仿宋_GB2312" w:hAnsi="仿宋_GB2312" w:eastAsia="仿宋_GB2312" w:cs="仿宋_GB2312"/>
          <w:sz w:val="32"/>
          <w:szCs w:val="32"/>
          <w:highlight w:val="none"/>
        </w:rPr>
        <w:t>万元。与上年度相比，财政拨款收、支总计各减少</w:t>
      </w:r>
      <w:r>
        <w:rPr>
          <w:rFonts w:hint="eastAsia" w:ascii="仿宋_GB2312" w:hAnsi="仿宋_GB2312" w:eastAsia="仿宋_GB2312" w:cs="仿宋_GB2312"/>
          <w:sz w:val="32"/>
          <w:szCs w:val="32"/>
          <w:highlight w:val="none"/>
          <w:lang w:val="en-US" w:eastAsia="zh-CN"/>
        </w:rPr>
        <w:t>29.79</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7.35</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eastAsia="zh-CN"/>
        </w:rPr>
        <w:t>节约开支</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375.56</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cs="仿宋_GB2312"/>
          <w:sz w:val="32"/>
          <w:szCs w:val="32"/>
          <w:highlight w:val="none"/>
          <w:lang w:val="en-US" w:eastAsia="zh-CN"/>
        </w:rPr>
        <w:t>111.20</w:t>
      </w:r>
      <w:r>
        <w:rPr>
          <w:rFonts w:hint="eastAsia" w:ascii="仿宋_GB2312" w:hAnsi="仿宋_GB2312" w:eastAsia="仿宋_GB2312" w:cs="仿宋_GB2312"/>
          <w:sz w:val="32"/>
          <w:szCs w:val="32"/>
          <w:highlight w:val="none"/>
        </w:rPr>
        <w:t>%。与上年度相比，一般公共预算财政拨款支出增加</w:t>
      </w:r>
      <w:r>
        <w:rPr>
          <w:rFonts w:hint="eastAsia" w:ascii="仿宋_GB2312" w:hAnsi="仿宋_GB2312" w:eastAsia="仿宋_GB2312" w:cs="仿宋_GB2312"/>
          <w:sz w:val="32"/>
          <w:szCs w:val="32"/>
          <w:highlight w:val="none"/>
          <w:lang w:val="en-US" w:eastAsia="zh-CN"/>
        </w:rPr>
        <w:t>11.70</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3.22</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eastAsia="zh-CN"/>
        </w:rPr>
        <w:t>人员增加</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375.56</w:t>
      </w:r>
      <w:r>
        <w:rPr>
          <w:rFonts w:hint="eastAsia" w:ascii="仿宋_GB2312" w:hAnsi="仿宋_GB2312" w:eastAsia="仿宋_GB2312" w:cs="仿宋_GB2312"/>
          <w:sz w:val="32"/>
          <w:szCs w:val="32"/>
          <w:highlight w:val="none"/>
        </w:rPr>
        <w:t>万元，主要用于以下方面：一般公共服务（类）支出</w:t>
      </w:r>
      <w:r>
        <w:rPr>
          <w:rFonts w:hint="eastAsia" w:ascii="仿宋_GB2312" w:hAnsi="仿宋_GB2312" w:eastAsia="仿宋_GB2312" w:cs="仿宋_GB2312"/>
          <w:sz w:val="32"/>
          <w:szCs w:val="32"/>
          <w:highlight w:val="none"/>
          <w:lang w:val="en-US" w:eastAsia="zh-CN"/>
        </w:rPr>
        <w:t>1.68</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0.45</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社会保障和就业（类）支出26.07万元，占6.94%；卫生健康（类）支出17.20万元，占4.58%；城乡社区（类）支出330.60万元，占88.03%。</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333.84</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375.56</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default" w:ascii="仿宋_GB2312" w:hAnsi="仿宋_GB2312" w:eastAsia="仿宋_GB2312" w:cs="仿宋_GB2312"/>
          <w:sz w:val="32"/>
          <w:szCs w:val="32"/>
          <w:highlight w:val="none"/>
          <w:lang w:val="en"/>
        </w:rPr>
        <w:t>112.50</w:t>
      </w:r>
      <w:r>
        <w:rPr>
          <w:rFonts w:hint="eastAsia" w:ascii="仿宋_GB2312" w:hAnsi="仿宋_GB2312" w:eastAsia="仿宋_GB2312" w:cs="仿宋_GB2312"/>
          <w:sz w:val="32"/>
          <w:szCs w:val="32"/>
          <w:highlight w:val="none"/>
        </w:rPr>
        <w:t>%。其中：</w:t>
      </w:r>
    </w:p>
    <w:p>
      <w:pPr>
        <w:keepNext w:val="0"/>
        <w:keepLines w:val="0"/>
        <w:pageBreakBefore w:val="0"/>
        <w:widowControl/>
        <w:kinsoku/>
        <w:wordWrap/>
        <w:overflowPunct/>
        <w:topLinePunct w:val="0"/>
        <w:autoSpaceDE/>
        <w:autoSpaceDN/>
        <w:bidi w:val="0"/>
        <w:adjustRightInd/>
        <w:snapToGrid/>
        <w:spacing w:line="590" w:lineRule="exact"/>
        <w:ind w:left="0"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b/>
          <w:bCs/>
          <w:color w:val="auto"/>
          <w:sz w:val="32"/>
          <w:szCs w:val="32"/>
          <w:highlight w:val="none"/>
          <w:lang w:val="en-US" w:eastAsia="zh-CN"/>
        </w:rPr>
        <w:t>一般公共服务支出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color w:val="auto"/>
          <w:sz w:val="32"/>
          <w:szCs w:val="32"/>
          <w:highlight w:val="none"/>
          <w:lang w:val="en-US" w:eastAsia="zh-CN"/>
        </w:rPr>
        <w:t>群众团体事务</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color w:val="auto"/>
          <w:sz w:val="32"/>
          <w:szCs w:val="32"/>
          <w:highlight w:val="none"/>
          <w:lang w:val="en-US" w:eastAsia="zh-CN"/>
        </w:rPr>
        <w:t>工会事务</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1.68</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1.68</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决算数与年初预算数不存在差异。</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left="0" w:leftChars="0"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color w:val="auto"/>
          <w:sz w:val="32"/>
          <w:szCs w:val="32"/>
          <w:highlight w:val="none"/>
          <w:lang w:val="en-US" w:eastAsia="zh-CN"/>
        </w:rPr>
        <w:t>2.社会保障和就业支出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color w:val="auto"/>
          <w:sz w:val="32"/>
          <w:szCs w:val="32"/>
          <w:highlight w:val="none"/>
          <w:lang w:val="en-US" w:eastAsia="zh-CN"/>
        </w:rPr>
        <w:t>行政事业单位养老支出</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color w:val="auto"/>
          <w:sz w:val="32"/>
          <w:szCs w:val="32"/>
          <w:highlight w:val="none"/>
          <w:lang w:val="en-US" w:eastAsia="zh-CN"/>
        </w:rPr>
        <w:t>事业单位离退休</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11.25</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12.07</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107.28</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决算数与年初预算数存在差异</w:t>
      </w:r>
      <w:r>
        <w:rPr>
          <w:rFonts w:hint="eastAsia" w:ascii="仿宋_GB2312" w:hAnsi="仿宋_GB2312" w:eastAsia="仿宋_GB2312" w:cs="仿宋_GB2312"/>
          <w:sz w:val="32"/>
          <w:szCs w:val="32"/>
          <w:lang w:eastAsia="zh-CN"/>
        </w:rPr>
        <w:t>是养老比例增加</w:t>
      </w:r>
      <w:r>
        <w:rPr>
          <w:rFonts w:hint="eastAsia" w:ascii="仿宋_GB2312" w:hAnsi="仿宋_GB2312" w:eastAsia="仿宋_GB2312" w:cs="仿宋_GB2312"/>
          <w:sz w:val="32"/>
          <w:szCs w:val="32"/>
        </w:rPr>
        <w:t>。</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left="0" w:leftChars="0"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color w:val="auto"/>
          <w:sz w:val="32"/>
          <w:szCs w:val="32"/>
          <w:highlight w:val="none"/>
          <w:lang w:val="en-US" w:eastAsia="zh-CN"/>
        </w:rPr>
        <w:t>3.社会保障和就业支出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color w:val="auto"/>
          <w:sz w:val="32"/>
          <w:szCs w:val="32"/>
          <w:highlight w:val="none"/>
          <w:lang w:val="en-US" w:eastAsia="zh-CN"/>
        </w:rPr>
        <w:t>行政事业单位养老支出</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eastAsia="zh-CN"/>
        </w:rPr>
        <w:t>机关事业单位基本养老保险缴费支出</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14</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14</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决算数与年初预算数不存在差异。</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4.</w:t>
      </w:r>
      <w:r>
        <w:rPr>
          <w:rFonts w:hint="eastAsia" w:ascii="仿宋_GB2312" w:hAnsi="仿宋_GB2312" w:eastAsia="仿宋_GB2312" w:cs="仿宋_GB2312"/>
          <w:b/>
          <w:bCs/>
          <w:sz w:val="32"/>
          <w:szCs w:val="32"/>
          <w:highlight w:val="none"/>
          <w:lang w:eastAsia="zh-CN"/>
        </w:rPr>
        <w:t>卫生健康支出</w:t>
      </w:r>
      <w:r>
        <w:rPr>
          <w:rFonts w:hint="eastAsia" w:ascii="仿宋_GB2312" w:hAnsi="仿宋_GB2312" w:eastAsia="仿宋_GB2312" w:cs="仿宋_GB2312"/>
          <w:b/>
          <w:bCs/>
          <w:color w:val="auto"/>
          <w:sz w:val="32"/>
          <w:szCs w:val="32"/>
          <w:highlight w:val="none"/>
          <w:lang w:val="en-US" w:eastAsia="zh-CN"/>
        </w:rPr>
        <w:t>（类）行政事业单位医疗（款）事业单位医疗（项）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9.97万元，</w:t>
      </w:r>
      <w:r>
        <w:rPr>
          <w:rFonts w:hint="eastAsia" w:ascii="仿宋_GB2312" w:hAnsi="仿宋_GB2312" w:eastAsia="仿宋_GB2312" w:cs="仿宋_GB2312"/>
          <w:sz w:val="32"/>
          <w:szCs w:val="32"/>
          <w:highlight w:val="none"/>
        </w:rPr>
        <w:t>支出决算为</w:t>
      </w:r>
      <w:r>
        <w:rPr>
          <w:rFonts w:hint="eastAsia" w:ascii="仿宋_GB2312" w:hAnsi="仿宋_GB2312" w:eastAsia="仿宋_GB2312" w:cs="仿宋_GB2312"/>
          <w:sz w:val="32"/>
          <w:szCs w:val="32"/>
          <w:highlight w:val="none"/>
          <w:lang w:val="en-US" w:eastAsia="zh-CN"/>
        </w:rPr>
        <w:t>9.97万元，</w:t>
      </w:r>
      <w:r>
        <w:rPr>
          <w:rFonts w:hint="eastAsia" w:ascii="仿宋_GB2312" w:hAnsi="仿宋_GB2312" w:eastAsia="仿宋_GB2312" w:cs="仿宋_GB2312"/>
          <w:sz w:val="32"/>
          <w:szCs w:val="32"/>
          <w:highlight w:val="none"/>
        </w:rPr>
        <w:t>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决算数与年初预算数不存在差异。</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5.</w:t>
      </w:r>
      <w:r>
        <w:rPr>
          <w:rFonts w:hint="eastAsia" w:ascii="仿宋_GB2312" w:hAnsi="仿宋_GB2312" w:eastAsia="仿宋_GB2312" w:cs="仿宋_GB2312"/>
          <w:b/>
          <w:bCs/>
          <w:sz w:val="32"/>
          <w:szCs w:val="32"/>
          <w:highlight w:val="none"/>
          <w:lang w:eastAsia="zh-CN"/>
        </w:rPr>
        <w:t>卫生健康支出</w:t>
      </w:r>
      <w:r>
        <w:rPr>
          <w:rFonts w:hint="eastAsia" w:ascii="仿宋_GB2312" w:hAnsi="仿宋_GB2312" w:eastAsia="仿宋_GB2312" w:cs="仿宋_GB2312"/>
          <w:b/>
          <w:bCs/>
          <w:color w:val="auto"/>
          <w:sz w:val="32"/>
          <w:szCs w:val="32"/>
          <w:highlight w:val="none"/>
          <w:lang w:val="en-US" w:eastAsia="zh-CN"/>
        </w:rPr>
        <w:t>（类）行政事业单位医疗（款）</w:t>
      </w:r>
      <w:r>
        <w:rPr>
          <w:rFonts w:hint="eastAsia" w:ascii="仿宋_GB2312" w:hAnsi="仿宋_GB2312" w:eastAsia="仿宋_GB2312" w:cs="仿宋_GB2312"/>
          <w:b/>
          <w:bCs/>
          <w:sz w:val="32"/>
          <w:szCs w:val="32"/>
          <w:highlight w:val="none"/>
          <w:lang w:eastAsia="zh-CN"/>
        </w:rPr>
        <w:t>公务员医疗补助</w:t>
      </w:r>
      <w:r>
        <w:rPr>
          <w:rFonts w:hint="eastAsia" w:ascii="仿宋_GB2312" w:hAnsi="仿宋_GB2312" w:eastAsia="仿宋_GB2312" w:cs="仿宋_GB2312"/>
          <w:b/>
          <w:bCs/>
          <w:color w:val="auto"/>
          <w:sz w:val="32"/>
          <w:szCs w:val="32"/>
          <w:highlight w:val="none"/>
          <w:lang w:val="en-US" w:eastAsia="zh-CN"/>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7.24万元，</w:t>
      </w:r>
      <w:r>
        <w:rPr>
          <w:rFonts w:hint="eastAsia" w:ascii="仿宋_GB2312" w:hAnsi="仿宋_GB2312" w:eastAsia="仿宋_GB2312" w:cs="仿宋_GB2312"/>
          <w:sz w:val="32"/>
          <w:szCs w:val="32"/>
          <w:highlight w:val="none"/>
        </w:rPr>
        <w:t>支出决算为</w:t>
      </w:r>
      <w:r>
        <w:rPr>
          <w:rFonts w:hint="eastAsia" w:ascii="仿宋_GB2312" w:hAnsi="仿宋_GB2312" w:eastAsia="仿宋_GB2312" w:cs="仿宋_GB2312"/>
          <w:sz w:val="32"/>
          <w:szCs w:val="32"/>
          <w:highlight w:val="none"/>
          <w:lang w:val="en-US" w:eastAsia="zh-CN"/>
        </w:rPr>
        <w:t>7.24万元，</w:t>
      </w:r>
      <w:r>
        <w:rPr>
          <w:rFonts w:hint="eastAsia" w:ascii="仿宋_GB2312" w:hAnsi="仿宋_GB2312" w:eastAsia="仿宋_GB2312" w:cs="仿宋_GB2312"/>
          <w:sz w:val="32"/>
          <w:szCs w:val="32"/>
          <w:highlight w:val="none"/>
        </w:rPr>
        <w:t>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决算数与年初预算数不存在差异。</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left="0" w:leftChars="0"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6.城乡社区支出（类）城乡社区管理事务（款）行政运行（项）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28.88万元，</w:t>
      </w:r>
      <w:r>
        <w:rPr>
          <w:rFonts w:hint="eastAsia" w:ascii="仿宋_GB2312" w:hAnsi="仿宋_GB2312" w:eastAsia="仿宋_GB2312" w:cs="仿宋_GB2312"/>
          <w:sz w:val="32"/>
          <w:szCs w:val="32"/>
          <w:highlight w:val="none"/>
        </w:rPr>
        <w:t>支出决算为</w:t>
      </w:r>
      <w:r>
        <w:rPr>
          <w:rFonts w:hint="eastAsia" w:ascii="仿宋_GB2312" w:hAnsi="仿宋_GB2312" w:eastAsia="仿宋_GB2312" w:cs="仿宋_GB2312"/>
          <w:sz w:val="32"/>
          <w:szCs w:val="32"/>
          <w:highlight w:val="none"/>
          <w:lang w:val="en-US" w:eastAsia="zh-CN"/>
        </w:rPr>
        <w:t>28.88万元，</w:t>
      </w:r>
      <w:r>
        <w:rPr>
          <w:rFonts w:hint="eastAsia" w:ascii="仿宋_GB2312" w:hAnsi="仿宋_GB2312" w:eastAsia="仿宋_GB2312" w:cs="仿宋_GB2312"/>
          <w:sz w:val="32"/>
          <w:szCs w:val="32"/>
          <w:highlight w:val="none"/>
        </w:rPr>
        <w:t>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决算数与年初预算数不存在差异。</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left="0"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7.城乡社区支出（类）城乡社区管理事务（款）其他城乡社区管理事务支出（项）。</w:t>
      </w:r>
      <w:r>
        <w:rPr>
          <w:rFonts w:hint="eastAsia" w:ascii="仿宋_GB2312" w:hAnsi="仿宋_GB2312" w:eastAsia="仿宋_GB2312" w:cs="仿宋_GB2312"/>
          <w:color w:val="auto"/>
          <w:sz w:val="32"/>
          <w:szCs w:val="32"/>
          <w:highlight w:val="none"/>
          <w:lang w:val="en-US" w:eastAsia="zh-CN"/>
        </w:rPr>
        <w:t>年初预算为260.82万元，支出决算为301.72万元，完成年初预算的115.6%。</w:t>
      </w:r>
      <w:r>
        <w:rPr>
          <w:rFonts w:hint="eastAsia" w:ascii="仿宋_GB2312" w:hAnsi="仿宋_GB2312" w:eastAsia="仿宋_GB2312" w:cs="仿宋_GB2312"/>
          <w:sz w:val="32"/>
          <w:szCs w:val="32"/>
        </w:rPr>
        <w:t>决算数与年初预算数存在差异</w:t>
      </w:r>
      <w:r>
        <w:rPr>
          <w:rFonts w:hint="eastAsia" w:ascii="仿宋_GB2312" w:hAnsi="仿宋_GB2312" w:eastAsia="仿宋_GB2312" w:cs="仿宋_GB2312"/>
          <w:sz w:val="32"/>
          <w:szCs w:val="32"/>
          <w:lang w:eastAsia="zh-CN"/>
        </w:rPr>
        <w:t>是人员工资增加</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cs="仿宋_GB2312"/>
          <w:sz w:val="32"/>
          <w:szCs w:val="32"/>
          <w:highlight w:val="none"/>
          <w:lang w:val="en-US" w:eastAsia="zh-CN"/>
        </w:rPr>
        <w:t>375.56</w:t>
      </w:r>
      <w:r>
        <w:rPr>
          <w:rFonts w:hint="eastAsia" w:ascii="仿宋_GB2312" w:hAnsi="仿宋_GB2312" w:eastAsia="仿宋_GB2312" w:cs="仿宋_GB2312"/>
          <w:sz w:val="32"/>
          <w:szCs w:val="32"/>
          <w:highlight w:val="none"/>
        </w:rPr>
        <w:t>万元。其中：人员经费</w:t>
      </w:r>
      <w:r>
        <w:rPr>
          <w:rFonts w:hint="eastAsia" w:ascii="仿宋_GB2312" w:hAnsi="仿宋_GB2312" w:eastAsia="仿宋_GB2312" w:cs="仿宋_GB2312"/>
          <w:sz w:val="32"/>
          <w:szCs w:val="32"/>
          <w:highlight w:val="none"/>
          <w:lang w:val="en-US" w:eastAsia="zh-CN"/>
        </w:rPr>
        <w:t>354.04</w:t>
      </w:r>
      <w:r>
        <w:rPr>
          <w:rFonts w:hint="eastAsia" w:ascii="仿宋_GB2312" w:hAnsi="仿宋_GB2312" w:eastAsia="仿宋_GB2312" w:cs="仿宋_GB2312"/>
          <w:sz w:val="32"/>
          <w:szCs w:val="32"/>
          <w:highlight w:val="none"/>
        </w:rPr>
        <w:t>万元，主要包括：基本工资、津贴补贴、</w:t>
      </w:r>
      <w:r>
        <w:rPr>
          <w:rFonts w:hint="eastAsia" w:ascii="仿宋_GB2312" w:hAnsi="仿宋_GB2312" w:eastAsia="仿宋_GB2312" w:cs="仿宋_GB2312"/>
          <w:sz w:val="32"/>
          <w:szCs w:val="32"/>
          <w:highlight w:val="none"/>
          <w:lang w:val="en-US" w:eastAsia="zh-CN"/>
        </w:rPr>
        <w:t>奖金、</w:t>
      </w:r>
      <w:r>
        <w:rPr>
          <w:rFonts w:hint="eastAsia" w:ascii="仿宋_GB2312" w:hAnsi="仿宋_GB2312" w:eastAsia="仿宋_GB2312" w:cs="仿宋_GB2312"/>
          <w:sz w:val="32"/>
          <w:szCs w:val="32"/>
          <w:highlight w:val="none"/>
        </w:rPr>
        <w:t>机关事业单位基本养老保险缴费、</w:t>
      </w:r>
      <w:r>
        <w:rPr>
          <w:rFonts w:hint="eastAsia" w:ascii="仿宋_GB2312" w:hAnsi="仿宋_GB2312" w:eastAsia="仿宋_GB2312" w:cs="仿宋_GB2312"/>
          <w:sz w:val="32"/>
          <w:szCs w:val="32"/>
          <w:highlight w:val="none"/>
          <w:lang w:eastAsia="zh-CN"/>
        </w:rPr>
        <w:t>公务员医疗补助、职工基本医疗保险缴费、</w:t>
      </w:r>
      <w:r>
        <w:rPr>
          <w:rFonts w:hint="eastAsia" w:ascii="仿宋_GB2312" w:hAnsi="仿宋_GB2312" w:eastAsia="仿宋_GB2312" w:cs="仿宋_GB2312"/>
          <w:sz w:val="32"/>
          <w:szCs w:val="32"/>
          <w:highlight w:val="none"/>
        </w:rPr>
        <w:t>其他社会保障缴费、其他工资福利支出、</w:t>
      </w:r>
      <w:r>
        <w:rPr>
          <w:rFonts w:hint="eastAsia" w:ascii="仿宋_GB2312" w:hAnsi="仿宋_GB2312" w:eastAsia="仿宋_GB2312" w:cs="仿宋_GB2312"/>
          <w:sz w:val="32"/>
          <w:szCs w:val="32"/>
          <w:highlight w:val="none"/>
          <w:lang w:eastAsia="zh-CN"/>
        </w:rPr>
        <w:t>退</w:t>
      </w:r>
      <w:r>
        <w:rPr>
          <w:rFonts w:hint="eastAsia" w:ascii="仿宋_GB2312" w:hAnsi="仿宋_GB2312" w:eastAsia="仿宋_GB2312" w:cs="仿宋_GB2312"/>
          <w:sz w:val="32"/>
          <w:szCs w:val="32"/>
          <w:highlight w:val="none"/>
        </w:rPr>
        <w:t>休费、住房公积金；公用经费</w:t>
      </w:r>
      <w:r>
        <w:rPr>
          <w:rFonts w:hint="eastAsia" w:ascii="仿宋_GB2312" w:hAnsi="仿宋_GB2312" w:eastAsia="仿宋_GB2312" w:cs="仿宋_GB2312"/>
          <w:sz w:val="32"/>
          <w:szCs w:val="32"/>
          <w:highlight w:val="none"/>
          <w:lang w:val="en-US" w:eastAsia="zh-CN"/>
        </w:rPr>
        <w:t>21.52</w:t>
      </w:r>
      <w:r>
        <w:rPr>
          <w:rFonts w:hint="eastAsia" w:ascii="仿宋_GB2312" w:hAnsi="仿宋_GB2312" w:eastAsia="仿宋_GB2312" w:cs="仿宋_GB2312"/>
          <w:sz w:val="32"/>
          <w:szCs w:val="32"/>
          <w:highlight w:val="none"/>
        </w:rPr>
        <w:t>万元，主要包括：办公费、印刷费、培训费、</w:t>
      </w:r>
      <w:r>
        <w:rPr>
          <w:rFonts w:hint="eastAsia" w:ascii="仿宋_GB2312" w:hAnsi="仿宋_GB2312" w:eastAsia="仿宋_GB2312" w:cs="仿宋_GB2312"/>
          <w:sz w:val="32"/>
          <w:szCs w:val="32"/>
          <w:highlight w:val="none"/>
          <w:lang w:eastAsia="zh-CN"/>
        </w:rPr>
        <w:t>差旅费、维修（护）费、</w:t>
      </w:r>
      <w:r>
        <w:rPr>
          <w:rFonts w:hint="eastAsia" w:ascii="仿宋_GB2312" w:hAnsi="仿宋_GB2312" w:eastAsia="仿宋_GB2312" w:cs="仿宋_GB2312"/>
          <w:sz w:val="32"/>
          <w:szCs w:val="32"/>
          <w:highlight w:val="none"/>
        </w:rPr>
        <w:t>公务接待费、劳务费、工会经费、福利费、公务用车运行维护费。</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2.72</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1.98</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72.79</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年度“三公”经费支出决算数与预算数存在差异的主要原因是</w:t>
      </w:r>
      <w:r>
        <w:rPr>
          <w:rFonts w:hint="eastAsia" w:ascii="仿宋_GB2312" w:hAnsi="仿宋_GB2312" w:eastAsia="仿宋_GB2312" w:cs="仿宋_GB2312"/>
          <w:color w:val="auto"/>
          <w:sz w:val="32"/>
          <w:szCs w:val="32"/>
          <w:highlight w:val="none"/>
          <w:lang w:val="en-US" w:eastAsia="zh-CN"/>
        </w:rPr>
        <w:t>节约开支</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万元；公务用车购置及运行费支出决算</w:t>
      </w:r>
      <w:r>
        <w:rPr>
          <w:rFonts w:hint="eastAsia" w:ascii="仿宋_GB2312" w:hAnsi="仿宋_GB2312" w:eastAsia="仿宋_GB2312" w:cs="仿宋_GB2312"/>
          <w:sz w:val="32"/>
          <w:szCs w:val="32"/>
          <w:highlight w:val="none"/>
          <w:lang w:val="en-US" w:eastAsia="zh-CN"/>
        </w:rPr>
        <w:t>1.92</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96</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96.97</w:t>
      </w:r>
      <w:r>
        <w:rPr>
          <w:rFonts w:hint="eastAsia" w:ascii="仿宋_GB2312" w:hAnsi="仿宋_GB2312" w:eastAsia="仿宋_GB2312" w:cs="仿宋_GB2312"/>
          <w:sz w:val="32"/>
          <w:szCs w:val="32"/>
          <w:highlight w:val="none"/>
        </w:rPr>
        <w:t>%；公务接待费支出决算</w:t>
      </w:r>
      <w:r>
        <w:rPr>
          <w:rFonts w:hint="eastAsia" w:ascii="仿宋_GB2312" w:hAnsi="仿宋_GB2312" w:eastAsia="仿宋_GB2312" w:cs="仿宋_GB2312"/>
          <w:sz w:val="32"/>
          <w:szCs w:val="32"/>
          <w:highlight w:val="none"/>
          <w:lang w:val="en-US" w:eastAsia="zh-CN"/>
        </w:rPr>
        <w:t>0.06</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8.33</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3.03</w:t>
      </w:r>
      <w:r>
        <w:rPr>
          <w:rFonts w:hint="eastAsia" w:ascii="仿宋_GB2312" w:hAnsi="仿宋_GB2312" w:eastAsia="仿宋_GB2312" w:cs="仿宋_GB2312"/>
          <w:sz w:val="32"/>
          <w:szCs w:val="32"/>
          <w:highlight w:val="none"/>
        </w:rPr>
        <w:t>%。具体情况如下：</w:t>
      </w:r>
    </w:p>
    <w:p>
      <w:pPr>
        <w:keepNext w:val="0"/>
        <w:keepLines w:val="0"/>
        <w:pageBreakBefore w:val="0"/>
        <w:widowControl w:val="0"/>
        <w:numPr>
          <w:ilvl w:val="0"/>
          <w:numId w:val="3"/>
        </w:numPr>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rPr>
        <w:t>因公出国（境）费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w:t>
      </w:r>
      <w:r>
        <w:rPr>
          <w:rFonts w:hint="eastAsia" w:ascii="仿宋_GB2312" w:hAnsi="仿宋_GB2312" w:eastAsia="仿宋_GB2312" w:cs="仿宋_GB2312"/>
          <w:sz w:val="32"/>
          <w:szCs w:val="32"/>
          <w:highlight w:val="none"/>
          <w:lang w:val="en-US" w:eastAsia="zh-CN"/>
        </w:rPr>
        <w:t>不存在差异。因公出国（境）团组数0个，累计0人次。</w:t>
      </w:r>
    </w:p>
    <w:p>
      <w:pPr>
        <w:widowControl/>
        <w:numPr>
          <w:ilvl w:val="0"/>
          <w:numId w:val="0"/>
        </w:numPr>
        <w:spacing w:line="590" w:lineRule="exact"/>
        <w:ind w:firstLine="643"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1.92</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96</w:t>
      </w:r>
      <w:r>
        <w:rPr>
          <w:rFonts w:hint="eastAsia" w:ascii="仿宋_GB2312" w:hAnsi="仿宋_GB2312" w:eastAsia="仿宋_GB2312" w:cs="仿宋_GB2312"/>
          <w:sz w:val="32"/>
          <w:szCs w:val="32"/>
          <w:highlight w:val="none"/>
        </w:rPr>
        <w:t>%。决算数与预算数存在差异的主要原因</w:t>
      </w:r>
      <w:r>
        <w:rPr>
          <w:rFonts w:hint="eastAsia" w:ascii="仿宋_GB2312" w:hAnsi="仿宋_GB2312" w:eastAsia="仿宋_GB2312" w:cs="仿宋_GB2312"/>
          <w:sz w:val="32"/>
          <w:szCs w:val="32"/>
          <w:highlight w:val="none"/>
          <w:lang w:eastAsia="zh-CN"/>
        </w:rPr>
        <w:t>节约开支。</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sz w:val="32"/>
          <w:szCs w:val="32"/>
          <w:highlight w:val="none"/>
          <w:lang w:val="en-US" w:eastAsia="zh-CN"/>
        </w:rPr>
        <w:t>1.92</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color w:val="auto"/>
          <w:sz w:val="32"/>
          <w:szCs w:val="32"/>
          <w:highlight w:val="none"/>
          <w:lang w:val="en-US" w:eastAsia="zh-CN"/>
        </w:rPr>
        <w:t>辆运行维护、加油及车辆保险</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年期末，单位开支财政拨款的公务用车保有量为</w:t>
      </w:r>
      <w:r>
        <w:rPr>
          <w:rFonts w:hint="eastAsia" w:ascii="仿宋_GB2312" w:hAnsi="仿宋_GB2312" w:eastAsia="仿宋_GB2312" w:cs="仿宋_GB2312"/>
          <w:sz w:val="32"/>
          <w:szCs w:val="32"/>
          <w:highlight w:val="none"/>
          <w:lang w:val="en-US" w:eastAsia="zh-CN"/>
        </w:rPr>
        <w:t>1辆</w:t>
      </w:r>
      <w:bookmarkStart w:id="0" w:name="_GoBack"/>
      <w:bookmarkEnd w:id="0"/>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0.72</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0.06</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8.33</w:t>
      </w:r>
      <w:r>
        <w:rPr>
          <w:rFonts w:hint="eastAsia" w:ascii="仿宋_GB2312" w:hAnsi="仿宋_GB2312" w:eastAsia="仿宋_GB2312" w:cs="仿宋_GB2312"/>
          <w:sz w:val="32"/>
          <w:szCs w:val="32"/>
          <w:highlight w:val="none"/>
        </w:rPr>
        <w:t>%。决算数与预算数存在差异的主要原因是</w:t>
      </w:r>
      <w:r>
        <w:rPr>
          <w:rFonts w:hint="eastAsia" w:ascii="仿宋_GB2312" w:hAnsi="仿宋_GB2312" w:eastAsia="仿宋_GB2312" w:cs="仿宋_GB2312"/>
          <w:sz w:val="32"/>
          <w:szCs w:val="32"/>
          <w:highlight w:val="none"/>
          <w:lang w:eastAsia="zh-CN"/>
        </w:rPr>
        <w:t>节约开支</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其中：</w:t>
      </w:r>
    </w:p>
    <w:p>
      <w:pPr>
        <w:widowControl/>
        <w:spacing w:line="590" w:lineRule="exact"/>
        <w:ind w:firstLine="643"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0.06</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人次（不包括陪同人员）。</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不存在</w:t>
      </w:r>
      <w:r>
        <w:rPr>
          <w:rFonts w:hint="eastAsia" w:ascii="仿宋_GB2312" w:hAnsi="仿宋_GB2312" w:eastAsia="仿宋_GB2312" w:cs="仿宋_GB2312"/>
          <w:sz w:val="32"/>
          <w:szCs w:val="32"/>
          <w:highlight w:val="none"/>
        </w:rPr>
        <w:t>项目年末结转和结余资金数额较大，</w:t>
      </w:r>
      <w:r>
        <w:rPr>
          <w:rFonts w:hint="eastAsia" w:ascii="仿宋_GB2312" w:hAnsi="仿宋_GB2312" w:eastAsia="仿宋_GB2312" w:cs="仿宋_GB2312"/>
          <w:sz w:val="32"/>
          <w:szCs w:val="32"/>
          <w:highlight w:val="none"/>
          <w:lang w:val="en-US" w:eastAsia="zh-CN"/>
        </w:rPr>
        <w:t>情况说明：我部门2021年度没有政府性基金收入，也没有使用政府性基金安排的支出</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spacing w:line="590" w:lineRule="exact"/>
        <w:ind w:firstLine="640" w:firstLineChars="200"/>
        <w:outlineLvl w:val="1"/>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我单位不是行政机关，也不是参照公务员管理事业单位，没有机关运行经费支出。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sz w:val="32"/>
          <w:szCs w:val="32"/>
          <w:highlight w:val="none"/>
          <w:lang w:val="en-US" w:eastAsia="zh-CN"/>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万元、政府采购工程支出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万元、政府采购服务支出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万元。授予中小企业合同金额</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万元，占政府采购支出总额的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年期末，我单位共有车辆</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许昌市土地收购储备中心按照《中共许昌市委 许昌市人民政府关于全面实施预算绩效管理的实施意见》（许发〔2021〕13号）文件要求，对许昌市土地收购储备中心整体支出和项目支出开展全过程预算绩效管理。2021年许昌市土地收购储备中心纳入预算绩效管理的支出总额为375.56万元，其中：基本支出375.56万元；支出项目0个，支出金额0万元。开展项目绩效自评项目0个，自评金额0万元；纳入重点绩效评价0个，评价金额0万元。</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（二）部门（单位）整体和项目绩效自评结果。</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许昌市土地收购储备中心整体绩效目标和项目支出绩效目标进行了自评。许昌市土地收购储备中心整体绩效自评</w:t>
      </w:r>
      <w:r>
        <w:rPr>
          <w:rFonts w:hint="eastAsia" w:ascii="仿宋_GB2312" w:hAnsi="宋体" w:eastAsia="仿宋_GB2312" w:cs="Courier New"/>
          <w:sz w:val="32"/>
          <w:szCs w:val="32"/>
        </w:rPr>
        <w:t>自评良好</w:t>
      </w:r>
      <w:r>
        <w:rPr>
          <w:rFonts w:hint="eastAsia" w:ascii="仿宋_GB2312" w:hAnsi="仿宋_GB2312" w:eastAsia="仿宋_GB2312" w:cs="仿宋_GB2312"/>
          <w:color w:val="auto"/>
          <w:sz w:val="32"/>
          <w:szCs w:val="32"/>
          <w:highlight w:val="none"/>
          <w:lang w:val="en-US" w:eastAsia="zh-CN"/>
        </w:rPr>
        <w:t>。二是项目绩效自评情况。许昌市土地收购储备中心共有0个项目批复了绩效目标，项目金额0万元。</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基于项目预期目标的实现程度，对2021年度项目支出绩效进行自评，绩效自评平均得分为/分。其中：0个项目评价等级为“优”、0个项目评价等级为“良”、0个项目评价等级为“中”、0个项目评价等级为“差”。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2021年度我单位没有开展重点绩效评价项目。</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both"/>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ind w:firstLine="1920" w:firstLineChars="400"/>
        <w:jc w:val="both"/>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643D4F"/>
    <w:multiLevelType w:val="singleLevel"/>
    <w:tmpl w:val="97643D4F"/>
    <w:lvl w:ilvl="0" w:tentative="0">
      <w:start w:val="1"/>
      <w:numFmt w:val="chineseCounting"/>
      <w:suff w:val="space"/>
      <w:lvlText w:val="第%1部分"/>
      <w:lvlJc w:val="left"/>
      <w:rPr>
        <w:rFonts w:hint="eastAsia"/>
      </w:rPr>
    </w:lvl>
  </w:abstractNum>
  <w:abstractNum w:abstractNumId="1">
    <w:nsid w:val="157BB61A"/>
    <w:multiLevelType w:val="singleLevel"/>
    <w:tmpl w:val="157BB61A"/>
    <w:lvl w:ilvl="0" w:tentative="0">
      <w:start w:val="1"/>
      <w:numFmt w:val="decimal"/>
      <w:suff w:val="nothing"/>
      <w:lvlText w:val="%1．"/>
      <w:lvlJc w:val="left"/>
    </w:lvl>
  </w:abstractNum>
  <w:abstractNum w:abstractNumId="2">
    <w:nsid w:val="5971BE17"/>
    <w:multiLevelType w:val="singleLevel"/>
    <w:tmpl w:val="5971BE17"/>
    <w:lvl w:ilvl="0" w:tentative="0">
      <w:start w:val="1"/>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2OTBkZTE3OTEwYjExNjIzYmQ5YTM2MzNjNjFlZmIifQ=="/>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67A56"/>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DC6F05"/>
    <w:rsid w:val="02A3489A"/>
    <w:rsid w:val="02CA138D"/>
    <w:rsid w:val="033646FC"/>
    <w:rsid w:val="03C75F80"/>
    <w:rsid w:val="0478364D"/>
    <w:rsid w:val="053D4C0D"/>
    <w:rsid w:val="0557532E"/>
    <w:rsid w:val="06FC2A3B"/>
    <w:rsid w:val="0799329C"/>
    <w:rsid w:val="08397436"/>
    <w:rsid w:val="086F16A7"/>
    <w:rsid w:val="0952022C"/>
    <w:rsid w:val="0A0F7225"/>
    <w:rsid w:val="0A2B7D82"/>
    <w:rsid w:val="0A3A5B27"/>
    <w:rsid w:val="0AB1542C"/>
    <w:rsid w:val="0ADC40E9"/>
    <w:rsid w:val="0AE607F4"/>
    <w:rsid w:val="0B386127"/>
    <w:rsid w:val="0B451598"/>
    <w:rsid w:val="0BEC73F4"/>
    <w:rsid w:val="0C392698"/>
    <w:rsid w:val="0D73314B"/>
    <w:rsid w:val="0F1C63CF"/>
    <w:rsid w:val="10BD36F6"/>
    <w:rsid w:val="10DB560C"/>
    <w:rsid w:val="11BF0649"/>
    <w:rsid w:val="123E3E08"/>
    <w:rsid w:val="133212F4"/>
    <w:rsid w:val="13D22E22"/>
    <w:rsid w:val="15237771"/>
    <w:rsid w:val="161C2DFF"/>
    <w:rsid w:val="16373578"/>
    <w:rsid w:val="16D3336B"/>
    <w:rsid w:val="17200028"/>
    <w:rsid w:val="177E95DC"/>
    <w:rsid w:val="17806C36"/>
    <w:rsid w:val="17A74F62"/>
    <w:rsid w:val="18A47774"/>
    <w:rsid w:val="1A8D28EB"/>
    <w:rsid w:val="1A9F2D78"/>
    <w:rsid w:val="1B2E6FD8"/>
    <w:rsid w:val="1B877D21"/>
    <w:rsid w:val="1BE95B33"/>
    <w:rsid w:val="1C4319A9"/>
    <w:rsid w:val="1CDD3710"/>
    <w:rsid w:val="1E443B4B"/>
    <w:rsid w:val="1E994F4A"/>
    <w:rsid w:val="1EAF0224"/>
    <w:rsid w:val="1F2230A4"/>
    <w:rsid w:val="20210932"/>
    <w:rsid w:val="202448E0"/>
    <w:rsid w:val="20F614FE"/>
    <w:rsid w:val="21302EEA"/>
    <w:rsid w:val="22376FB5"/>
    <w:rsid w:val="23E152D7"/>
    <w:rsid w:val="23EE2489"/>
    <w:rsid w:val="255D43C8"/>
    <w:rsid w:val="26714EF8"/>
    <w:rsid w:val="26876BDD"/>
    <w:rsid w:val="2714632A"/>
    <w:rsid w:val="27541E73"/>
    <w:rsid w:val="27B0539E"/>
    <w:rsid w:val="27F83E87"/>
    <w:rsid w:val="29365CF8"/>
    <w:rsid w:val="299469B3"/>
    <w:rsid w:val="2A805789"/>
    <w:rsid w:val="2ADC0D75"/>
    <w:rsid w:val="2B4A0E52"/>
    <w:rsid w:val="2C975890"/>
    <w:rsid w:val="2DEF21BB"/>
    <w:rsid w:val="2E4A2F05"/>
    <w:rsid w:val="2E9313D4"/>
    <w:rsid w:val="2ECC1061"/>
    <w:rsid w:val="2FA476AD"/>
    <w:rsid w:val="303F7540"/>
    <w:rsid w:val="31DD00BF"/>
    <w:rsid w:val="3293174C"/>
    <w:rsid w:val="32BA12BD"/>
    <w:rsid w:val="32BB38D4"/>
    <w:rsid w:val="32C9376D"/>
    <w:rsid w:val="33780472"/>
    <w:rsid w:val="33AF0905"/>
    <w:rsid w:val="355932F4"/>
    <w:rsid w:val="35611882"/>
    <w:rsid w:val="36165E7A"/>
    <w:rsid w:val="36746FC3"/>
    <w:rsid w:val="368763AE"/>
    <w:rsid w:val="37CBCB96"/>
    <w:rsid w:val="395D59E7"/>
    <w:rsid w:val="39A93932"/>
    <w:rsid w:val="39CF7650"/>
    <w:rsid w:val="39D8552F"/>
    <w:rsid w:val="3A915562"/>
    <w:rsid w:val="3B8D4765"/>
    <w:rsid w:val="3C000DBA"/>
    <w:rsid w:val="3DC045D3"/>
    <w:rsid w:val="3E504FFB"/>
    <w:rsid w:val="3E615CD0"/>
    <w:rsid w:val="3E9C47F6"/>
    <w:rsid w:val="3F8B0112"/>
    <w:rsid w:val="3FAB3095"/>
    <w:rsid w:val="3FE45947"/>
    <w:rsid w:val="41242965"/>
    <w:rsid w:val="412669CE"/>
    <w:rsid w:val="41D34149"/>
    <w:rsid w:val="435671EA"/>
    <w:rsid w:val="440809E9"/>
    <w:rsid w:val="442407A6"/>
    <w:rsid w:val="44805EA1"/>
    <w:rsid w:val="45710696"/>
    <w:rsid w:val="46142B1B"/>
    <w:rsid w:val="47E60DD0"/>
    <w:rsid w:val="48735039"/>
    <w:rsid w:val="49261002"/>
    <w:rsid w:val="492C684B"/>
    <w:rsid w:val="49500594"/>
    <w:rsid w:val="49E7604E"/>
    <w:rsid w:val="4AB200F2"/>
    <w:rsid w:val="4BF67CDD"/>
    <w:rsid w:val="4D173441"/>
    <w:rsid w:val="4D603DD6"/>
    <w:rsid w:val="4EBF010F"/>
    <w:rsid w:val="4F471EB0"/>
    <w:rsid w:val="4F779510"/>
    <w:rsid w:val="4FEB2773"/>
    <w:rsid w:val="51331326"/>
    <w:rsid w:val="51740A7F"/>
    <w:rsid w:val="51A5541E"/>
    <w:rsid w:val="51C96242"/>
    <w:rsid w:val="53906AE1"/>
    <w:rsid w:val="54F46F60"/>
    <w:rsid w:val="55A37BEA"/>
    <w:rsid w:val="56362CD2"/>
    <w:rsid w:val="5784687B"/>
    <w:rsid w:val="57846959"/>
    <w:rsid w:val="578E6A87"/>
    <w:rsid w:val="57924547"/>
    <w:rsid w:val="598A2B52"/>
    <w:rsid w:val="5AC2203A"/>
    <w:rsid w:val="5CBB3334"/>
    <w:rsid w:val="5D115FAF"/>
    <w:rsid w:val="5DA551E3"/>
    <w:rsid w:val="60294F42"/>
    <w:rsid w:val="62811722"/>
    <w:rsid w:val="62E75A72"/>
    <w:rsid w:val="64571880"/>
    <w:rsid w:val="64871D09"/>
    <w:rsid w:val="649125B6"/>
    <w:rsid w:val="652F4C1A"/>
    <w:rsid w:val="666D37F1"/>
    <w:rsid w:val="67087D8F"/>
    <w:rsid w:val="671F687E"/>
    <w:rsid w:val="67F415F8"/>
    <w:rsid w:val="682640D1"/>
    <w:rsid w:val="684B73E5"/>
    <w:rsid w:val="687C26CF"/>
    <w:rsid w:val="6A047A2A"/>
    <w:rsid w:val="6EFB7548"/>
    <w:rsid w:val="6F3831C3"/>
    <w:rsid w:val="6F8B71C1"/>
    <w:rsid w:val="6F9E88EB"/>
    <w:rsid w:val="70753482"/>
    <w:rsid w:val="707B522A"/>
    <w:rsid w:val="73194D05"/>
    <w:rsid w:val="73A83B0E"/>
    <w:rsid w:val="741040EE"/>
    <w:rsid w:val="744D3EF9"/>
    <w:rsid w:val="74794411"/>
    <w:rsid w:val="756C3822"/>
    <w:rsid w:val="75867C40"/>
    <w:rsid w:val="75B10B26"/>
    <w:rsid w:val="75EE5498"/>
    <w:rsid w:val="76432199"/>
    <w:rsid w:val="76F44829"/>
    <w:rsid w:val="777F0DB7"/>
    <w:rsid w:val="77A267C0"/>
    <w:rsid w:val="77FBF65A"/>
    <w:rsid w:val="78882278"/>
    <w:rsid w:val="78B118A6"/>
    <w:rsid w:val="79135044"/>
    <w:rsid w:val="79FC527F"/>
    <w:rsid w:val="7A346BB7"/>
    <w:rsid w:val="7A7D0F99"/>
    <w:rsid w:val="7BA3095C"/>
    <w:rsid w:val="7BFFF52D"/>
    <w:rsid w:val="7E4A0E7C"/>
    <w:rsid w:val="7EFD449D"/>
    <w:rsid w:val="7FBEF81F"/>
    <w:rsid w:val="7FDD6931"/>
    <w:rsid w:val="994FFB53"/>
    <w:rsid w:val="B3FCB82A"/>
    <w:rsid w:val="B7FEF30B"/>
    <w:rsid w:val="D3AF6E69"/>
    <w:rsid w:val="DEBA7E93"/>
    <w:rsid w:val="F39D8F45"/>
    <w:rsid w:val="FDFB9AEC"/>
    <w:rsid w:val="FEFE1693"/>
    <w:rsid w:val="FFBBA79A"/>
    <w:rsid w:val="FFC79AED"/>
    <w:rsid w:val="FFF97CA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1"/>
    <w:qFormat/>
    <w:uiPriority w:val="0"/>
  </w:style>
  <w:style w:type="paragraph" w:styleId="4">
    <w:name w:val="Balloon Text"/>
    <w:basedOn w:val="1"/>
    <w:link w:val="12"/>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unhideWhenUsed/>
    <w:qFormat/>
    <w:uiPriority w:val="99"/>
    <w:rPr>
      <w:color w:val="800080"/>
      <w:u w:val="single"/>
    </w:rPr>
  </w:style>
  <w:style w:type="character" w:styleId="11">
    <w:name w:val="Hyperlink"/>
    <w:unhideWhenUsed/>
    <w:qFormat/>
    <w:uiPriority w:val="99"/>
    <w:rPr>
      <w:color w:val="0000FF"/>
      <w:u w:val="single"/>
    </w:rPr>
  </w:style>
  <w:style w:type="character" w:customStyle="1" w:styleId="12">
    <w:name w:val="批注框文本 Char"/>
    <w:link w:val="4"/>
    <w:semiHidden/>
    <w:qFormat/>
    <w:uiPriority w:val="99"/>
    <w:rPr>
      <w:kern w:val="2"/>
      <w:sz w:val="18"/>
      <w:szCs w:val="18"/>
    </w:rPr>
  </w:style>
  <w:style w:type="character" w:customStyle="1" w:styleId="13">
    <w:name w:val="页脚 Char"/>
    <w:link w:val="5"/>
    <w:qFormat/>
    <w:uiPriority w:val="99"/>
    <w:rPr>
      <w:kern w:val="2"/>
      <w:sz w:val="18"/>
      <w:szCs w:val="18"/>
    </w:rPr>
  </w:style>
  <w:style w:type="character" w:customStyle="1" w:styleId="14">
    <w:name w:val="页眉 Char"/>
    <w:link w:val="6"/>
    <w:qFormat/>
    <w:uiPriority w:val="99"/>
    <w:rPr>
      <w:kern w:val="2"/>
      <w:sz w:val="18"/>
      <w:szCs w:val="18"/>
    </w:rPr>
  </w:style>
  <w:style w:type="character" w:customStyle="1" w:styleId="15">
    <w:name w:val="font01"/>
    <w:qFormat/>
    <w:uiPriority w:val="0"/>
    <w:rPr>
      <w:rFonts w:hint="eastAsia" w:ascii="宋体" w:hAnsi="宋体" w:eastAsia="宋体" w:cs="宋体"/>
      <w:color w:val="000000"/>
      <w:sz w:val="22"/>
      <w:szCs w:val="22"/>
      <w:u w:val="none"/>
    </w:rPr>
  </w:style>
  <w:style w:type="character" w:customStyle="1" w:styleId="16">
    <w:name w:val="font21"/>
    <w:qFormat/>
    <w:uiPriority w:val="0"/>
    <w:rPr>
      <w:rFonts w:hint="eastAsia" w:ascii="宋体" w:hAnsi="宋体" w:eastAsia="宋体" w:cs="宋体"/>
      <w:color w:val="000000"/>
      <w:sz w:val="22"/>
      <w:szCs w:val="22"/>
      <w:u w:val="none"/>
    </w:rPr>
  </w:style>
  <w:style w:type="character" w:customStyle="1" w:styleId="17">
    <w:name w:val="font51"/>
    <w:qFormat/>
    <w:uiPriority w:val="0"/>
    <w:rPr>
      <w:rFonts w:hint="eastAsia" w:ascii="宋体" w:hAnsi="宋体" w:eastAsia="宋体" w:cs="宋体"/>
      <w:color w:val="000000"/>
      <w:sz w:val="24"/>
      <w:szCs w:val="24"/>
      <w:u w:val="none"/>
    </w:rPr>
  </w:style>
  <w:style w:type="character" w:customStyle="1" w:styleId="18">
    <w:name w:val="font11"/>
    <w:qFormat/>
    <w:uiPriority w:val="0"/>
    <w:rPr>
      <w:rFonts w:hint="eastAsia" w:ascii="宋体" w:hAnsi="宋体" w:eastAsia="宋体" w:cs="宋体"/>
      <w:color w:val="000000"/>
      <w:sz w:val="20"/>
      <w:szCs w:val="20"/>
      <w:u w:val="none"/>
    </w:rPr>
  </w:style>
  <w:style w:type="character" w:customStyle="1" w:styleId="19">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28</Pages>
  <Words>7649</Words>
  <Characters>9252</Characters>
  <Lines>60</Lines>
  <Paragraphs>16</Paragraphs>
  <TotalTime>9</TotalTime>
  <ScaleCrop>false</ScaleCrop>
  <LinksUpToDate>false</LinksUpToDate>
  <CharactersWithSpaces>9477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2007-11-30T03:41:00Z</dcterms:created>
  <dc:creator>管理者</dc:creator>
  <cp:lastModifiedBy>lenovo</cp:lastModifiedBy>
  <cp:lastPrinted>2023-02-22T07:45:00Z</cp:lastPrinted>
  <dcterms:modified xsi:type="dcterms:W3CDTF">2023-09-12T10:53:07Z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083D3FFCA4944A2EB6E94B5E4EB57FB9_13</vt:lpwstr>
  </property>
</Properties>
</file>