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许昌市土地二级市场交易中心单位</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许昌市土地二级市场交易中心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lang w:eastAsia="zh-CN"/>
        </w:rPr>
      </w:pPr>
    </w:p>
    <w:p>
      <w:pPr>
        <w:widowControl/>
        <w:numPr>
          <w:ilvl w:val="0"/>
          <w:numId w:val="0"/>
        </w:numPr>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eastAsia="zh-CN"/>
        </w:rPr>
        <w:t>许昌市土地二级市场交易中心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仿宋_GB2312" w:eastAsia="仿宋_GB2312" w:cs="仿宋_GB2312"/>
          <w:color w:val="auto"/>
          <w:sz w:val="32"/>
          <w:szCs w:val="32"/>
          <w:highlight w:val="none"/>
          <w:shd w:val="clear" w:color="auto" w:fill="FFFFFF"/>
          <w:lang w:val="zh-CN"/>
        </w:rPr>
      </w:pPr>
      <w:r>
        <w:rPr>
          <w:rFonts w:hint="eastAsia" w:ascii="仿宋_GB2312" w:hAnsi="仿宋_GB2312" w:eastAsia="仿宋_GB2312" w:cs="仿宋_GB2312"/>
          <w:color w:val="auto"/>
          <w:kern w:val="0"/>
          <w:sz w:val="32"/>
          <w:szCs w:val="32"/>
          <w:highlight w:val="none"/>
        </w:rPr>
        <w:t>许昌市土地二级市场交易中心</w:t>
      </w:r>
      <w:r>
        <w:rPr>
          <w:rFonts w:hint="eastAsia" w:ascii="仿宋_GB2312" w:hAnsi="仿宋_GB2312" w:eastAsia="仿宋_GB2312" w:cs="仿宋_GB2312"/>
          <w:color w:val="auto"/>
          <w:sz w:val="32"/>
          <w:szCs w:val="32"/>
          <w:highlight w:val="none"/>
          <w:shd w:val="clear" w:color="auto" w:fill="FFFFFF"/>
        </w:rPr>
        <w:t>为市区土地二级市场提供管理服务。</w:t>
      </w:r>
      <w:r>
        <w:rPr>
          <w:rFonts w:hint="eastAsia" w:ascii="仿宋_GB2312" w:hAnsi="仿宋_GB2312" w:eastAsia="仿宋_GB2312" w:cs="仿宋_GB2312"/>
          <w:color w:val="auto"/>
          <w:sz w:val="32"/>
          <w:szCs w:val="32"/>
          <w:highlight w:val="none"/>
          <w:shd w:val="clear" w:color="auto" w:fill="FFFFFF"/>
          <w:lang w:val="zh-CN"/>
        </w:rPr>
        <w:t xml:space="preserve">市区土地二级市场转让、出租、抵押交易审核与备案 </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zh-CN"/>
        </w:rPr>
        <w:t>交易行为监测与服务</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zh-CN"/>
        </w:rPr>
        <w:t>土地交易信息发布</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zh-CN"/>
        </w:rPr>
        <w:t>中介组织指导与监督交易服务平台建设。</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许昌市土地二级市场交易中心</w:t>
      </w:r>
      <w:r>
        <w:rPr>
          <w:rFonts w:hint="eastAsia" w:ascii="仿宋_GB2312" w:hAnsi="仿宋_GB2312" w:eastAsia="仿宋_GB2312" w:cs="仿宋_GB2312"/>
          <w:color w:val="auto"/>
          <w:kern w:val="0"/>
          <w:sz w:val="32"/>
          <w:szCs w:val="32"/>
          <w:highlight w:val="none"/>
          <w:lang w:val="en-US" w:eastAsia="zh-CN"/>
        </w:rPr>
        <w:t>内设机构</w:t>
      </w:r>
      <w:r>
        <w:rPr>
          <w:rFonts w:hint="default" w:ascii="仿宋_GB2312" w:hAnsi="仿宋_GB2312" w:eastAsia="仿宋_GB2312" w:cs="仿宋_GB2312"/>
          <w:color w:val="auto"/>
          <w:kern w:val="0"/>
          <w:sz w:val="32"/>
          <w:szCs w:val="32"/>
          <w:highlight w:val="none"/>
          <w:lang w:val="en" w:eastAsia="zh-CN"/>
        </w:rPr>
        <w:t>1</w:t>
      </w:r>
      <w:r>
        <w:rPr>
          <w:rFonts w:hint="eastAsia" w:ascii="仿宋_GB2312" w:hAnsi="仿宋_GB2312" w:eastAsia="仿宋_GB2312" w:cs="仿宋_GB2312"/>
          <w:color w:val="auto"/>
          <w:kern w:val="0"/>
          <w:sz w:val="32"/>
          <w:szCs w:val="32"/>
          <w:highlight w:val="none"/>
          <w:lang w:val="en-US" w:eastAsia="zh-CN"/>
        </w:rPr>
        <w:t>个，包括：办公室。</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从决算单位构成看，许昌市土地二级市场交易中心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许昌市土地二级市场交易中心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6"/>
        <w:tblpPr w:leftFromText="180" w:rightFromText="180" w:vertAnchor="text" w:horzAnchor="page" w:tblpX="1576" w:tblpY="0"/>
        <w:tblOverlap w:val="never"/>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3"/>
        <w:gridCol w:w="785"/>
        <w:gridCol w:w="1777"/>
        <w:gridCol w:w="3705"/>
        <w:gridCol w:w="100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392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473"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7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7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473"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7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7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7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885"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77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8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7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00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7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110.35</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7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110.35</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7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7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1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8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7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2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pPr w:leftFromText="180" w:rightFromText="180" w:vertAnchor="text" w:horzAnchor="page" w:tblpX="1561" w:tblpY="177"/>
        <w:tblOverlap w:val="neve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6"/>
        <w:gridCol w:w="222"/>
        <w:gridCol w:w="222"/>
        <w:gridCol w:w="3956"/>
        <w:gridCol w:w="1069"/>
        <w:gridCol w:w="1089"/>
        <w:gridCol w:w="545"/>
        <w:gridCol w:w="538"/>
        <w:gridCol w:w="518"/>
        <w:gridCol w:w="578"/>
        <w:gridCol w:w="1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393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6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8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3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6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8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3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06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0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53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51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57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78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6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06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53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5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7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110.35</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110.35</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2.84</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101.65</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101.65</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101.65</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101.65</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0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101.65</w:t>
            </w:r>
          </w:p>
        </w:tc>
        <w:tc>
          <w:tcPr>
            <w:tcW w:w="10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101.65</w:t>
            </w:r>
          </w:p>
        </w:tc>
        <w:tc>
          <w:tcPr>
            <w:tcW w:w="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35"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tbl>
      <w:tblPr>
        <w:tblStyle w:val="6"/>
        <w:tblW w:w="14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3956"/>
        <w:gridCol w:w="1043"/>
        <w:gridCol w:w="1073"/>
        <w:gridCol w:w="845"/>
        <w:gridCol w:w="935"/>
        <w:gridCol w:w="81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22"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4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7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0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4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7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0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07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8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9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8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0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126.20</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122.81</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3.38</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114.08</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114.08</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0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114.08</w:t>
            </w:r>
          </w:p>
        </w:tc>
        <w:tc>
          <w:tcPr>
            <w:tcW w:w="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w:t>
            </w: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9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22"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705"/>
        <w:gridCol w:w="930"/>
        <w:gridCol w:w="3516"/>
        <w:gridCol w:w="751"/>
        <w:gridCol w:w="821"/>
        <w:gridCol w:w="1155"/>
        <w:gridCol w:w="1168"/>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0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5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2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6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7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5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2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6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956"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1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21"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5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0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5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110.35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110.35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15.85</w:t>
            </w: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8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0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07"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4282"/>
        <w:gridCol w:w="1845"/>
        <w:gridCol w:w="1935"/>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22"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8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8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0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8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8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0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4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88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28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8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8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8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4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4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126.20</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122.81</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5.87</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114.08</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114.08</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28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8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114.08</w:t>
            </w:r>
          </w:p>
        </w:tc>
        <w:tc>
          <w:tcPr>
            <w:tcW w:w="2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2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2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28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22"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2"/>
        <w:gridCol w:w="2685"/>
        <w:gridCol w:w="990"/>
        <w:gridCol w:w="1140"/>
        <w:gridCol w:w="2280"/>
        <w:gridCol w:w="960"/>
        <w:gridCol w:w="1200"/>
        <w:gridCol w:w="2760"/>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182"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6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9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4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857" w:type="dxa"/>
            <w:gridSpan w:val="3"/>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11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4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5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22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6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2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7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114.39</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2.41</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29.83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30.76</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14.96</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0.01</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7.40</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3.37</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0.42</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6.45</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0.26</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公务用车运行维护费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0.02</w:t>
            </w:r>
          </w:p>
        </w:tc>
        <w:tc>
          <w:tcPr>
            <w:tcW w:w="12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6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其他对个人和家庭的补助</w:t>
            </w: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2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其他商品和服务支出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0.03</w:t>
            </w:r>
          </w:p>
        </w:tc>
        <w:tc>
          <w:tcPr>
            <w:tcW w:w="12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7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114.39</w:t>
            </w:r>
          </w:p>
        </w:tc>
        <w:tc>
          <w:tcPr>
            <w:tcW w:w="834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2"/>
        <w:gridCol w:w="1890"/>
        <w:gridCol w:w="1260"/>
        <w:gridCol w:w="1170"/>
        <w:gridCol w:w="1320"/>
        <w:gridCol w:w="1065"/>
        <w:gridCol w:w="915"/>
        <w:gridCol w:w="1182"/>
        <w:gridCol w:w="880"/>
        <w:gridCol w:w="1163"/>
        <w:gridCol w:w="111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62"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02"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89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8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6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0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322"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13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8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6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1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25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8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75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9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15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8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18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0.48</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0.85</w:t>
            </w:r>
          </w:p>
        </w:tc>
        <w:tc>
          <w:tcPr>
            <w:tcW w:w="11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0.85</w:t>
            </w: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0.85</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62"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6"/>
        <w:gridCol w:w="222"/>
        <w:gridCol w:w="222"/>
        <w:gridCol w:w="1096"/>
        <w:gridCol w:w="1393"/>
        <w:gridCol w:w="1414"/>
        <w:gridCol w:w="1190"/>
        <w:gridCol w:w="1271"/>
        <w:gridCol w:w="1360"/>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383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：许昌市土地二级市场交易中心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41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382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2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2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2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3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126.20</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27.15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27.41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2021年我单位新增2名在职人员，</w:t>
      </w:r>
      <w:r>
        <w:rPr>
          <w:rFonts w:hint="eastAsia" w:ascii="仿宋_GB2312" w:hAnsi="仿宋_GB2312" w:eastAsia="仿宋_GB2312"/>
          <w:color w:val="auto"/>
          <w:sz w:val="32"/>
          <w:highlight w:val="none"/>
        </w:rPr>
        <w:t>人员经费及公用经费都有所增加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default" w:ascii="仿宋_GB2312" w:hAnsi="仿宋_GB2312" w:eastAsia="仿宋_GB2312" w:cs="仿宋_GB2312"/>
          <w:color w:val="auto"/>
          <w:sz w:val="32"/>
          <w:szCs w:val="32"/>
          <w:highlight w:val="none"/>
          <w:lang w:val="en"/>
        </w:rPr>
        <w:t>110.35</w:t>
      </w:r>
      <w:r>
        <w:rPr>
          <w:rFonts w:hint="eastAsia" w:ascii="仿宋_GB2312" w:hAnsi="仿宋_GB2312" w:eastAsia="仿宋_GB2312" w:cs="仿宋_GB2312"/>
          <w:color w:val="auto"/>
          <w:sz w:val="32"/>
          <w:szCs w:val="32"/>
          <w:highlight w:val="none"/>
        </w:rPr>
        <w:t>万元，其中：财政拨款收入</w:t>
      </w:r>
      <w:r>
        <w:rPr>
          <w:rFonts w:hint="default" w:ascii="仿宋_GB2312" w:hAnsi="仿宋_GB2312" w:eastAsia="仿宋_GB2312" w:cs="仿宋_GB2312"/>
          <w:color w:val="auto"/>
          <w:sz w:val="32"/>
          <w:szCs w:val="32"/>
          <w:highlight w:val="none"/>
          <w:lang w:val="en"/>
        </w:rPr>
        <w:t>110.35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default"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126.20</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122.81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97.31</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3.38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2.69</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default"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126.20</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27.15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27.41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2021年我单位新增2名在职人员，</w:t>
      </w:r>
      <w:r>
        <w:rPr>
          <w:rFonts w:hint="eastAsia" w:ascii="仿宋_GB2312" w:hAnsi="仿宋_GB2312" w:eastAsia="仿宋_GB2312"/>
          <w:color w:val="auto"/>
          <w:sz w:val="32"/>
          <w:highlight w:val="none"/>
        </w:rPr>
        <w:t>人员经费及公用经费都有所增加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126.20</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46.87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59.08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olor w:val="auto"/>
          <w:sz w:val="32"/>
          <w:highlight w:val="none"/>
        </w:rPr>
        <w:t>02</w:t>
      </w:r>
      <w:r>
        <w:rPr>
          <w:rFonts w:hint="eastAsia" w:ascii="仿宋_GB2312" w:hAnsi="仿宋_GB2312" w:eastAsia="仿宋_GB2312"/>
          <w:color w:val="auto"/>
          <w:sz w:val="32"/>
          <w:highlight w:val="none"/>
          <w:lang w:val="en-US" w:eastAsia="zh-CN"/>
        </w:rPr>
        <w:t>1</w:t>
      </w:r>
      <w:r>
        <w:rPr>
          <w:rFonts w:hint="eastAsia" w:ascii="仿宋_GB2312" w:hAnsi="仿宋_GB2312" w:eastAsia="仿宋_GB2312"/>
          <w:color w:val="auto"/>
          <w:sz w:val="32"/>
          <w:highlight w:val="none"/>
        </w:rPr>
        <w:t>年我单位新增2名在职人员，人员经费及公用经费</w:t>
      </w:r>
      <w:r>
        <w:rPr>
          <w:rFonts w:hint="eastAsia" w:ascii="仿宋_GB2312" w:hAnsi="仿宋_GB2312" w:eastAsia="仿宋_GB2312"/>
          <w:color w:val="auto"/>
          <w:sz w:val="32"/>
          <w:highlight w:val="none"/>
          <w:lang w:eastAsia="zh-CN"/>
        </w:rPr>
        <w:t>支出</w:t>
      </w:r>
      <w:r>
        <w:rPr>
          <w:rFonts w:hint="eastAsia" w:ascii="仿宋_GB2312" w:hAnsi="仿宋_GB2312" w:eastAsia="仿宋_GB2312"/>
          <w:color w:val="auto"/>
          <w:sz w:val="32"/>
          <w:highlight w:val="none"/>
        </w:rPr>
        <w:t>都有所增加</w:t>
      </w:r>
      <w:r>
        <w:rPr>
          <w:rFonts w:hint="eastAsia" w:ascii="仿宋_GB2312" w:hAnsi="仿宋_GB2312" w:eastAsia="仿宋_GB2312"/>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126.20</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社会保障和就业（类）支出5.87万元，占4.65%；卫生健康（类）支出2.86万元，占2.27%；城乡社区（类）支出117.46万元，占93.08%</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126.20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126.20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5.87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5.87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2.86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城乡社区支出（类）城乡社区管理事务（款）其他</w:t>
      </w:r>
      <w:r>
        <w:rPr>
          <w:rFonts w:hint="eastAsia" w:ascii="仿宋_GB2312" w:hAnsi="仿宋_GB2312" w:eastAsia="仿宋_GB2312" w:cs="仿宋_GB2312"/>
          <w:b/>
          <w:bCs/>
          <w:color w:val="auto"/>
          <w:sz w:val="32"/>
          <w:szCs w:val="32"/>
          <w:highlight w:val="none"/>
          <w:lang w:eastAsia="zh-CN"/>
        </w:rPr>
        <w:t>城乡</w:t>
      </w:r>
      <w:r>
        <w:rPr>
          <w:rFonts w:hint="eastAsia" w:ascii="仿宋_GB2312" w:hAnsi="仿宋_GB2312" w:eastAsia="仿宋_GB2312" w:cs="仿宋_GB2312"/>
          <w:b/>
          <w:bCs/>
          <w:color w:val="auto"/>
          <w:sz w:val="32"/>
          <w:szCs w:val="32"/>
          <w:highlight w:val="none"/>
        </w:rPr>
        <w:t>社区管理事务支出（项）。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117.46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117.46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122.81</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114.39</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其他社会保障缴费、住房公积金；公用经费</w:t>
      </w:r>
      <w:r>
        <w:rPr>
          <w:rFonts w:hint="eastAsia" w:ascii="仿宋_GB2312" w:hAnsi="仿宋_GB2312" w:eastAsia="仿宋_GB2312" w:cs="仿宋_GB2312"/>
          <w:color w:val="auto"/>
          <w:sz w:val="32"/>
          <w:szCs w:val="32"/>
          <w:highlight w:val="none"/>
          <w:lang w:val="en-US" w:eastAsia="zh-CN"/>
        </w:rPr>
        <w:t>8.43</w:t>
      </w:r>
      <w:r>
        <w:rPr>
          <w:rFonts w:hint="eastAsia" w:ascii="仿宋_GB2312" w:hAnsi="仿宋_GB2312" w:eastAsia="仿宋_GB2312" w:cs="仿宋_GB2312"/>
          <w:color w:val="auto"/>
          <w:sz w:val="32"/>
          <w:szCs w:val="32"/>
          <w:highlight w:val="none"/>
        </w:rPr>
        <w:t>万元，主要包括：办公费、印刷费、水费、电费、邮电费、差旅费、维修（护）费、培训费、劳务费、委托业务费、工会经费、福利费、公务用车运行维护费、</w:t>
      </w:r>
      <w:r>
        <w:rPr>
          <w:rFonts w:hint="eastAsia" w:ascii="仿宋_GB2312" w:hAnsi="仿宋_GB2312" w:eastAsia="仿宋_GB2312" w:cs="仿宋_GB2312"/>
          <w:color w:val="auto"/>
          <w:sz w:val="32"/>
          <w:szCs w:val="32"/>
          <w:highlight w:val="none"/>
          <w:lang w:eastAsia="zh-CN"/>
        </w:rPr>
        <w:t>其他交通费用、</w:t>
      </w:r>
      <w:r>
        <w:rPr>
          <w:rFonts w:hint="eastAsia" w:ascii="仿宋_GB2312" w:hAnsi="仿宋_GB2312" w:eastAsia="仿宋_GB2312" w:cs="仿宋_GB2312"/>
          <w:color w:val="auto"/>
          <w:sz w:val="32"/>
          <w:szCs w:val="32"/>
          <w:highlight w:val="none"/>
        </w:rPr>
        <w:t>税金及附加费用、其他商品和服务支出。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1.48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0.85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57.43</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b w:val="0"/>
          <w:bCs w:val="0"/>
          <w:color w:val="auto"/>
          <w:sz w:val="32"/>
          <w:szCs w:val="32"/>
          <w:highlight w:val="none"/>
          <w:lang w:val="en-US" w:eastAsia="zh-CN"/>
        </w:rPr>
        <w:t>落实政府过紧日子要求，压减“三公”经费支出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0.85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85</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万元。决算数与预算数不存在差异。因公出国（境）团组数0个，因公出国（境）人次数0人。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0.85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85</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b w:val="0"/>
          <w:bCs w:val="0"/>
          <w:color w:val="auto"/>
          <w:sz w:val="32"/>
          <w:szCs w:val="32"/>
          <w:highlight w:val="none"/>
          <w:lang w:val="en-US" w:eastAsia="zh-CN"/>
        </w:rPr>
        <w:t>落实政府过紧日子要求，压减“三公”经费支出</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0.85</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公务用车维修、燃油和保险</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2021年我单位无公务接待</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许昌市土地二级市场交易中心按照《中共许昌市委 许昌市人民政府关于全面实施预算绩效管理的实施意见》（许发〔2021〕13号）文件要求，对许昌市土地二级市场交易中心整体支出和项目支出开展全过程预算绩效管理。2021年许昌市土地二级市场交易中心纳入预算绩效管理的支出总额为126.20万元，其中：基本支出122.81万元；支出项目1个，支出金额3.38万元。开展项目绩效自评项目1个，自评金额6.20万元；纳入重点绩效评价0个，评价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许昌市土地二级市场交易中心对许昌市土地二级市场交易中心整体绩效目标和项目支出绩效目标进行了自评。一是单位整体绩效自评情况良好。二是项目绩效自评情况良好。许昌市土地二级市场交易中心共有1个项目批复了绩效目标，项目金额3.38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89.8分。其中：0个项目评价等级为“优”、1个项目评价等级为“良”、0个项目评价等级为“中”、0个项目评价等级为“差”。</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A2829"/>
    <w:multiLevelType w:val="singleLevel"/>
    <w:tmpl w:val="4F8A2829"/>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8E468F"/>
    <w:rsid w:val="03C75F80"/>
    <w:rsid w:val="0478364D"/>
    <w:rsid w:val="04F449FB"/>
    <w:rsid w:val="053D4C0D"/>
    <w:rsid w:val="0557532E"/>
    <w:rsid w:val="06A41D50"/>
    <w:rsid w:val="0799329C"/>
    <w:rsid w:val="08397436"/>
    <w:rsid w:val="086F16A7"/>
    <w:rsid w:val="0A0F7225"/>
    <w:rsid w:val="0A2B7D82"/>
    <w:rsid w:val="0ADC40E9"/>
    <w:rsid w:val="0AE607F4"/>
    <w:rsid w:val="0B386127"/>
    <w:rsid w:val="0B451598"/>
    <w:rsid w:val="0BEC73F4"/>
    <w:rsid w:val="0C392698"/>
    <w:rsid w:val="0CF668FF"/>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1F6F0693"/>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7B11E3"/>
    <w:rsid w:val="2C975890"/>
    <w:rsid w:val="2DEF21BB"/>
    <w:rsid w:val="2E4A2F05"/>
    <w:rsid w:val="2E526020"/>
    <w:rsid w:val="2EC211D5"/>
    <w:rsid w:val="2ECC1061"/>
    <w:rsid w:val="2FA476AD"/>
    <w:rsid w:val="303F7540"/>
    <w:rsid w:val="31DD00BF"/>
    <w:rsid w:val="3293174C"/>
    <w:rsid w:val="32BB38D4"/>
    <w:rsid w:val="32C9376D"/>
    <w:rsid w:val="33431ADD"/>
    <w:rsid w:val="33663E69"/>
    <w:rsid w:val="33780472"/>
    <w:rsid w:val="33AF0905"/>
    <w:rsid w:val="355932F4"/>
    <w:rsid w:val="35611882"/>
    <w:rsid w:val="36746FC3"/>
    <w:rsid w:val="368763AE"/>
    <w:rsid w:val="395D59E7"/>
    <w:rsid w:val="396B332E"/>
    <w:rsid w:val="39A93932"/>
    <w:rsid w:val="3A915562"/>
    <w:rsid w:val="3AB468C4"/>
    <w:rsid w:val="3B8D4765"/>
    <w:rsid w:val="3C000DBA"/>
    <w:rsid w:val="3CE1643B"/>
    <w:rsid w:val="3DBF7FBD"/>
    <w:rsid w:val="3DC045D3"/>
    <w:rsid w:val="3E504FFB"/>
    <w:rsid w:val="3E615CD0"/>
    <w:rsid w:val="3E9C47F6"/>
    <w:rsid w:val="3F8B0112"/>
    <w:rsid w:val="3FAB3095"/>
    <w:rsid w:val="3FE45947"/>
    <w:rsid w:val="4121040F"/>
    <w:rsid w:val="41242965"/>
    <w:rsid w:val="435671EA"/>
    <w:rsid w:val="440809E9"/>
    <w:rsid w:val="442407A6"/>
    <w:rsid w:val="44805EA1"/>
    <w:rsid w:val="450B0B6D"/>
    <w:rsid w:val="45710696"/>
    <w:rsid w:val="46142B1B"/>
    <w:rsid w:val="47E03F69"/>
    <w:rsid w:val="47E60DD0"/>
    <w:rsid w:val="48735039"/>
    <w:rsid w:val="48EA5523"/>
    <w:rsid w:val="492C684B"/>
    <w:rsid w:val="49500594"/>
    <w:rsid w:val="49E7604E"/>
    <w:rsid w:val="4BF67CDD"/>
    <w:rsid w:val="4D173441"/>
    <w:rsid w:val="4D3C2FA6"/>
    <w:rsid w:val="4D603DD6"/>
    <w:rsid w:val="4EBF010F"/>
    <w:rsid w:val="4F471EB0"/>
    <w:rsid w:val="51331326"/>
    <w:rsid w:val="51740A7F"/>
    <w:rsid w:val="51A5541E"/>
    <w:rsid w:val="51C96242"/>
    <w:rsid w:val="52482366"/>
    <w:rsid w:val="53906AE1"/>
    <w:rsid w:val="545A4413"/>
    <w:rsid w:val="54F46F60"/>
    <w:rsid w:val="55A37BEA"/>
    <w:rsid w:val="55CD7321"/>
    <w:rsid w:val="56362CD2"/>
    <w:rsid w:val="5784687B"/>
    <w:rsid w:val="57846959"/>
    <w:rsid w:val="578E6A87"/>
    <w:rsid w:val="5AC2203A"/>
    <w:rsid w:val="5B7D1277"/>
    <w:rsid w:val="5BDC3ACE"/>
    <w:rsid w:val="5CBB3334"/>
    <w:rsid w:val="5D115FAF"/>
    <w:rsid w:val="62811722"/>
    <w:rsid w:val="62E75A72"/>
    <w:rsid w:val="64571880"/>
    <w:rsid w:val="646E6509"/>
    <w:rsid w:val="649125B6"/>
    <w:rsid w:val="652F4C1A"/>
    <w:rsid w:val="65CB2A33"/>
    <w:rsid w:val="666D37F1"/>
    <w:rsid w:val="67087D8F"/>
    <w:rsid w:val="671F687E"/>
    <w:rsid w:val="67F415F8"/>
    <w:rsid w:val="682640D1"/>
    <w:rsid w:val="684B73E5"/>
    <w:rsid w:val="698A0990"/>
    <w:rsid w:val="69F621A9"/>
    <w:rsid w:val="6A047A2A"/>
    <w:rsid w:val="6CE2561C"/>
    <w:rsid w:val="6D7140FD"/>
    <w:rsid w:val="6EFB7548"/>
    <w:rsid w:val="6F3831C3"/>
    <w:rsid w:val="6F653D6E"/>
    <w:rsid w:val="6F8B71C1"/>
    <w:rsid w:val="6FC95848"/>
    <w:rsid w:val="70753482"/>
    <w:rsid w:val="707B522A"/>
    <w:rsid w:val="73194D05"/>
    <w:rsid w:val="73A83B0E"/>
    <w:rsid w:val="74107AEF"/>
    <w:rsid w:val="744D3EF9"/>
    <w:rsid w:val="74794411"/>
    <w:rsid w:val="75867C40"/>
    <w:rsid w:val="75B10B26"/>
    <w:rsid w:val="76432199"/>
    <w:rsid w:val="76657BD3"/>
    <w:rsid w:val="76F44829"/>
    <w:rsid w:val="77A267C0"/>
    <w:rsid w:val="787D5CFC"/>
    <w:rsid w:val="78882278"/>
    <w:rsid w:val="78B118A6"/>
    <w:rsid w:val="79135044"/>
    <w:rsid w:val="7A0D5CE2"/>
    <w:rsid w:val="7A7D0F99"/>
    <w:rsid w:val="7A8F45EC"/>
    <w:rsid w:val="7B9E24B8"/>
    <w:rsid w:val="7D6E0280"/>
    <w:rsid w:val="7E4A0E7C"/>
    <w:rsid w:val="7EE03762"/>
    <w:rsid w:val="7EFD449D"/>
    <w:rsid w:val="7F976A4D"/>
    <w:rsid w:val="ABDB6A6D"/>
    <w:rsid w:val="BE33437A"/>
    <w:rsid w:val="BF7FA4A9"/>
    <w:rsid w:val="BFFF12D9"/>
    <w:rsid w:val="CAAF5FB2"/>
    <w:rsid w:val="DFAD7B0F"/>
    <w:rsid w:val="DFD7AA7A"/>
    <w:rsid w:val="DFDF1207"/>
    <w:rsid w:val="FB9DC905"/>
    <w:rsid w:val="FBBF1D4B"/>
    <w:rsid w:val="FDE52DD6"/>
    <w:rsid w:val="FE719295"/>
    <w:rsid w:val="FF7F6B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7335</Words>
  <Characters>8677</Characters>
  <Lines>60</Lines>
  <Paragraphs>16</Paragraphs>
  <TotalTime>42</TotalTime>
  <ScaleCrop>false</ScaleCrop>
  <LinksUpToDate>false</LinksUpToDate>
  <CharactersWithSpaces>8868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2023-02-22T16:21:00Z</cp:lastPrinted>
  <dcterms:modified xsi:type="dcterms:W3CDTF">2023-09-17T11:15:30Z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2AC4DC2D50084720AECF5FD29EF44E6A_13</vt:lpwstr>
  </property>
</Properties>
</file>