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hAnsi="宋体" w:eastAsia="黑体" w:cs="宋体"/>
          <w:color w:val="auto"/>
          <w:kern w:val="0"/>
          <w:sz w:val="28"/>
          <w:szCs w:val="28"/>
          <w:highlight w:val="none"/>
          <w:lang w:val="en-US" w:eastAsia="zh-CN"/>
        </w:rPr>
      </w:pPr>
      <w:bookmarkStart w:id="1" w:name="_GoBack"/>
      <w:bookmarkEnd w:id="1"/>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21</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许昌市农机安全监理所单位</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二二</w:t>
      </w:r>
      <w:r>
        <w:rPr>
          <w:rFonts w:hint="eastAsia" w:ascii="黑体" w:hAnsi="黑体" w:eastAsia="黑体" w:cs="黑体"/>
          <w:color w:val="auto"/>
          <w:sz w:val="32"/>
          <w:szCs w:val="32"/>
          <w:highlight w:val="none"/>
          <w:lang w:eastAsia="zh-CN"/>
        </w:rPr>
        <w:t>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许昌市农机安全监理所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lang w:eastAsia="zh-CN"/>
        </w:rPr>
        <w:t>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21</w:t>
      </w:r>
      <w:r>
        <w:rPr>
          <w:rFonts w:hint="eastAsia" w:ascii="黑体" w:hAnsi="黑体" w:eastAsia="黑体" w:cs="黑体"/>
          <w:color w:val="auto"/>
          <w:sz w:val="32"/>
          <w:szCs w:val="32"/>
          <w:highlight w:val="none"/>
          <w:lang w:eastAsia="zh-CN"/>
        </w:rPr>
        <w:t>年度单位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八</w:t>
      </w:r>
      <w:r>
        <w:rPr>
          <w:rFonts w:hint="eastAsia" w:ascii="宋体" w:hAnsi="宋体" w:eastAsia="宋体" w:cs="宋体"/>
          <w:color w:val="auto"/>
          <w:sz w:val="32"/>
          <w:szCs w:val="32"/>
          <w:highlight w:val="none"/>
        </w:rPr>
        <w:t>、政府性基金预算财政拨款支出决算情况说明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九</w:t>
      </w:r>
      <w:r>
        <w:rPr>
          <w:rFonts w:hint="eastAsia" w:ascii="宋体" w:hAnsi="宋体" w:eastAsia="宋体" w:cs="宋体"/>
          <w:color w:val="auto"/>
          <w:sz w:val="32"/>
          <w:szCs w:val="32"/>
          <w:highlight w:val="none"/>
        </w:rPr>
        <w:t>、机关运行经费支出情况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w:t>
      </w:r>
      <w:r>
        <w:rPr>
          <w:rFonts w:hint="eastAsia" w:ascii="宋体" w:hAnsi="宋体" w:eastAsia="宋体" w:cs="宋体"/>
          <w:color w:val="auto"/>
          <w:sz w:val="32"/>
          <w:szCs w:val="32"/>
          <w:highlight w:val="none"/>
          <w:lang w:val="en-US" w:eastAsia="zh-CN"/>
        </w:rPr>
        <w:t>一</w:t>
      </w:r>
      <w:r>
        <w:rPr>
          <w:rFonts w:hint="eastAsia" w:ascii="宋体" w:hAnsi="宋体" w:eastAsia="宋体" w:cs="宋体"/>
          <w:color w:val="auto"/>
          <w:sz w:val="32"/>
          <w:szCs w:val="32"/>
          <w:highlight w:val="none"/>
          <w:lang w:eastAsia="zh-CN"/>
        </w:rPr>
        <w:t>、国有资产占用情况说明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十二</w:t>
      </w:r>
      <w:r>
        <w:rPr>
          <w:rFonts w:hint="eastAsia" w:ascii="宋体" w:hAnsi="宋体" w:eastAsia="宋体" w:cs="宋体"/>
          <w:color w:val="auto"/>
          <w:sz w:val="32"/>
          <w:szCs w:val="32"/>
          <w:highlight w:val="none"/>
        </w:rPr>
        <w:t>、预算绩效情况说明</w:t>
      </w:r>
    </w:p>
    <w:p>
      <w:pPr>
        <w:ind w:firstLine="640" w:firstLineChars="200"/>
        <w:jc w:val="left"/>
        <w:rPr>
          <w:rFonts w:hint="eastAsia" w:ascii="宋体" w:hAnsi="宋体" w:eastAsia="宋体" w:cs="宋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jc w:val="left"/>
        <w:rPr>
          <w:rFonts w:hint="eastAsia" w:ascii="黑体" w:hAnsi="黑体" w:eastAsia="黑体" w:cs="黑体"/>
          <w:color w:val="auto"/>
          <w:sz w:val="32"/>
          <w:szCs w:val="32"/>
          <w:highlight w:val="none"/>
        </w:rPr>
      </w:pP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许昌市农机安全监理所</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numPr>
          <w:ilvl w:val="0"/>
          <w:numId w:val="2"/>
        </w:numPr>
        <w:ind w:firstLine="640" w:firstLineChars="200"/>
        <w:jc w:val="left"/>
        <w:outlineLvl w:val="1"/>
        <w:rPr>
          <w:rFonts w:hint="eastAsia" w:ascii="黑体" w:hAnsi="黑体" w:eastAsia="黑体" w:cs="黑体"/>
          <w:bCs/>
          <w:sz w:val="32"/>
          <w:szCs w:val="32"/>
          <w:highlight w:val="none"/>
        </w:rPr>
      </w:pPr>
      <w:r>
        <w:rPr>
          <w:rFonts w:hint="eastAsia" w:ascii="黑体" w:hAnsi="黑体" w:eastAsia="黑体" w:cs="黑体"/>
          <w:bCs/>
          <w:sz w:val="32"/>
          <w:szCs w:val="32"/>
          <w:highlight w:val="none"/>
          <w:lang w:eastAsia="zh-CN"/>
        </w:rPr>
        <w:t>单位</w:t>
      </w:r>
      <w:r>
        <w:rPr>
          <w:rFonts w:hint="eastAsia" w:ascii="黑体" w:hAnsi="黑体" w:eastAsia="黑体" w:cs="黑体"/>
          <w:bCs/>
          <w:sz w:val="32"/>
          <w:szCs w:val="32"/>
          <w:highlight w:val="none"/>
        </w:rPr>
        <w:t>职责</w:t>
      </w:r>
    </w:p>
    <w:p>
      <w:pPr>
        <w:widowControl/>
        <w:numPr>
          <w:ilvl w:val="0"/>
          <w:numId w:val="0"/>
        </w:numPr>
        <w:ind w:firstLine="640"/>
        <w:jc w:val="left"/>
        <w:outlineLvl w:val="1"/>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负责全市拖拉机、联合收割机及其他农业机械的安全监督管理和牌证核发</w:t>
      </w:r>
      <w:r>
        <w:rPr>
          <w:rFonts w:hint="eastAsia" w:ascii="仿宋_GB2312" w:hAnsi="宋体" w:eastAsia="仿宋_GB2312" w:cs="宋体"/>
          <w:sz w:val="32"/>
          <w:szCs w:val="32"/>
          <w:lang w:eastAsia="zh-CN"/>
        </w:rPr>
        <w:t>。</w:t>
      </w:r>
    </w:p>
    <w:p>
      <w:pPr>
        <w:widowControl/>
        <w:numPr>
          <w:ilvl w:val="0"/>
          <w:numId w:val="0"/>
        </w:numPr>
        <w:ind w:firstLine="640"/>
        <w:jc w:val="left"/>
        <w:outlineLvl w:val="1"/>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2）负责全市</w:t>
      </w:r>
      <w:r>
        <w:rPr>
          <w:rFonts w:hint="eastAsia" w:ascii="仿宋_GB2312" w:hAnsi="宋体" w:eastAsia="仿宋_GB2312" w:cs="宋体"/>
          <w:sz w:val="32"/>
          <w:szCs w:val="32"/>
        </w:rPr>
        <w:t>农机驾驶操作人员考试、考核和驾驶证核发等管理工作</w:t>
      </w:r>
      <w:r>
        <w:rPr>
          <w:rFonts w:hint="eastAsia" w:ascii="仿宋_GB2312" w:hAnsi="宋体" w:eastAsia="仿宋_GB2312" w:cs="宋体"/>
          <w:sz w:val="32"/>
          <w:szCs w:val="32"/>
          <w:lang w:eastAsia="zh-CN"/>
        </w:rPr>
        <w:t>。</w:t>
      </w:r>
    </w:p>
    <w:p>
      <w:pPr>
        <w:widowControl/>
        <w:numPr>
          <w:ilvl w:val="0"/>
          <w:numId w:val="0"/>
        </w:numPr>
        <w:ind w:firstLine="640"/>
        <w:jc w:val="left"/>
        <w:outlineLvl w:val="1"/>
        <w:rPr>
          <w:rFonts w:hint="eastAsia" w:ascii="仿宋_GB2312" w:hAnsi="宋体" w:eastAsia="仿宋_GB2312" w:cs="宋体"/>
          <w:kern w:val="0"/>
          <w:sz w:val="32"/>
          <w:szCs w:val="32"/>
          <w:highlight w:val="none"/>
          <w:lang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组织农业机械技术检验，开展农机安全检查和安全宣传教育，执行对农机违法行为的扣押、处罚，负责农机事故应急管理和重大农机事故的调查处理等。</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eastAsia" w:ascii="仿宋_GB2312" w:hAnsi="宋体" w:eastAsia="仿宋_GB2312" w:cs="宋体"/>
          <w:color w:val="000000"/>
          <w:sz w:val="32"/>
          <w:szCs w:val="32"/>
          <w:highlight w:val="none"/>
          <w:lang w:eastAsia="zh-CN"/>
        </w:rPr>
      </w:pPr>
      <w:r>
        <w:rPr>
          <w:rFonts w:hint="eastAsia" w:ascii="仿宋_GB2312" w:hAnsi="宋体" w:eastAsia="仿宋_GB2312" w:cs="宋体"/>
          <w:color w:val="000000"/>
          <w:sz w:val="32"/>
          <w:szCs w:val="32"/>
          <w:highlight w:val="none"/>
        </w:rPr>
        <w:t>许昌市农机安全监理所</w:t>
      </w:r>
      <w:r>
        <w:rPr>
          <w:rFonts w:hint="eastAsia" w:ascii="仿宋_GB2312" w:hAnsi="宋体" w:eastAsia="仿宋_GB2312" w:cs="宋体"/>
          <w:color w:val="000000"/>
          <w:sz w:val="32"/>
          <w:szCs w:val="32"/>
          <w:highlight w:val="none"/>
          <w:lang w:eastAsia="zh-CN"/>
        </w:rPr>
        <w:t>内设机构</w:t>
      </w:r>
      <w:r>
        <w:rPr>
          <w:rFonts w:hint="eastAsia" w:ascii="仿宋_GB2312" w:hAnsi="宋体" w:eastAsia="仿宋_GB2312" w:cs="宋体"/>
          <w:color w:val="000000"/>
          <w:sz w:val="32"/>
          <w:szCs w:val="32"/>
          <w:highlight w:val="none"/>
          <w:lang w:val="en-US" w:eastAsia="zh-CN"/>
        </w:rPr>
        <w:t>3个，包括：</w:t>
      </w:r>
      <w:r>
        <w:rPr>
          <w:rFonts w:hint="eastAsia" w:ascii="仿宋_GB2312" w:hAnsi="宋体" w:eastAsia="仿宋_GB2312" w:cs="宋体"/>
          <w:color w:val="000000"/>
          <w:sz w:val="32"/>
          <w:szCs w:val="32"/>
          <w:highlight w:val="none"/>
          <w:lang w:eastAsia="zh-CN"/>
        </w:rPr>
        <w:t>办公室、业务室、财务室。</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宋体" w:eastAsia="仿宋_GB2312" w:cs="宋体"/>
          <w:sz w:val="32"/>
          <w:szCs w:val="32"/>
          <w:lang w:val="en-US" w:eastAsia="zh-CN"/>
        </w:rPr>
        <w:t>许昌市农机安全监理所部门决算包括：本级</w:t>
      </w:r>
      <w:r>
        <w:rPr>
          <w:rFonts w:hint="eastAsia" w:ascii="仿宋_GB2312" w:hAnsi="仿宋_GB2312" w:eastAsia="仿宋_GB2312" w:cs="仿宋_GB2312"/>
          <w:color w:val="auto"/>
          <w:kern w:val="0"/>
          <w:sz w:val="32"/>
          <w:szCs w:val="32"/>
          <w:highlight w:val="none"/>
          <w:lang w:val="en-US" w:eastAsia="zh-CN"/>
        </w:rPr>
        <w:t>决算（1个）。</w:t>
      </w:r>
    </w:p>
    <w:p>
      <w:pPr>
        <w:widowControl w:val="0"/>
        <w:numPr>
          <w:ilvl w:val="0"/>
          <w:numId w:val="0"/>
        </w:numPr>
        <w:wordWrap/>
        <w:adjustRightInd/>
        <w:snapToGrid/>
        <w:spacing w:line="560" w:lineRule="exact"/>
        <w:ind w:left="0" w:leftChars="0" w:right="0" w:firstLine="640" w:firstLineChars="200"/>
        <w:jc w:val="both"/>
        <w:textAlignment w:val="auto"/>
        <w:outlineLvl w:val="9"/>
        <w:rPr>
          <w:rFonts w:hint="eastAsia" w:ascii="仿宋_GB2312" w:hAnsi="宋体" w:eastAsia="仿宋_GB2312" w:cs="宋体"/>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w:t>
      </w:r>
      <w:r>
        <w:rPr>
          <w:rFonts w:hint="eastAsia" w:ascii="仿宋_GB2312" w:hAnsi="宋体" w:eastAsia="仿宋_GB2312" w:cs="宋体"/>
          <w:sz w:val="32"/>
          <w:szCs w:val="32"/>
          <w:lang w:val="en-US" w:eastAsia="zh-CN"/>
        </w:rPr>
        <w:t>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宋体" w:eastAsia="仿宋_GB2312" w:cs="宋体"/>
          <w:sz w:val="32"/>
          <w:szCs w:val="32"/>
          <w:lang w:val="en-US" w:eastAsia="zh-CN"/>
        </w:rPr>
        <w:t>1.许昌市农机安全监理所</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4"/>
        <w:gridCol w:w="826"/>
        <w:gridCol w:w="1103"/>
        <w:gridCol w:w="4427"/>
        <w:gridCol w:w="826"/>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3920" w:type="dxa"/>
            <w:gridSpan w:val="6"/>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4704"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82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0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42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2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034"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4704" w:type="dxa"/>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82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0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42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2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034"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663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7287"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0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42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203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26"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42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826"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3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w:t>
            </w: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203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203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03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203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w:t>
            </w:r>
          </w:p>
        </w:tc>
        <w:tc>
          <w:tcPr>
            <w:tcW w:w="442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203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w:t>
            </w:r>
          </w:p>
        </w:tc>
        <w:tc>
          <w:tcPr>
            <w:tcW w:w="4427"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03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0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442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203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470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26" w:type="dxa"/>
            <w:tcBorders>
              <w:top w:val="nil"/>
              <w:left w:val="nil"/>
              <w:bottom w:val="single" w:color="000000" w:sz="8"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0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c>
          <w:tcPr>
            <w:tcW w:w="442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82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203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3920" w:type="dxa"/>
            <w:gridSpan w:val="6"/>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6"/>
        <w:gridCol w:w="4464"/>
        <w:gridCol w:w="908"/>
        <w:gridCol w:w="1023"/>
        <w:gridCol w:w="1080"/>
        <w:gridCol w:w="1201"/>
        <w:gridCol w:w="1176"/>
        <w:gridCol w:w="1176"/>
        <w:gridCol w:w="1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3800" w:type="dxa"/>
            <w:gridSpan w:val="9"/>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930" w:type="dxa"/>
            <w:gridSpan w:val="2"/>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2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8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1"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7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7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06"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930" w:type="dxa"/>
            <w:gridSpan w:val="2"/>
            <w:tcBorders>
              <w:top w:val="nil"/>
              <w:left w:val="nil"/>
              <w:bottom w:val="nil"/>
              <w:right w:val="nil"/>
            </w:tcBorders>
            <w:noWrap w:val="0"/>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9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2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8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01"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7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482"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5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90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023"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08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201"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17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17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30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66"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46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9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4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5930" w:type="dxa"/>
            <w:gridSpan w:val="2"/>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9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2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8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01"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7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7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30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5930" w:type="dxa"/>
            <w:gridSpan w:val="2"/>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140.11</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140.11</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16.80</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16.80</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16.80</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16.80</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9.35</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9.35</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7.46</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7.46</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6.92</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6.92</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6.92</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6.92</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3.57</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3.57</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3.35</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3.35</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115.73</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115.73</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115.73</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115.73</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4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2130101</w:t>
            </w:r>
          </w:p>
        </w:tc>
        <w:tc>
          <w:tcPr>
            <w:tcW w:w="446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9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115.73</w:t>
            </w:r>
          </w:p>
        </w:tc>
        <w:tc>
          <w:tcPr>
            <w:tcW w:w="102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115.73</w:t>
            </w:r>
          </w:p>
        </w:tc>
        <w:tc>
          <w:tcPr>
            <w:tcW w:w="10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3800" w:type="dxa"/>
            <w:gridSpan w:val="9"/>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pPr w:leftFromText="180" w:rightFromText="180" w:vertAnchor="text" w:horzAnchor="page" w:tblpX="1575" w:tblpY="3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
        <w:gridCol w:w="319"/>
        <w:gridCol w:w="900"/>
        <w:gridCol w:w="3772"/>
        <w:gridCol w:w="1444"/>
        <w:gridCol w:w="1409"/>
        <w:gridCol w:w="1386"/>
        <w:gridCol w:w="1416"/>
        <w:gridCol w:w="1308"/>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3780" w:type="dxa"/>
            <w:gridSpan w:val="10"/>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19"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31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90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77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4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0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8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1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07"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5310" w:type="dxa"/>
            <w:gridSpan w:val="4"/>
            <w:tcBorders>
              <w:top w:val="nil"/>
              <w:left w:val="nil"/>
              <w:bottom w:val="nil"/>
              <w:right w:val="nil"/>
            </w:tcBorders>
            <w:noWrap w:val="0"/>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144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09"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8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1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815"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531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44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409"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38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416"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30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507"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538"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377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4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53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3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5310"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44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09"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8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1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5310"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152.67</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152.67</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9.95</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9.95</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2130101</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125.78</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125.78</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38"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377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44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0.62</w:t>
            </w:r>
          </w:p>
        </w:tc>
        <w:tc>
          <w:tcPr>
            <w:tcW w:w="1409"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0.62</w:t>
            </w:r>
          </w:p>
        </w:tc>
        <w:tc>
          <w:tcPr>
            <w:tcW w:w="138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5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3780" w:type="dxa"/>
            <w:gridSpan w:val="10"/>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4"/>
        <w:gridCol w:w="507"/>
        <w:gridCol w:w="1008"/>
        <w:gridCol w:w="3495"/>
        <w:gridCol w:w="684"/>
        <w:gridCol w:w="1104"/>
        <w:gridCol w:w="1164"/>
        <w:gridCol w:w="1176"/>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3840" w:type="dxa"/>
            <w:gridSpan w:val="9"/>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84"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50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49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68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7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18"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284" w:type="dxa"/>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507"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0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349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68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7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18"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479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041"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07"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00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3495"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8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10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6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17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41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328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07"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349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684"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6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7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41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0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w:t>
            </w: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0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1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0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1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0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1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0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1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u w:val="none"/>
              </w:rPr>
            </w:pP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0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140.11</w:t>
            </w:r>
          </w:p>
        </w:tc>
        <w:tc>
          <w:tcPr>
            <w:tcW w:w="349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0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c>
          <w:tcPr>
            <w:tcW w:w="11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0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w:t>
            </w:r>
          </w:p>
        </w:tc>
        <w:tc>
          <w:tcPr>
            <w:tcW w:w="3495"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0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w:t>
            </w:r>
          </w:p>
        </w:tc>
        <w:tc>
          <w:tcPr>
            <w:tcW w:w="349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07"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00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349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1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284"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07" w:type="dxa"/>
            <w:tcBorders>
              <w:top w:val="nil"/>
              <w:left w:val="nil"/>
              <w:bottom w:val="single" w:color="000000" w:sz="8"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00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c>
          <w:tcPr>
            <w:tcW w:w="3495"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68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10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c>
          <w:tcPr>
            <w:tcW w:w="116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152.67</w:t>
            </w:r>
          </w:p>
        </w:tc>
        <w:tc>
          <w:tcPr>
            <w:tcW w:w="117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3840" w:type="dxa"/>
            <w:gridSpan w:val="9"/>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0"/>
        <w:gridCol w:w="255"/>
        <w:gridCol w:w="255"/>
        <w:gridCol w:w="4551"/>
        <w:gridCol w:w="1573"/>
        <w:gridCol w:w="1542"/>
        <w:gridCol w:w="2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3760" w:type="dxa"/>
            <w:gridSpan w:val="7"/>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40"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2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551"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7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4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344"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40" w:type="dxa"/>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2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55"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551"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73"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4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344"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30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459"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750"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551"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73"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54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34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75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5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301"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573"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54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34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8301"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152.67</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152.67</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18.09</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2080501</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行政单位离退休</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9.95</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9.95</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7.53</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2101101</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行政单位医疗</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2101103</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农林水支出</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农业农村</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126.40</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2130101</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行政运行</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125.78</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125.78</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50" w:type="dxa"/>
            <w:gridSpan w:val="3"/>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2130104</w:t>
            </w:r>
          </w:p>
        </w:tc>
        <w:tc>
          <w:tcPr>
            <w:tcW w:w="4551"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事业运行</w:t>
            </w:r>
          </w:p>
        </w:tc>
        <w:tc>
          <w:tcPr>
            <w:tcW w:w="1573"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0.62</w:t>
            </w:r>
          </w:p>
        </w:tc>
        <w:tc>
          <w:tcPr>
            <w:tcW w:w="1542"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0.62</w:t>
            </w:r>
          </w:p>
        </w:tc>
        <w:tc>
          <w:tcPr>
            <w:tcW w:w="23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3760" w:type="dxa"/>
            <w:gridSpan w:val="7"/>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2776"/>
        <w:gridCol w:w="1128"/>
        <w:gridCol w:w="792"/>
        <w:gridCol w:w="2004"/>
        <w:gridCol w:w="1140"/>
        <w:gridCol w:w="828"/>
        <w:gridCol w:w="2856"/>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790" w:type="dxa"/>
            <w:gridSpan w:val="9"/>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w:t>
            </w:r>
            <w:r>
              <w:rPr>
                <w:rFonts w:hint="eastAsia" w:ascii="宋体" w:hAnsi="宋体" w:cs="宋体"/>
                <w:i w:val="0"/>
                <w:iCs w:val="0"/>
                <w:color w:val="000000"/>
                <w:kern w:val="0"/>
                <w:sz w:val="30"/>
                <w:szCs w:val="30"/>
                <w:u w:val="none"/>
                <w:lang w:val="en-US" w:eastAsia="zh-CN"/>
              </w:rPr>
              <w:t>明细</w:t>
            </w:r>
            <w:r>
              <w:rPr>
                <w:rFonts w:hint="eastAsia" w:ascii="宋体" w:hAnsi="宋体" w:eastAsia="宋体" w:cs="宋体"/>
                <w:i w:val="0"/>
                <w:iCs w:val="0"/>
                <w:color w:val="000000"/>
                <w:kern w:val="0"/>
                <w:sz w:val="30"/>
                <w:szCs w:val="30"/>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66"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p>
            <w:pPr>
              <w:rPr>
                <w:rFonts w:hint="eastAsia" w:ascii="Arial" w:hAnsi="Arial" w:cs="Arial"/>
                <w:i w:val="0"/>
                <w:iCs w:val="0"/>
                <w:color w:val="000000"/>
                <w:sz w:val="18"/>
                <w:szCs w:val="18"/>
                <w:u w:val="none"/>
              </w:rPr>
            </w:pPr>
          </w:p>
        </w:tc>
        <w:tc>
          <w:tcPr>
            <w:tcW w:w="277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2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79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0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2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85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500"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462" w:type="dxa"/>
            <w:gridSpan w:val="4"/>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20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82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4356"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120"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77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2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9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00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14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82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85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500"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121.57</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21.15</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31.98</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2.48</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20.91</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42.07</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8.14</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0.78</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0.11</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3.64</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0.50</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0.11</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2.06</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7.57</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3.25</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9.95</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9.95</w:t>
            </w: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6.11</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0.65</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0.95</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w:t>
            </w:r>
          </w:p>
        </w:tc>
        <w:tc>
          <w:tcPr>
            <w:tcW w:w="828"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285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114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6.22</w:t>
            </w:r>
          </w:p>
        </w:tc>
        <w:tc>
          <w:tcPr>
            <w:tcW w:w="82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8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2776"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8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77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792"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004" w:type="dxa"/>
            <w:tcBorders>
              <w:top w:val="nil"/>
              <w:left w:val="nil"/>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11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856"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50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42" w:type="dxa"/>
            <w:gridSpan w:val="2"/>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1128"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131.52</w:t>
            </w:r>
          </w:p>
        </w:tc>
        <w:tc>
          <w:tcPr>
            <w:tcW w:w="7620" w:type="dxa"/>
            <w:gridSpan w:val="5"/>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1500"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0" w:type="dxa"/>
            <w:gridSpan w:val="9"/>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6"/>
        <w:gridCol w:w="1166"/>
        <w:gridCol w:w="1166"/>
        <w:gridCol w:w="1012"/>
        <w:gridCol w:w="1166"/>
        <w:gridCol w:w="1012"/>
        <w:gridCol w:w="1166"/>
        <w:gridCol w:w="1166"/>
        <w:gridCol w:w="1166"/>
        <w:gridCol w:w="1120"/>
        <w:gridCol w:w="1224"/>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3622" w:type="dxa"/>
            <w:gridSpan w:val="12"/>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66"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1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1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2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2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92"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510" w:type="dxa"/>
            <w:gridSpan w:val="4"/>
            <w:tcBorders>
              <w:top w:val="nil"/>
              <w:left w:val="nil"/>
              <w:bottom w:val="nil"/>
              <w:right w:val="nil"/>
            </w:tcBorders>
            <w:noWrap w:val="0"/>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1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66"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12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316" w:type="dxa"/>
            <w:gridSpan w:val="2"/>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688"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934" w:type="dxa"/>
            <w:gridSpan w:val="6"/>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66"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6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44"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01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6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66"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510" w:type="dxa"/>
            <w:gridSpan w:val="3"/>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09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1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01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0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22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0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66" w:type="dxa"/>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1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01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66"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2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2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09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66" w:type="dxa"/>
            <w:tcBorders>
              <w:top w:val="nil"/>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1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0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4.00</w:t>
            </w:r>
          </w:p>
        </w:tc>
        <w:tc>
          <w:tcPr>
            <w:tcW w:w="101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w:t>
            </w:r>
          </w:p>
        </w:tc>
        <w:tc>
          <w:tcPr>
            <w:tcW w:w="116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166"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w:t>
            </w:r>
          </w:p>
        </w:tc>
        <w:tc>
          <w:tcPr>
            <w:tcW w:w="11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224" w:type="dxa"/>
            <w:tcBorders>
              <w:top w:val="nil"/>
              <w:left w:val="nil"/>
              <w:bottom w:val="single" w:color="000000" w:sz="4" w:space="0"/>
              <w:right w:val="single" w:color="000000" w:sz="4" w:space="0"/>
            </w:tcBorders>
            <w:noWrap w:val="0"/>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w:t>
            </w:r>
          </w:p>
        </w:tc>
        <w:tc>
          <w:tcPr>
            <w:tcW w:w="10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3622" w:type="dxa"/>
            <w:gridSpan w:val="12"/>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40"/>
        <w:gridCol w:w="1078"/>
        <w:gridCol w:w="1298"/>
        <w:gridCol w:w="1380"/>
        <w:gridCol w:w="1392"/>
        <w:gridCol w:w="1404"/>
        <w:gridCol w:w="1692"/>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466" w:type="dxa"/>
            <w:gridSpan w:val="10"/>
            <w:tcBorders>
              <w:top w:val="nil"/>
              <w:left w:val="nil"/>
              <w:bottom w:val="nil"/>
              <w:right w:val="nil"/>
            </w:tcBorders>
            <w:noWrap w:val="0"/>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816" w:type="dxa"/>
            <w:tcBorders>
              <w:top w:val="nil"/>
              <w:left w:val="nil"/>
              <w:bottom w:val="nil"/>
              <w:right w:val="nil"/>
            </w:tcBorders>
            <w:noWrap w:val="0"/>
            <w:vAlign w:val="bottom"/>
          </w:tcPr>
          <w:p>
            <w:pPr>
              <w:rPr>
                <w:rFonts w:hint="eastAsia" w:ascii="Arial" w:hAnsi="Arial" w:cs="Arial"/>
                <w:i w:val="0"/>
                <w:iCs w:val="0"/>
                <w:color w:val="000000"/>
                <w:sz w:val="18"/>
                <w:szCs w:val="18"/>
                <w:u w:val="none"/>
              </w:rPr>
            </w:pPr>
          </w:p>
        </w:tc>
        <w:tc>
          <w:tcPr>
            <w:tcW w:w="22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24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07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29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8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9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69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944"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356" w:type="dxa"/>
            <w:gridSpan w:val="4"/>
            <w:tcBorders>
              <w:top w:val="nil"/>
              <w:left w:val="nil"/>
              <w:bottom w:val="nil"/>
              <w:right w:val="nil"/>
            </w:tcBorders>
            <w:noWrap w:val="0"/>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：许昌市农机安全监理所</w:t>
            </w:r>
          </w:p>
        </w:tc>
        <w:tc>
          <w:tcPr>
            <w:tcW w:w="1298"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80"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39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404"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692" w:type="dxa"/>
            <w:tcBorders>
              <w:top w:val="nil"/>
              <w:left w:val="nil"/>
              <w:bottom w:val="nil"/>
              <w:right w:val="nil"/>
            </w:tcBorders>
            <w:noWrap w:val="0"/>
            <w:vAlign w:val="bottom"/>
          </w:tcPr>
          <w:p>
            <w:pPr>
              <w:rPr>
                <w:rFonts w:hint="default" w:ascii="Arial" w:hAnsi="Arial" w:cs="Arial"/>
                <w:i w:val="0"/>
                <w:iCs w:val="0"/>
                <w:color w:val="000000"/>
                <w:sz w:val="18"/>
                <w:szCs w:val="18"/>
                <w:u w:val="none"/>
              </w:rPr>
            </w:pPr>
          </w:p>
        </w:tc>
        <w:tc>
          <w:tcPr>
            <w:tcW w:w="1944" w:type="dxa"/>
            <w:tcBorders>
              <w:top w:val="nil"/>
              <w:left w:val="nil"/>
              <w:bottom w:val="nil"/>
              <w:right w:val="nil"/>
            </w:tcBorders>
            <w:noWrap w:val="0"/>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5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298"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380"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488" w:type="dxa"/>
            <w:gridSpan w:val="3"/>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944" w:type="dxa"/>
            <w:vMerge w:val="restart"/>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1078"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2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404"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692" w:type="dxa"/>
            <w:vMerge w:val="restart"/>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9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56"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298"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80"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9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40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92"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944" w:type="dxa"/>
            <w:tcBorders>
              <w:top w:val="nil"/>
              <w:left w:val="nil"/>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56" w:type="dxa"/>
            <w:gridSpan w:val="4"/>
            <w:tcBorders>
              <w:top w:val="nil"/>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2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3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4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6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c>
          <w:tcPr>
            <w:tcW w:w="19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78"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2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8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40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69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9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66" w:type="dxa"/>
            <w:gridSpan w:val="10"/>
            <w:tcBorders>
              <w:top w:val="nil"/>
              <w:left w:val="nil"/>
              <w:bottom w:val="nil"/>
              <w:right w:val="nil"/>
            </w:tcBorders>
            <w:noWrap w:val="0"/>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21</w:t>
      </w:r>
      <w:r>
        <w:rPr>
          <w:rFonts w:hint="eastAsia" w:ascii="黑体" w:hAnsi="黑体" w:eastAsia="黑体" w:cs="黑体"/>
          <w:color w:val="auto"/>
          <w:sz w:val="48"/>
          <w:szCs w:val="48"/>
          <w:highlight w:val="none"/>
          <w:lang w:eastAsia="zh-CN"/>
        </w:rPr>
        <w:t>年度单位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3" w:bottom="1440" w:left="1803" w:header="720" w:footer="720" w:gutter="0"/>
          <w:pgNumType w:fmt="numberInDash"/>
          <w:cols w:space="720" w:num="1"/>
          <w:rtlGutter w:val="0"/>
          <w:docGrid w:type="lines" w:linePitch="317" w:charSpace="0"/>
        </w:sectPr>
      </w:pP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2021年度收、支总计均为152.67万元。与上年度相比，收、支总计各减少5.32万元，下降3.37%。主要原因是</w:t>
      </w:r>
      <w:r>
        <w:rPr>
          <w:rFonts w:hint="eastAsia" w:ascii="仿宋_GB2312" w:hAnsi="仿宋_GB2312" w:eastAsia="仿宋_GB2312" w:cs="仿宋_GB2312"/>
          <w:color w:val="000000"/>
          <w:sz w:val="32"/>
          <w:szCs w:val="32"/>
          <w:highlight w:val="none"/>
          <w:lang w:val="en-US" w:eastAsia="zh-CN"/>
        </w:rPr>
        <w:t>2020年在职转退休1</w:t>
      </w:r>
      <w:r>
        <w:rPr>
          <w:rFonts w:hint="eastAsia" w:ascii="仿宋_GB2312" w:hAnsi="仿宋_GB2312" w:eastAsia="仿宋_GB2312" w:cs="仿宋_GB2312"/>
          <w:color w:val="auto"/>
          <w:sz w:val="32"/>
          <w:szCs w:val="32"/>
          <w:highlight w:val="none"/>
          <w:lang w:val="en-US" w:eastAsia="zh-CN"/>
        </w:rPr>
        <w:t>人，2021年财拨人员经费、公用经费减少。</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widowControl/>
        <w:wordWrap/>
        <w:adjustRightInd/>
        <w:snapToGrid/>
        <w:spacing w:line="590" w:lineRule="exact"/>
        <w:ind w:left="0" w:leftChars="0" w:right="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收入合计140.11万元，其中：财政拨款收入140.11万元，占100%；上级补助收入0.00万元，占0.00%；事业收入0.00万元，占0.00%；经营收入0.00万元，占0.00%；附属单位上缴收入0.00万元，占0.00%；其他收入0.00万元，占0.00%。</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2021年度支出合计152.67万元，其中：基本支出152.67万元，占100%；项目支出0.00万元，占0.00%；上缴上级支出0.00万元，占0.00%；经营支出0.00万元，占0.00%；对附属单位补助支出0.00万元，占0.00%。</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2021年度财政拨款收、支总计均为152.67万元。与上年度相比，财政拨款收、支总计各减少5.32万元，下降3.37%。主要原因是</w:t>
      </w:r>
      <w:r>
        <w:rPr>
          <w:rFonts w:hint="eastAsia" w:ascii="仿宋_GB2312" w:hAnsi="仿宋_GB2312" w:eastAsia="仿宋_GB2312" w:cs="仿宋_GB2312"/>
          <w:color w:val="000000"/>
          <w:sz w:val="32"/>
          <w:szCs w:val="32"/>
          <w:highlight w:val="none"/>
          <w:lang w:val="en-US" w:eastAsia="zh-CN"/>
        </w:rPr>
        <w:t>2020年在职转退休1</w:t>
      </w:r>
      <w:r>
        <w:rPr>
          <w:rFonts w:hint="eastAsia" w:ascii="仿宋_GB2312" w:hAnsi="仿宋_GB2312" w:eastAsia="仿宋_GB2312" w:cs="仿宋_GB2312"/>
          <w:color w:val="auto"/>
          <w:sz w:val="32"/>
          <w:szCs w:val="32"/>
          <w:highlight w:val="none"/>
          <w:lang w:val="en-US" w:eastAsia="zh-CN"/>
        </w:rPr>
        <w:t>人，2021年财拨人员经费、公用经费减少。</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widowControl/>
        <w:wordWrap/>
        <w:adjustRightInd/>
        <w:snapToGrid/>
        <w:spacing w:line="59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widowControl/>
        <w:wordWrap/>
        <w:adjustRightInd/>
        <w:snapToGrid/>
        <w:spacing w:line="59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2021年度一般公共预算财政拨款支出152.67万元，占本年支出合计的100%。与上年度相比，一般公共预算财政拨款支出增加10.26万元，增长7.20%。主要原因是本年度7月养老保险、医疗保险等社保金基数调整增加。</w:t>
      </w:r>
    </w:p>
    <w:p>
      <w:pPr>
        <w:widowControl/>
        <w:wordWrap/>
        <w:adjustRightInd/>
        <w:snapToGrid/>
        <w:spacing w:line="59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widowControl/>
        <w:wordWrap/>
        <w:adjustRightInd/>
        <w:snapToGrid/>
        <w:spacing w:line="590" w:lineRule="exact"/>
        <w:ind w:left="0" w:leftChars="0" w:right="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2021年度一般公共预算财政拨款支出152.67万元，主要用于以下方面：一般公共服务（类）支出0.65万元，占0.43%；</w:t>
      </w:r>
      <w:r>
        <w:rPr>
          <w:rFonts w:hint="eastAsia" w:ascii="仿宋_GB2312" w:eastAsia="仿宋_GB2312"/>
          <w:sz w:val="32"/>
          <w:szCs w:val="32"/>
          <w:lang w:eastAsia="zh-CN"/>
        </w:rPr>
        <w:t>社会保障和就业（类）支出</w:t>
      </w:r>
      <w:r>
        <w:rPr>
          <w:rFonts w:hint="eastAsia" w:ascii="仿宋_GB2312" w:eastAsia="仿宋_GB2312"/>
          <w:sz w:val="32"/>
          <w:szCs w:val="32"/>
          <w:lang w:val="en-US" w:eastAsia="zh-CN"/>
        </w:rPr>
        <w:t>18.09万元，占11.85%；卫生健康（类）支出7.53万元，占4.93%；农林水（类）支出126.40万元，占82.79%。</w:t>
      </w:r>
    </w:p>
    <w:p>
      <w:pPr>
        <w:widowControl/>
        <w:wordWrap/>
        <w:adjustRightInd/>
        <w:snapToGrid/>
        <w:spacing w:line="590" w:lineRule="exact"/>
        <w:ind w:left="0" w:leftChars="0" w:right="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2021年度一般公共预算财政拨款支出年初预算为143.46万元，支出决算为152.67万元，完成年初预算的106.42%。其中：</w:t>
      </w:r>
    </w:p>
    <w:p>
      <w:pPr>
        <w:widowControl/>
        <w:numPr>
          <w:ilvl w:val="0"/>
          <w:numId w:val="3"/>
        </w:numPr>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年初预算为0.65万元，支出决算为0.65万元，完成年初预算的100%。决算数与年初预算数不存在差异。</w:t>
      </w:r>
    </w:p>
    <w:p>
      <w:pPr>
        <w:widowControl/>
        <w:numPr>
          <w:ilvl w:val="0"/>
          <w:numId w:val="3"/>
        </w:numPr>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bCs/>
          <w:color w:val="000000"/>
          <w:sz w:val="32"/>
          <w:szCs w:val="32"/>
          <w:highlight w:val="none"/>
          <w:lang w:val="en-US" w:eastAsia="zh-CN"/>
        </w:rPr>
        <w:t>社会保障和就业支出（类）行政事业单位养老支出（款）行政单位离退休（</w:t>
      </w:r>
      <w:r>
        <w:rPr>
          <w:rFonts w:hint="eastAsia" w:ascii="仿宋_GB2312" w:eastAsia="仿宋_GB2312"/>
          <w:b/>
          <w:bCs/>
          <w:color w:val="000000"/>
          <w:sz w:val="32"/>
          <w:szCs w:val="32"/>
          <w:highlight w:val="none"/>
          <w:lang w:eastAsia="zh-CN"/>
        </w:rPr>
        <w:t>项</w:t>
      </w:r>
      <w:r>
        <w:rPr>
          <w:rFonts w:hint="eastAsia" w:ascii="仿宋_GB2312" w:eastAsia="仿宋_GB2312"/>
          <w:b/>
          <w:bCs/>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年初预算为9.57</w:t>
      </w:r>
      <w:r>
        <w:rPr>
          <w:rFonts w:hint="eastAsia" w:ascii="仿宋_GB2312" w:hAnsi="仿宋_GB2312" w:eastAsia="仿宋_GB2312" w:cs="仿宋_GB2312"/>
          <w:color w:val="auto"/>
          <w:sz w:val="32"/>
          <w:szCs w:val="32"/>
          <w:highlight w:val="none"/>
          <w:lang w:val="en-US" w:eastAsia="zh-CN"/>
        </w:rPr>
        <w:t>万元，支出决算为9.95万元，完成年初预算的103.97%。决算数与年初预算数存在差异的主要原因是退休职工平时健康修养费、文明奖等支出增加。</w:t>
      </w:r>
    </w:p>
    <w:p>
      <w:pPr>
        <w:widowControl/>
        <w:numPr>
          <w:ilvl w:val="0"/>
          <w:numId w:val="3"/>
        </w:numPr>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bCs/>
          <w:sz w:val="32"/>
          <w:szCs w:val="32"/>
          <w:highlight w:val="none"/>
          <w:lang w:val="en-US" w:eastAsia="zh-CN"/>
        </w:rPr>
        <w:t>社会保障和就业支出（类）行政事业单位养老支出（款）机关事业单位基本养老保险缴费支出（</w:t>
      </w:r>
      <w:r>
        <w:rPr>
          <w:rFonts w:hint="eastAsia" w:ascii="仿宋_GB2312" w:eastAsia="仿宋_GB2312"/>
          <w:b/>
          <w:bCs/>
          <w:sz w:val="32"/>
          <w:szCs w:val="32"/>
          <w:highlight w:val="none"/>
          <w:lang w:eastAsia="zh-CN"/>
        </w:rPr>
        <w:t>项</w:t>
      </w:r>
      <w:r>
        <w:rPr>
          <w:rFonts w:hint="eastAsia" w:ascii="仿宋_GB2312" w:eastAsia="仿宋_GB2312"/>
          <w:b/>
          <w:bCs/>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年初预算为7.54万元，支出决算为8.14万元，完成年初预算的107.96%。决算数与年初预算数存在差异的主要原因是本年度7月养老保险金基数调整增加。</w:t>
      </w:r>
    </w:p>
    <w:p>
      <w:pPr>
        <w:widowControl/>
        <w:numPr>
          <w:ilvl w:val="0"/>
          <w:numId w:val="3"/>
        </w:numPr>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bCs/>
          <w:sz w:val="32"/>
          <w:szCs w:val="32"/>
          <w:highlight w:val="none"/>
          <w:lang w:val="en-US" w:eastAsia="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年初预算为3.88万元，支出决算为3.89万元，完成年初预算的100.26</w:t>
      </w:r>
      <w:bookmarkStart w:id="0" w:name="_GoBack"/>
      <w:bookmarkEnd w:id="0"/>
      <w:r>
        <w:rPr>
          <w:rFonts w:hint="eastAsia" w:ascii="仿宋_GB2312" w:hAnsi="仿宋_GB2312" w:eastAsia="仿宋_GB2312" w:cs="仿宋_GB2312"/>
          <w:color w:val="auto"/>
          <w:sz w:val="32"/>
          <w:szCs w:val="32"/>
          <w:highlight w:val="none"/>
          <w:lang w:val="en-US" w:eastAsia="zh-CN"/>
        </w:rPr>
        <w:t>%。决算数与年初预算数存在差以异的主要原因是本年度7月医疗保险金基数调整增加。</w:t>
      </w:r>
    </w:p>
    <w:p>
      <w:pPr>
        <w:widowControl/>
        <w:numPr>
          <w:ilvl w:val="0"/>
          <w:numId w:val="3"/>
        </w:numPr>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bCs/>
          <w:sz w:val="32"/>
          <w:szCs w:val="32"/>
          <w:highlight w:val="none"/>
          <w:lang w:val="en-US" w:eastAsia="zh-CN"/>
        </w:rPr>
        <w:t>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年初预算为3.69万元，支出决算为3.64万元，完成年初预算的98.64%。决算数与年初预算数存在差异的主要原因是以前年度有结余资金。</w:t>
      </w:r>
    </w:p>
    <w:p>
      <w:pPr>
        <w:widowControl/>
        <w:numPr>
          <w:ilvl w:val="0"/>
          <w:numId w:val="3"/>
        </w:numPr>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bCs/>
          <w:sz w:val="32"/>
          <w:szCs w:val="32"/>
          <w:highlight w:val="none"/>
          <w:lang w:eastAsia="zh-CN"/>
        </w:rPr>
        <w:t>农林水支出（类）农业农村（款）行政运行（项）。</w:t>
      </w:r>
      <w:r>
        <w:rPr>
          <w:rFonts w:hint="eastAsia" w:ascii="仿宋_GB2312" w:hAnsi="仿宋_GB2312" w:eastAsia="仿宋_GB2312" w:cs="仿宋_GB2312"/>
          <w:color w:val="auto"/>
          <w:sz w:val="32"/>
          <w:szCs w:val="32"/>
          <w:highlight w:val="none"/>
          <w:lang w:val="en-US" w:eastAsia="zh-CN"/>
        </w:rPr>
        <w:t>年初预算为118.13万元，支出决算为125.78万元，完成年初预算的106.48%。决算数与年初预算数存在差异的主要原因是职工正常晋职晋档工资、福利等增加。</w:t>
      </w:r>
    </w:p>
    <w:p>
      <w:pPr>
        <w:widowControl/>
        <w:numPr>
          <w:ilvl w:val="0"/>
          <w:numId w:val="3"/>
        </w:numPr>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bCs/>
          <w:sz w:val="32"/>
          <w:szCs w:val="32"/>
          <w:highlight w:val="none"/>
          <w:lang w:eastAsia="zh-CN"/>
        </w:rPr>
        <w:t>农林水支出（类）农业农村（款）事业运行（项</w:t>
      </w:r>
      <w:r>
        <w:rPr>
          <w:rFonts w:hint="eastAsia" w:ascii="仿宋_GB2312" w:eastAsia="仿宋_GB2312"/>
          <w:b/>
          <w:bCs/>
          <w:sz w:val="32"/>
          <w:szCs w:val="32"/>
          <w:highlight w:val="none"/>
          <w:lang w:val="en-US" w:eastAsia="zh-CN"/>
        </w:rPr>
        <w:t>）</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年初预算为0.00万元，支出决算为0.62万元。决算数与年初预算数存在差异的主要原因是财政拨款时将部分行政运行经费拨入事业运行经费。</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基本支出152.67万元。其中：人员经费131.52万元，主要包括：基本工资、津贴补贴、奖金、机关事业单位基本养老保险缴费、职工基本医疗保险缴费、公务员医疗补助缴费、其他社会保险缴费、住房公积金、其他工资福利支出、退休费；公用经费21.15万元，主要包括：办公费、水费、电费、邮电费、差旅费、物业管理费、劳务费、工会经费、福利费、公务用车运行维护费、其他交通费用。</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七、一般公共预算财政拨款“三公”经费支出决算情况说明</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（一）“三公”经费财政拨款支出决算总体情况说明。</w:t>
      </w:r>
    </w:p>
    <w:p>
      <w:pPr>
        <w:widowControl/>
        <w:wordWrap/>
        <w:adjustRightInd/>
        <w:snapToGrid/>
        <w:spacing w:line="59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2021年度“三公”经费财政拨款支出预算为4.00万元，支出决算为1.27万元，完成预算的31.75%。2021年度“三公”经费支出决算数与预算数存在差异的主要原因是厉行节俭，压缩三公经费支出。</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2021年度“三公”经费财政拨款支出决算中，因公出国（境）费支出决算0.00万元；公务用车购置及运行费支出决算1.27万元，完成预算的31.75%，占100%；公务接待费支出决算0.00万元。具体情况如下：</w:t>
      </w:r>
    </w:p>
    <w:p>
      <w:pPr>
        <w:widowControl/>
        <w:wordWrap/>
        <w:adjustRightInd/>
        <w:snapToGrid/>
        <w:spacing w:line="590" w:lineRule="exact"/>
        <w:ind w:left="0" w:leftChars="0" w:right="0" w:firstLine="643" w:firstLineChars="200"/>
        <w:jc w:val="both"/>
        <w:textAlignment w:val="auto"/>
        <w:outlineLvl w:val="9"/>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预算为0.00万元，支出决算为0.00万元。决算数与预算数不存在差异。因公出国（境）团组数0个，因公出国（境）人次数0人。</w:t>
      </w:r>
    </w:p>
    <w:p>
      <w:pPr>
        <w:widowControl/>
        <w:wordWrap/>
        <w:adjustRightInd/>
        <w:snapToGrid/>
        <w:spacing w:line="590" w:lineRule="exact"/>
        <w:ind w:left="0" w:leftChars="0" w:right="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预算为4.00万元，支出决算为1.27万元，完成预算的31.75%。决算数与预算数存在差异的主要原因是厉行节俭，压缩三公经费支出。</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1.27万元。主要用于</w:t>
      </w:r>
      <w:r>
        <w:rPr>
          <w:rFonts w:hint="eastAsia" w:ascii="仿宋_GB2312" w:eastAsia="仿宋_GB2312"/>
          <w:sz w:val="32"/>
          <w:szCs w:val="32"/>
        </w:rPr>
        <w:t>公务用车燃料费、维修费、过路过桥费、保险费等支</w:t>
      </w:r>
      <w:r>
        <w:rPr>
          <w:rFonts w:hint="eastAsia" w:ascii="仿宋_GB2312" w:eastAsia="仿宋_GB2312"/>
          <w:sz w:val="32"/>
          <w:szCs w:val="32"/>
          <w:lang w:eastAsia="zh-CN"/>
        </w:rPr>
        <w:t>出</w:t>
      </w:r>
      <w:r>
        <w:rPr>
          <w:rFonts w:hint="eastAsia" w:ascii="仿宋_GB2312" w:hAnsi="仿宋_GB2312" w:eastAsia="仿宋_GB2312" w:cs="仿宋_GB2312"/>
          <w:color w:val="auto"/>
          <w:sz w:val="32"/>
          <w:szCs w:val="32"/>
          <w:highlight w:val="none"/>
          <w:lang w:val="en-US" w:eastAsia="zh-CN"/>
        </w:rPr>
        <w:t>。2021年期末，单位开支财政拨款的公务用车保有量为1辆。</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预算为0.00万元，支出决算为0.00万元。决算数与预算数不存在差异。其中：</w:t>
      </w:r>
    </w:p>
    <w:p>
      <w:pPr>
        <w:widowControl/>
        <w:numPr>
          <w:ilvl w:val="0"/>
          <w:numId w:val="0"/>
        </w:numPr>
        <w:wordWrap/>
        <w:adjustRightInd/>
        <w:snapToGrid/>
        <w:spacing w:line="590" w:lineRule="exact"/>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0.00万元。2021年共接待国（境）外来访团组0个、来访外宾0人次（不包括陪同人员）。</w:t>
      </w:r>
    </w:p>
    <w:p>
      <w:pPr>
        <w:widowControl/>
        <w:numPr>
          <w:ilvl w:val="0"/>
          <w:numId w:val="0"/>
        </w:numPr>
        <w:wordWrap/>
        <w:adjustRightInd/>
        <w:snapToGrid/>
        <w:spacing w:line="590" w:lineRule="exact"/>
        <w:ind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0.00万元。2021年共接待国内来访团组0个、来宾0人次（不包括陪同人员）。</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2021年度政府性基金预算财政拨款支出年初预算为0.00万元，支出决算为0.00万元。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情况说明：</w:t>
      </w:r>
      <w:r>
        <w:rPr>
          <w:rFonts w:hint="eastAsia" w:ascii="仿宋_GB2312" w:hAnsi="仿宋_GB2312" w:eastAsia="仿宋_GB2312" w:cs="仿宋_GB2312"/>
          <w:b w:val="0"/>
          <w:bCs w:val="0"/>
          <w:color w:val="000000"/>
          <w:sz w:val="32"/>
          <w:szCs w:val="32"/>
          <w:highlight w:val="none"/>
          <w:lang w:val="en-US" w:eastAsia="zh-CN"/>
        </w:rPr>
        <w:t>我单位2021年度没有政府性基金收入，也没有使用政府性基金安排的支出。</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九、机关运行经费支出情况说明</w:t>
      </w:r>
    </w:p>
    <w:p>
      <w:pPr>
        <w:widowControl/>
        <w:wordWrap/>
        <w:adjustRightInd/>
        <w:snapToGrid/>
        <w:spacing w:line="59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2021年度机关运行经费年初预算为21.90万元，支出决算为21.15万元，完成年初预算的96.58%。决算数与年初预算数存在差异的主要原因厉行节俭，压缩公用经费支出。</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十、政府采购支出情况说明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2021年度政府采购支出总额0.00万元，其中：政府采购货物支出0.00万元、政府采购工程支出0.00万元、政府采购服务支出0.00万元。授予中小企业合同金额0.00万元，其中：授予小微企业合同金额0.00万元。</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十一、国有资产占用情况说明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期末，我单位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十二、预算绩效情况说明</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spacing w:line="360" w:lineRule="auto"/>
        <w:ind w:firstLine="640" w:firstLineChars="200"/>
        <w:rPr>
          <w:rFonts w:hint="eastAsia" w:ascii="楷体_GB2312" w:hAnsi="楷体_GB2312" w:eastAsia="楷体_GB2312" w:cs="楷体_GB2312"/>
          <w:b/>
          <w:bCs/>
          <w:color w:val="auto"/>
          <w:sz w:val="32"/>
          <w:szCs w:val="32"/>
          <w:highlight w:val="yellow"/>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许昌市人民政府关于全面实施预算绩效管理的实施意见》（许发〔2021〕13号）文件要求，对本单位整体支出和项目支出开展全过程预算绩效管理。我单位建立了绩效评价管理制度，组织相关人员参加了各类培训。</w:t>
      </w:r>
      <w:r>
        <w:rPr>
          <w:rFonts w:hint="eastAsia" w:ascii="仿宋_GB2312" w:hAnsi="仿宋_GB2312" w:eastAsia="仿宋_GB2312" w:cs="仿宋_GB2312"/>
          <w:sz w:val="32"/>
          <w:szCs w:val="32"/>
        </w:rPr>
        <w:t>我单位整体支出绩效严格按照绩效管理制度执行，组织财务人员及项目负责人等培训学习绩效管理实施意见文件，宣传到涉及绩效管理的各个业务科室。预算编制完整并严格按照计划执行，按时完成预算上报和公开。</w:t>
      </w:r>
    </w:p>
    <w:p>
      <w:pPr>
        <w:widowControl/>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通过自评，较好完成了年度总体目标和年度主要任务，整体绩效自评得分为92分。二是项目绩效自评情况。我单位共有0个项目批复了绩效目标，项目金额0.00万元。</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tabs>
          <w:tab w:val="left" w:pos="3570"/>
        </w:tabs>
        <w:wordWrap/>
        <w:adjustRightInd/>
        <w:snapToGrid/>
        <w:spacing w:line="590" w:lineRule="exact"/>
        <w:ind w:left="0" w:leftChars="0"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590" w:lineRule="exact"/>
        <w:ind w:left="0" w:leftChars="0" w:right="0" w:firstLine="640"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3" w:bottom="1440" w:left="1803" w:header="720" w:footer="720" w:gutter="0"/>
          <w:pgNumType w:fmt="numberInDash"/>
          <w:cols w:space="720" w:num="1"/>
          <w:rtlGutter w:val="0"/>
          <w:docGrid w:type="lines" w:linePitch="317" w:charSpace="0"/>
        </w:sectPr>
      </w:pP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widowControl/>
        <w:wordWrap/>
        <w:adjustRightInd/>
        <w:snapToGrid/>
        <w:spacing w:line="590" w:lineRule="exact"/>
        <w:ind w:left="0" w:leftChars="0" w:right="0" w:firstLine="640" w:firstLineChars="200"/>
        <w:jc w:val="both"/>
        <w:textAlignment w:val="auto"/>
        <w:outlineLvl w:val="1"/>
        <w:rPr>
          <w:rFonts w:hint="eastAsia" w:ascii="黑体" w:hAnsi="黑体" w:eastAsia="黑体" w:cs="黑体"/>
          <w:color w:val="auto"/>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803" w:bottom="1440" w:left="1803" w:header="720" w:footer="720" w:gutter="0"/>
          <w:pgNumType w:fmt="numberInDash"/>
          <w:cols w:space="720" w:num="1"/>
          <w:rtlGutter w:val="0"/>
          <w:docGrid w:type="lines" w:linePitch="317" w:charSpace="0"/>
        </w:sectPr>
      </w:pP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widowControl/>
        <w:wordWrap/>
        <w:adjustRightInd/>
        <w:snapToGrid/>
        <w:spacing w:line="59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440" w:right="1803" w:bottom="1440" w:left="1803" w:header="720" w:footer="720" w:gutter="0"/>
      <w:pgNumType w:fmt="numberInDash"/>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rect>
          </w:pict>
        </mc:Fallback>
      </mc:AlternateContent>
    </w: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1">
                      <a:spAutoFit/>
                    </wps:bodyPr>
                  </wps:wsp>
                </a:graphicData>
              </a:graphic>
            </wp:anchor>
          </w:drawing>
        </mc:Choice>
        <mc:Fallback>
          <w:pict>
            <v:rect id="矩形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qoxfSsABAACMAwAADgAAAAAAAAABACAAAAAfAQAAZHJzL2Uyb0RvYy54bWxQSwUG&#10;AAAAAAYABgBZAQAAUQUAAAAA&#10;">
              <v:fill on="f" focussize="0,0"/>
              <v:stroke on="f"/>
              <v:imagedata o:title=""/>
              <o:lock v:ext="edit" aspectratio="f"/>
              <v:textbox inset="0mm,0mm,0mm,0mm" style="mso-fit-shape-to-text:t;">
                <w:txbxContent>
                  <w:p>
                    <w:pPr>
                      <w:rPr>
                        <w:rFonts w:hint="eastAsia"/>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umfUO/AQAAjA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5c8LShf/6+v3nj2+sSt4M&#10;AWtqeQwPMGdIYRI6dmDTmySwMft5ufqpxsgkFavNerMpyWpJZ0tCOMXT5wEw3itvWQoaDnRh2Udx&#10;/oBxal1a0jTn77QxVBe1cX8VCDNVisR44piiOB7GmfjBtxeSOtBdN9zRanNm3juyMq3FEsASHJbg&#10;FEAfe6JWZV4Ybk+RSGRuacIEOw+mS8rq5oVKW/Bnnruefq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7pn1DvwEAAIwDAAAOAAAAAAAAAAEAIAAAAB8BAABkcnMvZTJvRG9jLnhtbFBLBQYA&#10;AAAABgAGAFkBAABQ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- 2 -</w:t>
                    </w:r>
                    <w:r>
                      <w:rPr>
                        <w:rFonts w:hint="eastAsia"/>
                        <w:sz w:val="1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B"/>
    <w:multiLevelType w:val="singleLevel"/>
    <w:tmpl w:val="0000000B"/>
    <w:lvl w:ilvl="0" w:tentative="0">
      <w:start w:val="1"/>
      <w:numFmt w:val="chineseCounting"/>
      <w:suff w:val="nothing"/>
      <w:lvlText w:val="%1、"/>
      <w:lvlJc w:val="left"/>
    </w:lvl>
  </w:abstractNum>
  <w:abstractNum w:abstractNumId="2">
    <w:nsid w:val="0000000C"/>
    <w:multiLevelType w:val="singleLevel"/>
    <w:tmpl w:val="0000000C"/>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9"/>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4B27D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9"/>
    <w:uiPriority w:val="0"/>
    <w:rPr>
      <w:kern w:val="2"/>
      <w:sz w:val="18"/>
      <w:szCs w:val="18"/>
    </w:rPr>
  </w:style>
  <w:style w:type="paragraph" w:styleId="5">
    <w:name w:val="footer"/>
    <w:basedOn w:val="1"/>
    <w:link w:val="20"/>
    <w:uiPriority w:val="0"/>
    <w:pPr>
      <w:tabs>
        <w:tab w:val="center" w:pos="4153"/>
        <w:tab w:val="right" w:pos="8306"/>
      </w:tabs>
      <w:snapToGrid w:val="0"/>
      <w:jc w:val="left"/>
    </w:pPr>
    <w:rPr>
      <w:kern w:val="2"/>
      <w:sz w:val="18"/>
      <w:szCs w:val="18"/>
    </w:rPr>
  </w:style>
  <w:style w:type="paragraph" w:styleId="6">
    <w:name w:val="header"/>
    <w:basedOn w:val="1"/>
    <w:link w:val="17"/>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font51"/>
    <w:basedOn w:val="9"/>
    <w:uiPriority w:val="0"/>
    <w:rPr>
      <w:rFonts w:hint="eastAsia" w:ascii="宋体" w:hAnsi="宋体" w:eastAsia="宋体" w:cs="宋体"/>
      <w:color w:val="000000"/>
      <w:sz w:val="24"/>
      <w:szCs w:val="24"/>
      <w:u w:val="none"/>
    </w:rPr>
  </w:style>
  <w:style w:type="character" w:customStyle="1" w:styleId="14">
    <w:name w:val="font11"/>
    <w:basedOn w:val="9"/>
    <w:uiPriority w:val="0"/>
    <w:rPr>
      <w:rFonts w:hint="eastAsia" w:ascii="宋体" w:hAnsi="宋体" w:eastAsia="宋体" w:cs="宋体"/>
      <w:color w:val="000000"/>
      <w:sz w:val="20"/>
      <w:szCs w:val="20"/>
      <w:u w:val="none"/>
    </w:rPr>
  </w:style>
  <w:style w:type="character" w:customStyle="1" w:styleId="15">
    <w:name w:val="font01"/>
    <w:basedOn w:val="9"/>
    <w:uiPriority w:val="0"/>
    <w:rPr>
      <w:rFonts w:hint="eastAsia" w:ascii="宋体" w:hAnsi="宋体" w:eastAsia="宋体" w:cs="宋体"/>
      <w:color w:val="000000"/>
      <w:sz w:val="22"/>
      <w:szCs w:val="22"/>
      <w:u w:val="none"/>
    </w:rPr>
  </w:style>
  <w:style w:type="character" w:customStyle="1" w:styleId="16">
    <w:name w:val="font41"/>
    <w:basedOn w:val="9"/>
    <w:uiPriority w:val="0"/>
    <w:rPr>
      <w:rFonts w:hint="eastAsia" w:ascii="宋体" w:hAnsi="宋体" w:eastAsia="宋体" w:cs="宋体"/>
      <w:color w:val="000000"/>
      <w:sz w:val="24"/>
      <w:szCs w:val="24"/>
      <w:u w:val="none"/>
    </w:rPr>
  </w:style>
  <w:style w:type="character" w:customStyle="1" w:styleId="17">
    <w:name w:val="页眉 Char Char"/>
    <w:link w:val="6"/>
    <w:uiPriority w:val="0"/>
    <w:rPr>
      <w:kern w:val="2"/>
      <w:sz w:val="18"/>
      <w:szCs w:val="18"/>
    </w:rPr>
  </w:style>
  <w:style w:type="character" w:customStyle="1" w:styleId="18">
    <w:name w:val="font21"/>
    <w:basedOn w:val="9"/>
    <w:uiPriority w:val="0"/>
    <w:rPr>
      <w:rFonts w:hint="eastAsia" w:ascii="宋体" w:hAnsi="宋体" w:eastAsia="宋体" w:cs="宋体"/>
      <w:color w:val="000000"/>
      <w:sz w:val="22"/>
      <w:szCs w:val="22"/>
      <w:u w:val="none"/>
    </w:rPr>
  </w:style>
  <w:style w:type="character" w:customStyle="1" w:styleId="19">
    <w:name w:val="批注框文本 Char Char"/>
    <w:basedOn w:val="9"/>
    <w:link w:val="4"/>
    <w:uiPriority w:val="0"/>
    <w:rPr>
      <w:kern w:val="2"/>
      <w:sz w:val="18"/>
      <w:szCs w:val="18"/>
    </w:rPr>
  </w:style>
  <w:style w:type="character" w:customStyle="1" w:styleId="20">
    <w:name w:val="页脚 Char Char"/>
    <w:link w:val="5"/>
    <w:uiPriority w:val="0"/>
    <w:rPr>
      <w:kern w:val="2"/>
      <w:sz w:val="18"/>
      <w:szCs w:val="18"/>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7859</Words>
  <Characters>9563</Characters>
  <Lines>57</Lines>
  <Paragraphs>16</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2023-05-09T16:37:51Z</dcterms:created>
  <dc:creator>管理者</dc:creator>
  <cp:lastModifiedBy>悟の</cp:lastModifiedBy>
  <cp:lastPrinted>2023-05-10T00:33:11Z</cp:lastPrinted>
  <dcterms:modified xsi:type="dcterms:W3CDTF">2023-05-29T03:06:15Z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B8EF90ADEC2A4ABCAFE34447CAFCEF81_13</vt:lpwstr>
  </property>
</Properties>
</file>