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21</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许昌市公共就业服务中心</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二二</w:t>
      </w:r>
      <w:r>
        <w:rPr>
          <w:rFonts w:hint="eastAsia" w:ascii="黑体" w:hAnsi="黑体" w:eastAsia="黑体" w:cs="黑体"/>
          <w:color w:val="auto"/>
          <w:sz w:val="32"/>
          <w:szCs w:val="32"/>
          <w:highlight w:val="none"/>
          <w:lang w:eastAsia="zh-CN"/>
        </w:rPr>
        <w:t>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rPr>
        <w:t>目　　录</w:t>
      </w:r>
    </w:p>
    <w:p>
      <w:pPr>
        <w:jc w:val="left"/>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第一部分　　</w:t>
      </w:r>
      <w:r>
        <w:rPr>
          <w:rFonts w:hint="eastAsia" w:ascii="黑体" w:hAnsi="黑体" w:eastAsia="黑体" w:cs="黑体"/>
          <w:b w:val="0"/>
          <w:bCs w:val="0"/>
          <w:color w:val="auto"/>
          <w:sz w:val="32"/>
          <w:szCs w:val="32"/>
          <w:highlight w:val="none"/>
          <w:lang w:eastAsia="zh-CN"/>
        </w:rPr>
        <w:t>许昌市公共就业服务中心</w:t>
      </w:r>
      <w:r>
        <w:rPr>
          <w:rFonts w:hint="eastAsia" w:ascii="黑体" w:hAnsi="黑体" w:eastAsia="黑体" w:cs="黑体"/>
          <w:b w:val="0"/>
          <w:bCs w:val="0"/>
          <w:color w:val="auto"/>
          <w:sz w:val="32"/>
          <w:szCs w:val="32"/>
          <w:highlight w:val="none"/>
        </w:rPr>
        <w:t>概况</w:t>
      </w:r>
    </w:p>
    <w:p>
      <w:pPr>
        <w:numPr>
          <w:ilvl w:val="0"/>
          <w:numId w:val="1"/>
        </w:numPr>
        <w:ind w:firstLine="640" w:firstLineChars="200"/>
        <w:jc w:val="left"/>
        <w:rPr>
          <w:rFonts w:hint="eastAsia" w:ascii="宋体" w:hAnsi="宋体" w:eastAsia="宋体" w:cs="宋体"/>
          <w:b w:val="0"/>
          <w:bCs w:val="0"/>
          <w:color w:val="auto"/>
          <w:sz w:val="32"/>
          <w:szCs w:val="32"/>
          <w:highlight w:val="none"/>
        </w:rPr>
      </w:pPr>
      <w:r>
        <w:rPr>
          <w:rFonts w:hint="eastAsia" w:ascii="宋体" w:hAnsi="宋体" w:cs="宋体"/>
          <w:b w:val="0"/>
          <w:bCs w:val="0"/>
          <w:color w:val="auto"/>
          <w:sz w:val="32"/>
          <w:szCs w:val="32"/>
          <w:highlight w:val="none"/>
          <w:lang w:eastAsia="zh-CN"/>
        </w:rPr>
        <w:t>单位</w:t>
      </w:r>
      <w:r>
        <w:rPr>
          <w:rFonts w:hint="eastAsia" w:ascii="宋体" w:hAnsi="宋体" w:eastAsia="宋体" w:cs="宋体"/>
          <w:b w:val="0"/>
          <w:bCs w:val="0"/>
          <w:color w:val="auto"/>
          <w:sz w:val="32"/>
          <w:szCs w:val="32"/>
          <w:highlight w:val="none"/>
          <w:lang w:eastAsia="zh-CN"/>
        </w:rPr>
        <w:t>职责</w:t>
      </w:r>
    </w:p>
    <w:p>
      <w:pPr>
        <w:numPr>
          <w:ilvl w:val="0"/>
          <w:numId w:val="1"/>
        </w:numPr>
        <w:ind w:firstLine="640" w:firstLineChars="200"/>
        <w:jc w:val="left"/>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rPr>
        <w:t>机构设置</w:t>
      </w:r>
    </w:p>
    <w:p>
      <w:pPr>
        <w:jc w:val="left"/>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第</w:t>
      </w:r>
      <w:r>
        <w:rPr>
          <w:rFonts w:hint="eastAsia" w:ascii="黑体" w:hAnsi="黑体" w:eastAsia="黑体" w:cs="黑体"/>
          <w:b w:val="0"/>
          <w:bCs w:val="0"/>
          <w:color w:val="auto"/>
          <w:sz w:val="32"/>
          <w:szCs w:val="32"/>
          <w:highlight w:val="none"/>
          <w:lang w:eastAsia="zh-CN"/>
        </w:rPr>
        <w:t>二</w:t>
      </w:r>
      <w:r>
        <w:rPr>
          <w:rFonts w:hint="eastAsia" w:ascii="黑体" w:hAnsi="黑体" w:eastAsia="黑体" w:cs="黑体"/>
          <w:b w:val="0"/>
          <w:bCs w:val="0"/>
          <w:color w:val="auto"/>
          <w:sz w:val="32"/>
          <w:szCs w:val="32"/>
          <w:highlight w:val="none"/>
        </w:rPr>
        <w:t>部分　　</w:t>
      </w:r>
      <w:r>
        <w:rPr>
          <w:rFonts w:hint="eastAsia" w:ascii="黑体" w:hAnsi="黑体" w:eastAsia="黑体" w:cs="黑体"/>
          <w:b w:val="0"/>
          <w:bCs w:val="0"/>
          <w:color w:val="auto"/>
          <w:sz w:val="32"/>
          <w:szCs w:val="32"/>
          <w:highlight w:val="none"/>
          <w:lang w:eastAsia="zh-CN"/>
        </w:rPr>
        <w:t>20</w:t>
      </w:r>
      <w:r>
        <w:rPr>
          <w:rFonts w:hint="eastAsia" w:ascii="黑体" w:hAnsi="黑体" w:eastAsia="黑体" w:cs="黑体"/>
          <w:b w:val="0"/>
          <w:bCs w:val="0"/>
          <w:color w:val="auto"/>
          <w:sz w:val="32"/>
          <w:szCs w:val="32"/>
          <w:highlight w:val="none"/>
          <w:lang w:val="en-US" w:eastAsia="zh-CN"/>
        </w:rPr>
        <w:t>21</w:t>
      </w:r>
      <w:r>
        <w:rPr>
          <w:rFonts w:hint="eastAsia" w:ascii="黑体" w:hAnsi="黑体" w:eastAsia="黑体" w:cs="黑体"/>
          <w:b w:val="0"/>
          <w:bCs w:val="0"/>
          <w:color w:val="auto"/>
          <w:sz w:val="32"/>
          <w:szCs w:val="32"/>
          <w:highlight w:val="none"/>
          <w:lang w:eastAsia="zh-CN"/>
        </w:rPr>
        <w:t>年度单位</w:t>
      </w:r>
      <w:r>
        <w:rPr>
          <w:rFonts w:hint="eastAsia" w:ascii="黑体" w:hAnsi="黑体" w:eastAsia="黑体" w:cs="黑体"/>
          <w:b w:val="0"/>
          <w:bCs w:val="0"/>
          <w:color w:val="auto"/>
          <w:sz w:val="32"/>
          <w:szCs w:val="32"/>
          <w:highlight w:val="none"/>
        </w:rPr>
        <w:t>决算表</w:t>
      </w:r>
    </w:p>
    <w:p>
      <w:pPr>
        <w:ind w:firstLine="640" w:firstLineChars="200"/>
        <w:jc w:val="left"/>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一、收入支出决算总表</w:t>
      </w:r>
    </w:p>
    <w:p>
      <w:pPr>
        <w:ind w:firstLine="640" w:firstLineChars="200"/>
        <w:jc w:val="left"/>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二、收入决算表</w:t>
      </w:r>
    </w:p>
    <w:p>
      <w:pPr>
        <w:ind w:firstLine="640" w:firstLineChars="200"/>
        <w:jc w:val="left"/>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三、支出决算表</w:t>
      </w:r>
    </w:p>
    <w:p>
      <w:pPr>
        <w:ind w:firstLine="640" w:firstLineChars="200"/>
        <w:jc w:val="left"/>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四、财政拨款收入支出决算总表</w:t>
      </w:r>
    </w:p>
    <w:p>
      <w:pPr>
        <w:ind w:firstLine="640" w:firstLineChars="200"/>
        <w:jc w:val="left"/>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五、一般公共预算财政拨款支出决算表</w:t>
      </w:r>
    </w:p>
    <w:p>
      <w:pPr>
        <w:ind w:firstLine="640" w:firstLineChars="200"/>
        <w:jc w:val="left"/>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六、一般公共预算财政拨款基本支出决算表</w:t>
      </w:r>
    </w:p>
    <w:p>
      <w:pPr>
        <w:ind w:firstLine="640" w:firstLineChars="200"/>
        <w:jc w:val="left"/>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七、一般公共预算财政拨款“三公”经费支出决算表</w:t>
      </w:r>
    </w:p>
    <w:p>
      <w:pPr>
        <w:ind w:firstLine="640" w:firstLineChars="200"/>
        <w:jc w:val="left"/>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八、政府性基金预算财政拨款收入支出决算表</w:t>
      </w:r>
    </w:p>
    <w:p>
      <w:pPr>
        <w:jc w:val="left"/>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第</w:t>
      </w:r>
      <w:r>
        <w:rPr>
          <w:rFonts w:hint="eastAsia" w:ascii="黑体" w:hAnsi="黑体" w:eastAsia="黑体" w:cs="黑体"/>
          <w:b w:val="0"/>
          <w:bCs w:val="0"/>
          <w:color w:val="auto"/>
          <w:sz w:val="32"/>
          <w:szCs w:val="32"/>
          <w:highlight w:val="none"/>
          <w:lang w:eastAsia="zh-CN"/>
        </w:rPr>
        <w:t>三</w:t>
      </w:r>
      <w:r>
        <w:rPr>
          <w:rFonts w:hint="eastAsia" w:ascii="黑体" w:hAnsi="黑体" w:eastAsia="黑体" w:cs="黑体"/>
          <w:b w:val="0"/>
          <w:bCs w:val="0"/>
          <w:color w:val="auto"/>
          <w:sz w:val="32"/>
          <w:szCs w:val="32"/>
          <w:highlight w:val="none"/>
        </w:rPr>
        <w:t>部分　　</w:t>
      </w:r>
      <w:r>
        <w:rPr>
          <w:rFonts w:hint="eastAsia" w:ascii="黑体" w:hAnsi="黑体" w:eastAsia="黑体" w:cs="黑体"/>
          <w:b w:val="0"/>
          <w:bCs w:val="0"/>
          <w:color w:val="auto"/>
          <w:sz w:val="32"/>
          <w:szCs w:val="32"/>
          <w:highlight w:val="none"/>
          <w:lang w:eastAsia="zh-CN"/>
        </w:rPr>
        <w:t>20</w:t>
      </w:r>
      <w:r>
        <w:rPr>
          <w:rFonts w:hint="eastAsia" w:ascii="黑体" w:hAnsi="黑体" w:eastAsia="黑体" w:cs="黑体"/>
          <w:b w:val="0"/>
          <w:bCs w:val="0"/>
          <w:color w:val="auto"/>
          <w:sz w:val="32"/>
          <w:szCs w:val="32"/>
          <w:highlight w:val="none"/>
          <w:lang w:val="en-US" w:eastAsia="zh-CN"/>
        </w:rPr>
        <w:t>21</w:t>
      </w:r>
      <w:r>
        <w:rPr>
          <w:rFonts w:hint="eastAsia" w:ascii="黑体" w:hAnsi="黑体" w:eastAsia="黑体" w:cs="黑体"/>
          <w:b w:val="0"/>
          <w:bCs w:val="0"/>
          <w:color w:val="auto"/>
          <w:sz w:val="32"/>
          <w:szCs w:val="32"/>
          <w:highlight w:val="none"/>
          <w:lang w:eastAsia="zh-CN"/>
        </w:rPr>
        <w:t>年度单位</w:t>
      </w:r>
      <w:r>
        <w:rPr>
          <w:rFonts w:hint="eastAsia" w:ascii="黑体" w:hAnsi="黑体" w:eastAsia="黑体" w:cs="黑体"/>
          <w:b w:val="0"/>
          <w:bCs w:val="0"/>
          <w:color w:val="auto"/>
          <w:sz w:val="32"/>
          <w:szCs w:val="32"/>
          <w:highlight w:val="none"/>
        </w:rPr>
        <w:t>决算情况说明</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 xml:space="preserve">一、收入支出决算总体情况说明   </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二、收入决算情况说明</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三、支出决算情况说明</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四、财政拨款收入支出决算总体情况说明</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五、一般公共预算财政拨款支出决算情况说明</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六、一般公共预算财政拨款基本支出决算情况说明</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七、一般公共预算财政拨款“三公”经费支出决算情况说明</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八、政府性基金预算财政拨款支出决算情况说明</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九、机关运行经费支出情况说明</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十、政府采购支出情况说明</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十一、国有资产占用情况说明</w:t>
      </w:r>
    </w:p>
    <w:p>
      <w:pPr>
        <w:keepNext w:val="0"/>
        <w:keepLines w:val="0"/>
        <w:widowControl w:val="0"/>
        <w:suppressLineNumbers w:val="0"/>
        <w:spacing w:before="0" w:beforeAutospacing="0" w:after="0" w:afterAutospacing="0"/>
        <w:ind w:left="0" w:right="0" w:firstLine="640" w:firstLineChars="200"/>
        <w:jc w:val="both"/>
        <w:rPr>
          <w:highlight w:val="none"/>
        </w:rPr>
      </w:pPr>
      <w:r>
        <w:rPr>
          <w:rFonts w:hint="eastAsia" w:ascii="宋体" w:hAnsi="宋体" w:eastAsia="宋体" w:cs="宋体"/>
          <w:kern w:val="2"/>
          <w:sz w:val="32"/>
          <w:szCs w:val="32"/>
          <w:highlight w:val="none"/>
          <w:lang w:val="en-US" w:eastAsia="zh-CN" w:bidi="ar"/>
        </w:rPr>
        <w:t xml:space="preserve">十二、预算绩效情况说明  </w:t>
      </w:r>
    </w:p>
    <w:p>
      <w:pPr>
        <w:jc w:val="left"/>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第</w:t>
      </w:r>
      <w:r>
        <w:rPr>
          <w:rFonts w:hint="eastAsia" w:ascii="黑体" w:hAnsi="黑体" w:eastAsia="黑体" w:cs="黑体"/>
          <w:b w:val="0"/>
          <w:bCs w:val="0"/>
          <w:color w:val="auto"/>
          <w:sz w:val="32"/>
          <w:szCs w:val="32"/>
          <w:highlight w:val="none"/>
          <w:lang w:eastAsia="zh-CN"/>
        </w:rPr>
        <w:t>四</w:t>
      </w:r>
      <w:r>
        <w:rPr>
          <w:rFonts w:hint="eastAsia" w:ascii="黑体" w:hAnsi="黑体" w:eastAsia="黑体" w:cs="黑体"/>
          <w:b w:val="0"/>
          <w:bCs w:val="0"/>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numPr>
          <w:ilvl w:val="0"/>
          <w:numId w:val="2"/>
        </w:numPr>
        <w:jc w:val="center"/>
        <w:outlineLvl w:val="0"/>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val="en-US" w:eastAsia="zh-CN"/>
        </w:rPr>
        <w:t>许昌市公共就业服务中心</w:t>
      </w:r>
    </w:p>
    <w:p>
      <w:pPr>
        <w:widowControl/>
        <w:numPr>
          <w:ilvl w:val="0"/>
          <w:numId w:val="0"/>
        </w:numPr>
        <w:ind w:firstLine="4320" w:firstLineChars="900"/>
        <w:jc w:val="both"/>
        <w:outlineLvl w:val="0"/>
        <w:rPr>
          <w:rFonts w:hint="eastAsia" w:ascii="黑体" w:hAnsi="宋体" w:eastAsia="黑体" w:cs="宋体"/>
          <w:color w:val="auto"/>
          <w:kern w:val="0"/>
          <w:sz w:val="48"/>
          <w:szCs w:val="48"/>
          <w:highlight w:val="none"/>
          <w:lang w:val="en-US" w:eastAsia="zh-CN"/>
        </w:rPr>
      </w:pP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一、单位</w:t>
      </w:r>
      <w:r>
        <w:rPr>
          <w:rFonts w:hint="eastAsia" w:ascii="黑体" w:hAnsi="黑体" w:eastAsia="黑体" w:cs="黑体"/>
          <w:bCs/>
          <w:sz w:val="32"/>
          <w:szCs w:val="32"/>
          <w:highlight w:val="none"/>
        </w:rPr>
        <w:t>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宋体" w:eastAsia="仿宋_GB2312" w:cs="宋体"/>
          <w:kern w:val="0"/>
          <w:sz w:val="32"/>
          <w:szCs w:val="32"/>
          <w:highlight w:val="none"/>
          <w:lang w:eastAsia="zh-CN"/>
        </w:rPr>
      </w:pPr>
      <w:r>
        <w:rPr>
          <w:rFonts w:hint="eastAsia" w:ascii="仿宋_GB2312" w:hAnsi="仿宋" w:eastAsia="仿宋_GB2312" w:cs="Times New Roman"/>
          <w:sz w:val="32"/>
          <w:szCs w:val="32"/>
        </w:rPr>
        <w:t xml:space="preserve">提供就业创业和劳动用工政策法规咨询，受理相关扶持政策申请；人力资源供求、市场工资指导价位、职业培训、见习岗位等信息发布；职业介绍、职业指导和创业开业指导；公共就业服务专项活动；跨区域就业合作；就业创业培训；职业技能鉴定服务；对就业困难人员实施就业援助；办理就业登记、失业登记等事务；办理高等学校、中等职业学校、技工学校毕业生接收手续；流动人员人事档案管理服务；劳动关系协调和劳动权益保护等。 </w:t>
      </w:r>
      <w:r>
        <w:rPr>
          <w:rFonts w:hint="eastAsia" w:ascii="仿宋_GB2312" w:hAnsi="仿宋_GB2312" w:eastAsia="仿宋_GB2312" w:cs="仿宋_GB2312"/>
          <w:sz w:val="32"/>
          <w:szCs w:val="32"/>
          <w:lang w:val="en-US" w:eastAsia="zh-CN"/>
        </w:rPr>
        <w:t xml:space="preserve"> </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numPr>
          <w:ilvl w:val="0"/>
          <w:numId w:val="0"/>
        </w:numPr>
        <w:adjustRightInd w:val="0"/>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highlight w:val="none"/>
          <w:lang w:val="en-US" w:eastAsia="zh-CN"/>
        </w:rPr>
        <w:t>许昌市公共就业服务中心内设机构</w:t>
      </w:r>
      <w:r>
        <w:rPr>
          <w:rFonts w:hint="eastAsia" w:ascii="仿宋_GB2312" w:hAnsi="仿宋_GB2312" w:eastAsia="仿宋_GB2312" w:cs="仿宋_GB2312"/>
          <w:color w:val="auto"/>
          <w:sz w:val="32"/>
          <w:szCs w:val="32"/>
          <w:lang w:eastAsia="zh-CN"/>
        </w:rPr>
        <w:t>内设科室</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个，包括：办公室、就业失业登记培训科、就业创业服务科、企业服务科、流动人员人事档案科、职业技能鉴定服务科。</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从决算单位构成看，许昌市公共就业服务中心单位决算包括：本级决算</w:t>
      </w:r>
      <w:r>
        <w:rPr>
          <w:rFonts w:hint="eastAsia" w:ascii="仿宋_GB2312" w:hAnsi="仿宋_GB2312" w:eastAsia="仿宋_GB2312" w:cs="仿宋_GB2312"/>
          <w:sz w:val="32"/>
          <w:szCs w:val="32"/>
          <w:highlight w:val="none"/>
          <w:lang w:eastAsia="zh-CN"/>
        </w:rPr>
        <w:t>(1个)</w:t>
      </w:r>
      <w:r>
        <w:rPr>
          <w:rFonts w:hint="eastAsia" w:ascii="仿宋_GB2312" w:hAnsi="仿宋_GB2312" w:eastAsia="仿宋_GB2312" w:cs="仿宋_GB2312"/>
          <w:color w:val="auto"/>
          <w:kern w:val="0"/>
          <w:sz w:val="32"/>
          <w:szCs w:val="32"/>
          <w:highlight w:val="none"/>
          <w:lang w:val="en-US" w:eastAsia="zh-CN"/>
        </w:rPr>
        <w:t xml:space="preserve">。 </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w:t>
      </w:r>
      <w:bookmarkStart w:id="0" w:name="_GoBack"/>
      <w:bookmarkEnd w:id="0"/>
      <w:r>
        <w:rPr>
          <w:rFonts w:hint="eastAsia" w:ascii="仿宋_GB2312" w:hAnsi="仿宋_GB2312" w:eastAsia="仿宋_GB2312" w:cs="仿宋_GB2312"/>
          <w:color w:val="auto"/>
          <w:kern w:val="0"/>
          <w:sz w:val="32"/>
          <w:szCs w:val="32"/>
          <w:highlight w:val="none"/>
          <w:lang w:val="en-US" w:eastAsia="zh-CN"/>
        </w:rPr>
        <w:t>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许昌市公共就业服务中心。</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10"/>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20"/>
        <w:gridCol w:w="829"/>
        <w:gridCol w:w="1385"/>
        <w:gridCol w:w="4442"/>
        <w:gridCol w:w="829"/>
        <w:gridCol w:w="1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：许昌市公共就业服务中心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953.90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953.90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325.76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shd w:val="clear" w:color="auto" w:fill="FFFFFF"/>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1,279.66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hd w:val="clear" w:color="auto" w:fill="FFFFFF"/>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shd w:val="clear" w:color="auto" w:fill="FFFFFF"/>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shd w:val="clear" w:color="auto" w:fill="FFFFFF"/>
        <w:rPr>
          <w:rFonts w:hint="eastAsia" w:ascii="仿宋_GB2312" w:hAnsi="仿宋_GB2312" w:eastAsia="仿宋_GB2312" w:cs="仿宋_GB2312"/>
          <w:color w:val="auto"/>
          <w:sz w:val="22"/>
          <w:szCs w:val="2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41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8"/>
        <w:gridCol w:w="240"/>
        <w:gridCol w:w="240"/>
        <w:gridCol w:w="3749"/>
        <w:gridCol w:w="1115"/>
        <w:gridCol w:w="1125"/>
        <w:gridCol w:w="953"/>
        <w:gridCol w:w="804"/>
        <w:gridCol w:w="621"/>
        <w:gridCol w:w="750"/>
        <w:gridCol w:w="1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86"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998"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2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4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1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5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0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2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9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998"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：许昌市公共就业服务中心</w:t>
            </w:r>
          </w:p>
        </w:tc>
        <w:tc>
          <w:tcPr>
            <w:tcW w:w="2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4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1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5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0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2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9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7"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15"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25"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5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04"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21"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75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591"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749"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5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0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2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9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749"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11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5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0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2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9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749"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11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5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80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62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591"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7"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0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5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9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7"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953.90</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953.90</w:t>
            </w:r>
          </w:p>
        </w:tc>
        <w:tc>
          <w:tcPr>
            <w:tcW w:w="9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62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59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7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9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7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1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9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914.33</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914.33</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563.79</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563.79</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公共就业服务和职业技能鉴定机构</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563.79</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563.79</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59.14</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39.65</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39.65</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291.40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291.40</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就业创业服务补贴</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31.36</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31.36</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2080713</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促进创业补贴</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238.00</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36.33</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36.33</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36.33</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36.33</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18.22</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18.22</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w:t>
            </w:r>
          </w:p>
        </w:tc>
        <w:tc>
          <w:tcPr>
            <w:tcW w:w="9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86"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22"/>
          <w:szCs w:val="2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7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1"/>
        <w:gridCol w:w="231"/>
        <w:gridCol w:w="231"/>
        <w:gridCol w:w="4108"/>
        <w:gridCol w:w="1209"/>
        <w:gridCol w:w="970"/>
        <w:gridCol w:w="966"/>
        <w:gridCol w:w="489"/>
        <w:gridCol w:w="489"/>
        <w:gridCol w:w="2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03"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08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：许昌市公共就业服务中心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08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24"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98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77"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505"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506"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2089"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2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8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7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0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0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08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8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7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0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0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08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8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97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0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06"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089"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2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8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1,279.66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712.70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566.96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20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1,234.66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667.70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566.96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公共就业服务和职业技能鉴定机构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就业创业服务补贴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促进创业补贴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03"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22"/>
          <w:szCs w:val="2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570"/>
        <w:gridCol w:w="1245"/>
        <w:gridCol w:w="3660"/>
        <w:gridCol w:w="570"/>
        <w:gridCol w:w="1096"/>
        <w:gridCol w:w="1515"/>
        <w:gridCol w:w="937"/>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4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：许昌市公共就业服务中心</w:t>
            </w: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1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1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2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3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1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953.90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1,234.66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1,234.66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953.90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1,279.66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1,279.66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325.76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325.76</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1,279.66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1,279.66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1,279.66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45" w:type="dxa"/>
            <w:gridSpan w:val="9"/>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5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222"/>
        <w:gridCol w:w="222"/>
        <w:gridCol w:w="3956"/>
        <w:gridCol w:w="2070"/>
        <w:gridCol w:w="1983"/>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03"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07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98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03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30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：许昌市公共就业服务中心</w:t>
            </w: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07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98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03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08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07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83"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34"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4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07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983"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07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983"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0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16" w:type="dxa"/>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1,279.66</w:t>
            </w:r>
          </w:p>
        </w:tc>
        <w:tc>
          <w:tcPr>
            <w:tcW w:w="19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712.70</w:t>
            </w:r>
          </w:p>
        </w:tc>
        <w:tc>
          <w:tcPr>
            <w:tcW w:w="20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0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9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20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0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9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20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0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9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20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0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1,234.66</w:t>
            </w:r>
          </w:p>
        </w:tc>
        <w:tc>
          <w:tcPr>
            <w:tcW w:w="19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667.70</w:t>
            </w:r>
          </w:p>
        </w:tc>
        <w:tc>
          <w:tcPr>
            <w:tcW w:w="20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610.86</w:t>
            </w:r>
          </w:p>
        </w:tc>
        <w:tc>
          <w:tcPr>
            <w:tcW w:w="19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602.10</w:t>
            </w:r>
          </w:p>
        </w:tc>
        <w:tc>
          <w:tcPr>
            <w:tcW w:w="2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公共就业服务和职业技能鉴定机构</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610.86</w:t>
            </w:r>
          </w:p>
        </w:tc>
        <w:tc>
          <w:tcPr>
            <w:tcW w:w="19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602.10</w:t>
            </w:r>
          </w:p>
        </w:tc>
        <w:tc>
          <w:tcPr>
            <w:tcW w:w="2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65.60</w:t>
            </w:r>
          </w:p>
        </w:tc>
        <w:tc>
          <w:tcPr>
            <w:tcW w:w="19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65.60</w:t>
            </w:r>
          </w:p>
        </w:tc>
        <w:tc>
          <w:tcPr>
            <w:tcW w:w="20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19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20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w:t>
            </w:r>
          </w:p>
        </w:tc>
        <w:tc>
          <w:tcPr>
            <w:tcW w:w="19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w:t>
            </w:r>
          </w:p>
        </w:tc>
        <w:tc>
          <w:tcPr>
            <w:tcW w:w="20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19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20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558.20</w:t>
            </w:r>
          </w:p>
        </w:tc>
        <w:tc>
          <w:tcPr>
            <w:tcW w:w="19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就业创业服务补贴</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19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48.68</w:t>
            </w:r>
          </w:p>
        </w:tc>
        <w:tc>
          <w:tcPr>
            <w:tcW w:w="19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促进创业补贴</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415.80</w:t>
            </w:r>
          </w:p>
        </w:tc>
        <w:tc>
          <w:tcPr>
            <w:tcW w:w="19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89.67</w:t>
            </w:r>
          </w:p>
        </w:tc>
        <w:tc>
          <w:tcPr>
            <w:tcW w:w="19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w:t>
            </w:r>
          </w:p>
        </w:tc>
        <w:tc>
          <w:tcPr>
            <w:tcW w:w="19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w:t>
            </w:r>
          </w:p>
        </w:tc>
        <w:tc>
          <w:tcPr>
            <w:tcW w:w="20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w:t>
            </w:r>
          </w:p>
        </w:tc>
        <w:tc>
          <w:tcPr>
            <w:tcW w:w="19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w:t>
            </w:r>
          </w:p>
        </w:tc>
        <w:tc>
          <w:tcPr>
            <w:tcW w:w="20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w:t>
            </w:r>
          </w:p>
        </w:tc>
        <w:tc>
          <w:tcPr>
            <w:tcW w:w="19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w:t>
            </w:r>
          </w:p>
        </w:tc>
        <w:tc>
          <w:tcPr>
            <w:tcW w:w="20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0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w:t>
            </w:r>
          </w:p>
        </w:tc>
        <w:tc>
          <w:tcPr>
            <w:tcW w:w="19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w:t>
            </w:r>
          </w:p>
        </w:tc>
        <w:tc>
          <w:tcPr>
            <w:tcW w:w="20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0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22"/>
          <w:szCs w:val="2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25"/>
        <w:gridCol w:w="1950"/>
        <w:gridCol w:w="928"/>
        <w:gridCol w:w="1050"/>
        <w:gridCol w:w="1354"/>
        <w:gridCol w:w="1039"/>
        <w:gridCol w:w="1090"/>
        <w:gridCol w:w="2307"/>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925" w:type="dxa"/>
            <w:tcBorders>
              <w:top w:val="nil"/>
              <w:left w:val="nil"/>
              <w:bottom w:val="nil"/>
              <w:right w:val="nil"/>
            </w:tcBorders>
            <w:noWrap/>
            <w:vAlign w:val="bottom"/>
          </w:tcPr>
          <w:p>
            <w:pPr>
              <w:spacing w:line="240" w:lineRule="auto"/>
              <w:rPr>
                <w:rFonts w:hint="eastAsia" w:ascii="Arial" w:hAnsi="Arial" w:cs="Arial"/>
                <w:i w:val="0"/>
                <w:iCs w:val="0"/>
                <w:color w:val="000000"/>
                <w:sz w:val="18"/>
                <w:szCs w:val="18"/>
                <w:u w:val="none"/>
              </w:rPr>
            </w:pPr>
          </w:p>
        </w:tc>
        <w:tc>
          <w:tcPr>
            <w:tcW w:w="1950"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928"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1050"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1354"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1039"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1090"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2307"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1438" w:type="dxa"/>
            <w:tcBorders>
              <w:top w:val="nil"/>
              <w:left w:val="nil"/>
              <w:bottom w:val="nil"/>
              <w:right w:val="nil"/>
            </w:tcBorders>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925" w:type="dxa"/>
            <w:tcBorders>
              <w:top w:val="nil"/>
              <w:left w:val="nil"/>
              <w:bottom w:val="nil"/>
              <w:right w:val="nil"/>
            </w:tcBorders>
            <w:noWrap/>
            <w:vAlign w:val="bottom"/>
          </w:tcPr>
          <w:p>
            <w:pPr>
              <w:keepNext w:val="0"/>
              <w:keepLines w:val="0"/>
              <w:widowControl/>
              <w:suppressLineNumbers w:val="0"/>
              <w:spacing w:line="240" w:lineRule="auto"/>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：许昌市公共就业服务中心</w:t>
            </w:r>
          </w:p>
        </w:tc>
        <w:tc>
          <w:tcPr>
            <w:tcW w:w="1950"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928"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1050"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1354"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1039"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1090"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2307" w:type="dxa"/>
            <w:tcBorders>
              <w:top w:val="nil"/>
              <w:left w:val="nil"/>
              <w:bottom w:val="nil"/>
              <w:right w:val="nil"/>
            </w:tcBorders>
            <w:noWrap/>
            <w:vAlign w:val="bottom"/>
          </w:tcPr>
          <w:p>
            <w:pPr>
              <w:spacing w:line="240" w:lineRule="auto"/>
              <w:rPr>
                <w:rFonts w:hint="default" w:ascii="Arial" w:hAnsi="Arial" w:cs="Arial"/>
                <w:i w:val="0"/>
                <w:iCs w:val="0"/>
                <w:color w:val="000000"/>
                <w:sz w:val="18"/>
                <w:szCs w:val="18"/>
                <w:u w:val="none"/>
              </w:rPr>
            </w:pPr>
          </w:p>
        </w:tc>
        <w:tc>
          <w:tcPr>
            <w:tcW w:w="1438" w:type="dxa"/>
            <w:tcBorders>
              <w:top w:val="nil"/>
              <w:left w:val="nil"/>
              <w:bottom w:val="nil"/>
              <w:right w:val="nil"/>
            </w:tcBorders>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0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278" w:type="dxa"/>
            <w:gridSpan w:val="6"/>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5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28"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5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354"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3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9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0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38"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i w:val="0"/>
                <w:iCs w:val="0"/>
                <w:color w:val="000000"/>
                <w:sz w:val="22"/>
                <w:szCs w:val="22"/>
                <w:u w:val="none"/>
              </w:rPr>
            </w:pPr>
          </w:p>
        </w:tc>
        <w:tc>
          <w:tcPr>
            <w:tcW w:w="1950" w:type="dxa"/>
            <w:vMerge w:val="continue"/>
            <w:tcBorders>
              <w:top w:val="nil"/>
              <w:left w:val="nil"/>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i w:val="0"/>
                <w:iCs w:val="0"/>
                <w:color w:val="000000"/>
                <w:sz w:val="22"/>
                <w:szCs w:val="22"/>
                <w:u w:val="none"/>
              </w:rPr>
            </w:pPr>
          </w:p>
        </w:tc>
        <w:tc>
          <w:tcPr>
            <w:tcW w:w="928" w:type="dxa"/>
            <w:vMerge w:val="continue"/>
            <w:tcBorders>
              <w:top w:val="nil"/>
              <w:left w:val="nil"/>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i w:val="0"/>
                <w:iCs w:val="0"/>
                <w:color w:val="000000"/>
                <w:sz w:val="22"/>
                <w:szCs w:val="22"/>
                <w:u w:val="none"/>
              </w:rPr>
            </w:pPr>
          </w:p>
        </w:tc>
        <w:tc>
          <w:tcPr>
            <w:tcW w:w="1354" w:type="dxa"/>
            <w:vMerge w:val="continue"/>
            <w:tcBorders>
              <w:top w:val="nil"/>
              <w:left w:val="nil"/>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i w:val="0"/>
                <w:iCs w:val="0"/>
                <w:color w:val="000000"/>
                <w:sz w:val="22"/>
                <w:szCs w:val="22"/>
                <w:u w:val="none"/>
              </w:rPr>
            </w:pPr>
          </w:p>
        </w:tc>
        <w:tc>
          <w:tcPr>
            <w:tcW w:w="1039" w:type="dxa"/>
            <w:vMerge w:val="continue"/>
            <w:tcBorders>
              <w:top w:val="nil"/>
              <w:left w:val="nil"/>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i w:val="0"/>
                <w:iCs w:val="0"/>
                <w:color w:val="000000"/>
                <w:sz w:val="22"/>
                <w:szCs w:val="22"/>
                <w:u w:val="none"/>
              </w:rPr>
            </w:pPr>
          </w:p>
        </w:tc>
        <w:tc>
          <w:tcPr>
            <w:tcW w:w="1090" w:type="dxa"/>
            <w:vMerge w:val="continue"/>
            <w:tcBorders>
              <w:top w:val="nil"/>
              <w:left w:val="nil"/>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i w:val="0"/>
                <w:iCs w:val="0"/>
                <w:color w:val="000000"/>
                <w:sz w:val="22"/>
                <w:szCs w:val="22"/>
                <w:u w:val="none"/>
              </w:rPr>
            </w:pPr>
          </w:p>
        </w:tc>
        <w:tc>
          <w:tcPr>
            <w:tcW w:w="2307" w:type="dxa"/>
            <w:vMerge w:val="continue"/>
            <w:tcBorders>
              <w:top w:val="nil"/>
              <w:left w:val="nil"/>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i w:val="0"/>
                <w:iCs w:val="0"/>
                <w:color w:val="000000"/>
                <w:sz w:val="22"/>
                <w:szCs w:val="22"/>
                <w:u w:val="none"/>
              </w:rPr>
            </w:pPr>
          </w:p>
        </w:tc>
        <w:tc>
          <w:tcPr>
            <w:tcW w:w="1438" w:type="dxa"/>
            <w:vMerge w:val="continue"/>
            <w:tcBorders>
              <w:top w:val="nil"/>
              <w:left w:val="nil"/>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667.36</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24.91</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161.49</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134.16</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243.87</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45.85</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20.42</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38.80</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20.43</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20.43</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0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0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3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spacing w:line="240" w:lineRule="auto"/>
              <w:jc w:val="left"/>
              <w:rPr>
                <w:rFonts w:hint="eastAsia" w:ascii="宋体" w:hAnsi="宋体" w:eastAsia="宋体" w:cs="宋体"/>
                <w:i w:val="0"/>
                <w:iCs w:val="0"/>
                <w:color w:val="000000"/>
                <w:sz w:val="22"/>
                <w:szCs w:val="22"/>
                <w:u w:val="none"/>
              </w:rPr>
            </w:pPr>
          </w:p>
        </w:tc>
        <w:tc>
          <w:tcPr>
            <w:tcW w:w="2307" w:type="dxa"/>
            <w:tcBorders>
              <w:top w:val="nil"/>
              <w:left w:val="nil"/>
              <w:bottom w:val="single" w:color="000000" w:sz="4" w:space="0"/>
              <w:right w:val="single" w:color="000000" w:sz="4" w:space="0"/>
            </w:tcBorders>
            <w:shd w:val="clear" w:color="auto" w:fill="FFFFFF"/>
            <w:noWrap/>
            <w:vAlign w:val="center"/>
          </w:tcPr>
          <w:p>
            <w:pPr>
              <w:spacing w:line="240" w:lineRule="auto"/>
              <w:jc w:val="lef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9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spacing w:line="240" w:lineRule="auto"/>
              <w:jc w:val="left"/>
              <w:rPr>
                <w:rFonts w:hint="eastAsia" w:ascii="宋体" w:hAnsi="宋体" w:eastAsia="宋体" w:cs="宋体"/>
                <w:i w:val="0"/>
                <w:iCs w:val="0"/>
                <w:color w:val="000000"/>
                <w:sz w:val="22"/>
                <w:szCs w:val="22"/>
                <w:u w:val="none"/>
              </w:rPr>
            </w:pPr>
          </w:p>
        </w:tc>
        <w:tc>
          <w:tcPr>
            <w:tcW w:w="2307" w:type="dxa"/>
            <w:tcBorders>
              <w:top w:val="nil"/>
              <w:left w:val="nil"/>
              <w:bottom w:val="single" w:color="000000" w:sz="4" w:space="0"/>
              <w:right w:val="single" w:color="000000" w:sz="4" w:space="0"/>
            </w:tcBorders>
            <w:shd w:val="clear" w:color="auto" w:fill="FFFFFF"/>
            <w:noWrap/>
            <w:vAlign w:val="center"/>
          </w:tcPr>
          <w:p>
            <w:pPr>
              <w:spacing w:line="240" w:lineRule="auto"/>
              <w:jc w:val="lef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noWrap/>
            <w:vAlign w:val="center"/>
          </w:tcPr>
          <w:p>
            <w:pPr>
              <w:spacing w:line="240" w:lineRule="auto"/>
              <w:jc w:val="lef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shd w:val="clear" w:color="auto" w:fill="FFFFFF"/>
            <w:noWrap/>
            <w:vAlign w:val="center"/>
          </w:tcPr>
          <w:p>
            <w:pPr>
              <w:spacing w:line="240" w:lineRule="auto"/>
              <w:jc w:val="lef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3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039"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shd w:val="clear" w:color="auto" w:fill="FFFFFF"/>
            <w:noWrap/>
            <w:vAlign w:val="center"/>
          </w:tcPr>
          <w:p>
            <w:pPr>
              <w:spacing w:line="240" w:lineRule="auto"/>
              <w:jc w:val="left"/>
              <w:rPr>
                <w:rFonts w:hint="eastAsia" w:ascii="宋体" w:hAnsi="宋体" w:eastAsia="宋体" w:cs="宋体"/>
                <w:i w:val="0"/>
                <w:iCs w:val="0"/>
                <w:color w:val="000000"/>
                <w:sz w:val="22"/>
                <w:szCs w:val="22"/>
                <w:u w:val="none"/>
              </w:rPr>
            </w:pPr>
          </w:p>
        </w:tc>
        <w:tc>
          <w:tcPr>
            <w:tcW w:w="2307" w:type="dxa"/>
            <w:tcBorders>
              <w:top w:val="nil"/>
              <w:left w:val="nil"/>
              <w:bottom w:val="single" w:color="000000" w:sz="4" w:space="0"/>
              <w:right w:val="single" w:color="000000" w:sz="4" w:space="0"/>
            </w:tcBorders>
            <w:shd w:val="clear" w:color="auto" w:fill="FFFFFF"/>
            <w:noWrap/>
            <w:vAlign w:val="center"/>
          </w:tcPr>
          <w:p>
            <w:pPr>
              <w:spacing w:line="240" w:lineRule="auto"/>
              <w:jc w:val="lef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color="auto" w:fill="FFFFFF"/>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5"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687.79</w:t>
            </w:r>
          </w:p>
        </w:tc>
        <w:tc>
          <w:tcPr>
            <w:tcW w:w="684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4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22"/>
          <w:szCs w:val="2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45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36"/>
        <w:gridCol w:w="1065"/>
        <w:gridCol w:w="1067"/>
        <w:gridCol w:w="817"/>
        <w:gridCol w:w="1132"/>
        <w:gridCol w:w="1087"/>
        <w:gridCol w:w="1060"/>
        <w:gridCol w:w="1125"/>
        <w:gridCol w:w="1071"/>
        <w:gridCol w:w="813"/>
        <w:gridCol w:w="1108"/>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55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：许昌市公共就业服务中心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40"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预算数</w:t>
            </w:r>
          </w:p>
        </w:tc>
        <w:tc>
          <w:tcPr>
            <w:tcW w:w="711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06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75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21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c>
          <w:tcPr>
            <w:tcW w:w="109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645"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24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106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112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21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21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112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114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2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30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24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2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1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4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1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12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14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2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30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24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55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22"/>
          <w:szCs w:val="22"/>
          <w:highlight w:val="none"/>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tbl>
      <w:tblPr>
        <w:tblStyle w:val="10"/>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36"/>
        <w:gridCol w:w="222"/>
        <w:gridCol w:w="222"/>
        <w:gridCol w:w="1096"/>
        <w:gridCol w:w="1638"/>
        <w:gridCol w:w="1638"/>
        <w:gridCol w:w="1638"/>
        <w:gridCol w:w="1638"/>
        <w:gridCol w:w="1638"/>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4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：许昌市公共就业服务中心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jc w:val="both"/>
        <w:outlineLvl w:val="9"/>
        <w:rPr>
          <w:rFonts w:hint="eastAsia" w:ascii="宋体" w:hAnsi="宋体" w:eastAsia="宋体" w:cs="宋体"/>
          <w:color w:val="auto"/>
          <w:sz w:val="22"/>
          <w:szCs w:val="22"/>
          <w:highlight w:val="yellow"/>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color w:val="auto"/>
          <w:sz w:val="22"/>
          <w:szCs w:val="22"/>
          <w:highlight w:val="none"/>
          <w:lang w:val="en-US" w:eastAsia="zh-CN"/>
        </w:rPr>
        <w:t>说明：我</w:t>
      </w:r>
      <w:r>
        <w:rPr>
          <w:rFonts w:hint="eastAsia" w:ascii="宋体" w:hAnsi="宋体" w:cs="宋体"/>
          <w:color w:val="auto"/>
          <w:sz w:val="22"/>
          <w:szCs w:val="22"/>
          <w:highlight w:val="none"/>
          <w:lang w:val="en-US" w:eastAsia="zh-CN"/>
        </w:rPr>
        <w:t>单位</w:t>
      </w:r>
      <w:r>
        <w:rPr>
          <w:rFonts w:hint="eastAsia" w:ascii="宋体" w:hAnsi="宋体" w:eastAsia="宋体" w:cs="宋体"/>
          <w:color w:val="auto"/>
          <w:sz w:val="22"/>
          <w:szCs w:val="22"/>
          <w:highlight w:val="none"/>
          <w:lang w:val="en-US" w:eastAsia="zh-CN"/>
        </w:rPr>
        <w:t>没有政府性基金收入，也没有使用政府性基金安排的支出，故本表无数据。</w:t>
      </w:r>
    </w:p>
    <w:p>
      <w:pPr>
        <w:jc w:val="both"/>
        <w:outlineLvl w:val="0"/>
        <w:rPr>
          <w:rFonts w:hint="eastAsia" w:ascii="黑体" w:hAnsi="黑体" w:eastAsia="黑体" w:cs="黑体"/>
          <w:b w:val="0"/>
          <w:bCs w:val="0"/>
          <w:color w:val="auto"/>
          <w:sz w:val="48"/>
          <w:szCs w:val="48"/>
          <w:highlight w:val="none"/>
        </w:rPr>
      </w:pPr>
    </w:p>
    <w:p>
      <w:pPr>
        <w:jc w:val="both"/>
        <w:outlineLvl w:val="0"/>
        <w:rPr>
          <w:rFonts w:hint="eastAsia" w:ascii="黑体" w:hAnsi="黑体" w:eastAsia="黑体" w:cs="黑体"/>
          <w:b w:val="0"/>
          <w:bCs w:val="0"/>
          <w:color w:val="auto"/>
          <w:sz w:val="48"/>
          <w:szCs w:val="48"/>
          <w:highlight w:val="none"/>
        </w:rPr>
      </w:pPr>
    </w:p>
    <w:p>
      <w:pPr>
        <w:jc w:val="both"/>
        <w:outlineLvl w:val="0"/>
        <w:rPr>
          <w:rFonts w:hint="eastAsia" w:ascii="黑体" w:hAnsi="黑体" w:eastAsia="黑体" w:cs="黑体"/>
          <w:b w:val="0"/>
          <w:bCs w:val="0"/>
          <w:color w:val="auto"/>
          <w:sz w:val="48"/>
          <w:szCs w:val="48"/>
          <w:highlight w:val="none"/>
        </w:rPr>
      </w:pPr>
    </w:p>
    <w:p>
      <w:pPr>
        <w:jc w:val="both"/>
        <w:outlineLvl w:val="0"/>
        <w:rPr>
          <w:rFonts w:hint="eastAsia" w:ascii="黑体" w:hAnsi="黑体" w:eastAsia="黑体" w:cs="黑体"/>
          <w:b w:val="0"/>
          <w:bCs w:val="0"/>
          <w:color w:val="auto"/>
          <w:sz w:val="48"/>
          <w:szCs w:val="48"/>
          <w:highlight w:val="none"/>
        </w:rPr>
      </w:pPr>
    </w:p>
    <w:p>
      <w:pPr>
        <w:jc w:val="both"/>
        <w:outlineLvl w:val="0"/>
        <w:rPr>
          <w:rFonts w:hint="eastAsia" w:ascii="黑体" w:hAnsi="黑体" w:eastAsia="黑体" w:cs="黑体"/>
          <w:b w:val="0"/>
          <w:bCs w:val="0"/>
          <w:color w:val="auto"/>
          <w:sz w:val="48"/>
          <w:szCs w:val="48"/>
          <w:highlight w:val="none"/>
        </w:rPr>
      </w:pPr>
    </w:p>
    <w:p>
      <w:pPr>
        <w:jc w:val="both"/>
        <w:outlineLvl w:val="0"/>
        <w:rPr>
          <w:rFonts w:hint="eastAsia" w:ascii="黑体" w:hAnsi="黑体" w:eastAsia="黑体" w:cs="黑体"/>
          <w:b w:val="0"/>
          <w:bCs w:val="0"/>
          <w:color w:val="auto"/>
          <w:sz w:val="48"/>
          <w:szCs w:val="48"/>
          <w:highlight w:val="none"/>
        </w:rPr>
      </w:pPr>
    </w:p>
    <w:p>
      <w:pPr>
        <w:jc w:val="both"/>
        <w:outlineLvl w:val="0"/>
        <w:rPr>
          <w:rFonts w:hint="eastAsia" w:ascii="黑体" w:hAnsi="黑体" w:eastAsia="黑体" w:cs="黑体"/>
          <w:b w:val="0"/>
          <w:bCs w:val="0"/>
          <w:color w:val="auto"/>
          <w:sz w:val="48"/>
          <w:szCs w:val="48"/>
          <w:highlight w:val="none"/>
        </w:rPr>
      </w:pPr>
    </w:p>
    <w:p>
      <w:pPr>
        <w:jc w:val="both"/>
        <w:outlineLvl w:val="0"/>
        <w:rPr>
          <w:rFonts w:hint="eastAsia" w:ascii="黑体" w:hAnsi="黑体" w:eastAsia="黑体" w:cs="黑体"/>
          <w:b w:val="0"/>
          <w:bCs w:val="0"/>
          <w:color w:val="auto"/>
          <w:sz w:val="48"/>
          <w:szCs w:val="48"/>
          <w:highlight w:val="none"/>
        </w:rPr>
      </w:pPr>
    </w:p>
    <w:p>
      <w:pPr>
        <w:jc w:val="both"/>
        <w:outlineLvl w:val="0"/>
        <w:rPr>
          <w:rFonts w:hint="eastAsia" w:ascii="黑体" w:hAnsi="黑体" w:eastAsia="黑体" w:cs="黑体"/>
          <w:b w:val="0"/>
          <w:bCs w:val="0"/>
          <w:color w:val="auto"/>
          <w:sz w:val="48"/>
          <w:szCs w:val="48"/>
          <w:highlight w:val="none"/>
        </w:rPr>
      </w:pPr>
    </w:p>
    <w:p>
      <w:pPr>
        <w:jc w:val="both"/>
        <w:outlineLvl w:val="0"/>
        <w:rPr>
          <w:rFonts w:hint="eastAsia" w:ascii="黑体" w:hAnsi="黑体" w:eastAsia="黑体" w:cs="黑体"/>
          <w:b w:val="0"/>
          <w:bCs w:val="0"/>
          <w:color w:val="auto"/>
          <w:sz w:val="48"/>
          <w:szCs w:val="48"/>
          <w:highlight w:val="none"/>
        </w:rPr>
      </w:pPr>
    </w:p>
    <w:p>
      <w:pPr>
        <w:jc w:val="both"/>
        <w:outlineLvl w:val="0"/>
        <w:rPr>
          <w:rFonts w:hint="eastAsia" w:ascii="黑体" w:hAnsi="黑体" w:eastAsia="黑体" w:cs="黑体"/>
          <w:b w:val="0"/>
          <w:bCs w:val="0"/>
          <w:color w:val="auto"/>
          <w:sz w:val="48"/>
          <w:szCs w:val="48"/>
          <w:highlight w:val="none"/>
        </w:rPr>
      </w:pPr>
      <w:r>
        <w:rPr>
          <w:rFonts w:hint="eastAsia" w:ascii="黑体" w:hAnsi="黑体" w:eastAsia="黑体" w:cs="黑体"/>
          <w:b w:val="0"/>
          <w:bCs w:val="0"/>
          <w:color w:val="auto"/>
          <w:sz w:val="48"/>
          <w:szCs w:val="48"/>
          <w:highlight w:val="none"/>
        </w:rPr>
        <w:t>第</w:t>
      </w:r>
      <w:r>
        <w:rPr>
          <w:rFonts w:hint="eastAsia" w:ascii="黑体" w:hAnsi="黑体" w:eastAsia="黑体" w:cs="黑体"/>
          <w:b w:val="0"/>
          <w:bCs w:val="0"/>
          <w:color w:val="auto"/>
          <w:sz w:val="48"/>
          <w:szCs w:val="48"/>
          <w:highlight w:val="none"/>
          <w:lang w:eastAsia="zh-CN"/>
        </w:rPr>
        <w:t>三</w:t>
      </w:r>
      <w:r>
        <w:rPr>
          <w:rFonts w:hint="eastAsia" w:ascii="黑体" w:hAnsi="黑体" w:eastAsia="黑体" w:cs="黑体"/>
          <w:b w:val="0"/>
          <w:bCs w:val="0"/>
          <w:color w:val="auto"/>
          <w:sz w:val="48"/>
          <w:szCs w:val="48"/>
          <w:highlight w:val="none"/>
        </w:rPr>
        <w:t>部分</w:t>
      </w:r>
      <w:r>
        <w:rPr>
          <w:rFonts w:hint="eastAsia" w:ascii="黑体" w:hAnsi="黑体" w:eastAsia="黑体" w:cs="黑体"/>
          <w:b w:val="0"/>
          <w:bCs w:val="0"/>
          <w:color w:val="auto"/>
          <w:sz w:val="48"/>
          <w:szCs w:val="48"/>
          <w:highlight w:val="none"/>
          <w:lang w:val="en-US" w:eastAsia="zh-CN"/>
        </w:rPr>
        <w:t xml:space="preserve">  </w:t>
      </w:r>
      <w:r>
        <w:rPr>
          <w:rFonts w:hint="eastAsia" w:ascii="黑体" w:hAnsi="黑体" w:eastAsia="黑体" w:cs="黑体"/>
          <w:b w:val="0"/>
          <w:bCs w:val="0"/>
          <w:color w:val="auto"/>
          <w:sz w:val="48"/>
          <w:szCs w:val="48"/>
          <w:highlight w:val="none"/>
          <w:lang w:eastAsia="zh-CN"/>
        </w:rPr>
        <w:t>20</w:t>
      </w:r>
      <w:r>
        <w:rPr>
          <w:rFonts w:hint="eastAsia" w:ascii="黑体" w:hAnsi="黑体" w:eastAsia="黑体" w:cs="黑体"/>
          <w:b w:val="0"/>
          <w:bCs w:val="0"/>
          <w:color w:val="auto"/>
          <w:sz w:val="48"/>
          <w:szCs w:val="48"/>
          <w:highlight w:val="none"/>
          <w:lang w:val="en-US" w:eastAsia="zh-CN"/>
        </w:rPr>
        <w:t>21</w:t>
      </w:r>
      <w:r>
        <w:rPr>
          <w:rFonts w:hint="eastAsia" w:ascii="黑体" w:hAnsi="黑体" w:eastAsia="黑体" w:cs="黑体"/>
          <w:b w:val="0"/>
          <w:bCs w:val="0"/>
          <w:color w:val="auto"/>
          <w:sz w:val="48"/>
          <w:szCs w:val="48"/>
          <w:highlight w:val="none"/>
          <w:lang w:eastAsia="zh-CN"/>
        </w:rPr>
        <w:t>年度</w:t>
      </w:r>
      <w:r>
        <w:rPr>
          <w:rFonts w:hint="eastAsia" w:ascii="黑体" w:hAnsi="黑体" w:eastAsia="黑体" w:cs="黑体"/>
          <w:b w:val="0"/>
          <w:bCs w:val="0"/>
          <w:color w:val="auto"/>
          <w:sz w:val="48"/>
          <w:szCs w:val="48"/>
          <w:highlight w:val="none"/>
        </w:rPr>
        <w:t>部门决算情况说明</w:t>
      </w:r>
    </w:p>
    <w:p>
      <w:pPr>
        <w:widowControl/>
        <w:jc w:val="left"/>
        <w:rPr>
          <w:rFonts w:hint="eastAsia" w:ascii="黑体" w:hAnsi="黑体" w:eastAsia="黑体" w:cs="黑体"/>
          <w:b w:val="0"/>
          <w:bCs w:val="0"/>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2021年度收、支总计均为1279.66万元。与上年度相比，收、支总计各减少187.07万元，下降12.75%。主要原因是2021年较2020年减少了全域网络覆盖工程、职业技能鉴定等项目经费。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入合计953.90万元，其中：财政拨款收入953.90万元，占100%；上级补助收入0.00万元，占0.00%；事业收入0.00万元，占0.00%；经营收入0.00万元，占0.00%；附属单位上缴收入0.00万元，占0.00%；其他收入0.00万元，占0.00%。</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2021年度支出合计1279.66万元，其中：基本支出712.7万元，占55.69%；项目支出566.96万元，占44.31%；上缴上级支出0.00万元，占0.00%；经营支出0.00万元，占0.00%；对附属单位补助支出0.00万元，占0.00%。</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2021年度财政拨款收、支总计均为1279.66万元。与上年度相比，财政拨款收、支总计减少187.07万元，减少12.75%。主要原因是2021年较2020年减少了全域网络覆盖工程、职业技能鉴定等项目经费。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1279.66万元，占本年支出合计的100%。与上年度相比，一般公共预算财政拨款支出增加137.24万元，增长12.01%。主要原因是2021年一般公共预算财政拨款基本支出增加57.96万元，人员相关经费较上年有所增加；2021年项目经费支出较上年增加了79.28万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2021年度一般公共预算财政拨款支出1279.66万元，主要用于以下方面：一般公共服务（类）支出3.24万元，占0.25%；社会保障和就业（类）支出1234.66万元，占96.49%；卫生健康（类）支出41.76万元，占3.26%。</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2021年度一般公共预算财政拨款支出年初预算为679.68万元，支出决算为1279.66万元，完成年初预算的188.27%。其中：</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年初预算为3.24万元，支出决算为3.24万元，完成年初预算的100%。决算数与年初预算数不存在差异。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2．社会保障和就业支出（类）人力资源和社会保障管理事务（款）公共就业服务和职业技能鉴定机构（项）。</w:t>
      </w:r>
      <w:r>
        <w:rPr>
          <w:rFonts w:hint="eastAsia" w:ascii="仿宋_GB2312" w:hAnsi="仿宋_GB2312" w:eastAsia="仿宋_GB2312" w:cs="仿宋_GB2312"/>
          <w:color w:val="auto"/>
          <w:sz w:val="32"/>
          <w:szCs w:val="32"/>
          <w:highlight w:val="none"/>
          <w:lang w:val="en-US" w:eastAsia="zh-CN"/>
        </w:rPr>
        <w:t>年初预算为575.78万元，支出决算为610.86万元，完成年初预算的106.09%。决算数与年初预算数存在差异的主要原因是此项支出中基本支出602.10万元，主要支出内容为人员工资福利支出、商品和服务类支出；另外，根据业务开展情况及上年项目经费结余情况，</w:t>
      </w:r>
      <w:r>
        <w:rPr>
          <w:rFonts w:hint="eastAsia" w:ascii="仿宋_GB2312" w:hAnsi="仿宋_GB2312" w:eastAsia="仿宋_GB2312" w:cs="仿宋_GB2312"/>
          <w:b w:val="0"/>
          <w:bCs w:val="0"/>
          <w:color w:val="auto"/>
          <w:sz w:val="32"/>
          <w:szCs w:val="32"/>
          <w:highlight w:val="none"/>
          <w:lang w:val="en-US" w:eastAsia="zh-CN"/>
        </w:rPr>
        <w:t>公共就业服务和职业技能鉴定机构（项）除</w:t>
      </w:r>
      <w:r>
        <w:rPr>
          <w:rFonts w:hint="eastAsia" w:ascii="仿宋_GB2312" w:hAnsi="仿宋_GB2312" w:eastAsia="仿宋_GB2312" w:cs="仿宋_GB2312"/>
          <w:color w:val="auto"/>
          <w:sz w:val="32"/>
          <w:szCs w:val="32"/>
          <w:highlight w:val="none"/>
          <w:lang w:val="en-US" w:eastAsia="zh-CN"/>
        </w:rPr>
        <w:t>预算外项目支出8.76万元，所以此类项支出决算超出年初预算。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 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年初预算为0.00万元，支出决算为0.94万元。决算数与年初预算数存在差异的主要原因是上年度的行政</w:t>
      </w:r>
      <w:r>
        <w:rPr>
          <w:rFonts w:hint="eastAsia" w:ascii="仿宋_GB2312" w:hAnsi="仿宋_GB2312" w:eastAsia="仿宋_GB2312" w:cs="仿宋_GB2312"/>
          <w:b w:val="0"/>
          <w:bCs w:val="0"/>
          <w:color w:val="auto"/>
          <w:sz w:val="32"/>
          <w:szCs w:val="32"/>
          <w:highlight w:val="none"/>
          <w:lang w:val="en-US" w:eastAsia="zh-CN"/>
        </w:rPr>
        <w:t>单位离退休（项）</w:t>
      </w:r>
      <w:r>
        <w:rPr>
          <w:rFonts w:hint="eastAsia" w:ascii="仿宋_GB2312" w:hAnsi="仿宋_GB2312" w:eastAsia="仿宋_GB2312" w:cs="仿宋_GB2312"/>
          <w:color w:val="auto"/>
          <w:sz w:val="32"/>
          <w:szCs w:val="32"/>
          <w:highlight w:val="none"/>
          <w:lang w:val="en-US" w:eastAsia="zh-CN"/>
        </w:rPr>
        <w:t>指标有结余，所以此类项支出决算超出年初预算。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 事业单位离退休（项）</w:t>
      </w:r>
      <w:r>
        <w:rPr>
          <w:rFonts w:hint="eastAsia" w:ascii="仿宋_GB2312" w:hAnsi="仿宋_GB2312" w:eastAsia="仿宋_GB2312" w:cs="仿宋_GB2312"/>
          <w:color w:val="auto"/>
          <w:sz w:val="32"/>
          <w:szCs w:val="32"/>
          <w:highlight w:val="none"/>
          <w:lang w:val="en-US" w:eastAsia="zh-CN"/>
        </w:rPr>
        <w:t>。年初预算为19.91万元，支出决算为19.49万元，完成年初预算的97.89%。决算数与年初预算数存在差异的主要原因是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事业单位离退休（项）项按照离退休人员经费预算情况安排支出。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40.53万元，支出决算为45.17万元，完成年初预算的111.45%。决算数与年初预算数存在差异的主要原因是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机关事业单位基本养老保险缴费支出（项）</w:t>
      </w:r>
      <w:r>
        <w:rPr>
          <w:rFonts w:hint="eastAsia" w:ascii="仿宋_GB2312" w:hAnsi="仿宋_GB2312" w:eastAsia="仿宋_GB2312" w:cs="仿宋_GB2312"/>
          <w:color w:val="auto"/>
          <w:sz w:val="32"/>
          <w:szCs w:val="32"/>
          <w:highlight w:val="none"/>
          <w:lang w:val="en-US" w:eastAsia="zh-CN"/>
        </w:rPr>
        <w:t>按照基数调整实际情况进行支出，所以此类项支出决算超出年初预算。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6.社会保障和就业支出（类）就业补助（款）就业创业服务补贴（项）。</w:t>
      </w:r>
      <w:r>
        <w:rPr>
          <w:rFonts w:hint="eastAsia" w:ascii="仿宋_GB2312" w:hAnsi="仿宋_GB2312" w:eastAsia="仿宋_GB2312" w:cs="仿宋_GB2312"/>
          <w:b w:val="0"/>
          <w:bCs w:val="0"/>
          <w:color w:val="auto"/>
          <w:sz w:val="32"/>
          <w:szCs w:val="32"/>
          <w:highlight w:val="none"/>
          <w:lang w:val="en-US" w:eastAsia="zh-CN"/>
        </w:rPr>
        <w:t>年初预算均为0.00万元，</w:t>
      </w:r>
      <w:r>
        <w:rPr>
          <w:rFonts w:hint="eastAsia" w:ascii="仿宋_GB2312" w:hAnsi="仿宋_GB2312" w:eastAsia="仿宋_GB2312" w:cs="仿宋_GB2312"/>
          <w:color w:val="auto"/>
          <w:sz w:val="32"/>
          <w:szCs w:val="32"/>
          <w:highlight w:val="none"/>
          <w:lang w:val="en-US" w:eastAsia="zh-CN"/>
        </w:rPr>
        <w:t>支出决算为4.04万元</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此类支出项系单位按照业务开展情况追加的项目支出，就业创业服务补贴（项）为2021年“迎新春送温暖稳岗留工”网络直播招聘和“民营企业招聘周”活动相关支出。</w:t>
      </w:r>
      <w:r>
        <w:rPr>
          <w:rFonts w:hint="eastAsia" w:ascii="仿宋_GB2312" w:hAnsi="仿宋_GB2312" w:eastAsia="仿宋_GB2312" w:cs="仿宋_GB2312"/>
          <w:color w:val="auto"/>
          <w:sz w:val="32"/>
          <w:szCs w:val="32"/>
          <w:highlight w:val="none"/>
          <w:lang w:val="en-US" w:eastAsia="zh-CN"/>
        </w:rPr>
        <w:t>所以此类项支出决算超出年初预算。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7.社会保障和就业支出（类）就业补助（款）职业培训补贴（项）。</w:t>
      </w:r>
      <w:r>
        <w:rPr>
          <w:rFonts w:hint="eastAsia" w:ascii="仿宋_GB2312" w:hAnsi="仿宋_GB2312" w:eastAsia="仿宋_GB2312" w:cs="仿宋_GB2312"/>
          <w:b w:val="0"/>
          <w:bCs w:val="0"/>
          <w:color w:val="auto"/>
          <w:sz w:val="32"/>
          <w:szCs w:val="32"/>
          <w:highlight w:val="none"/>
          <w:lang w:val="en-US" w:eastAsia="zh-CN"/>
        </w:rPr>
        <w:t>年初预算均为0.00万元，</w:t>
      </w:r>
      <w:r>
        <w:rPr>
          <w:rFonts w:hint="eastAsia" w:ascii="仿宋_GB2312" w:hAnsi="仿宋_GB2312" w:eastAsia="仿宋_GB2312" w:cs="仿宋_GB2312"/>
          <w:color w:val="auto"/>
          <w:sz w:val="32"/>
          <w:szCs w:val="32"/>
          <w:highlight w:val="none"/>
          <w:lang w:val="en-US" w:eastAsia="zh-CN"/>
        </w:rPr>
        <w:t>支出决算48.68万元</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此类支出项系单位按照业务开展情况追加的项目支出，职业培训补贴（项）为创业培训业务开展的各项支出。</w:t>
      </w:r>
      <w:r>
        <w:rPr>
          <w:rFonts w:hint="eastAsia" w:ascii="仿宋_GB2312" w:hAnsi="仿宋_GB2312" w:eastAsia="仿宋_GB2312" w:cs="仿宋_GB2312"/>
          <w:color w:val="auto"/>
          <w:sz w:val="32"/>
          <w:szCs w:val="32"/>
          <w:highlight w:val="none"/>
          <w:lang w:val="en-US" w:eastAsia="zh-CN"/>
        </w:rPr>
        <w:t>所以此类项支出决算超出年初预算。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8.社会保障和就业支出（类）就业补助（款）促进创业补贴（项）。 </w:t>
      </w:r>
      <w:r>
        <w:rPr>
          <w:rFonts w:hint="eastAsia" w:ascii="仿宋_GB2312" w:hAnsi="仿宋_GB2312" w:eastAsia="仿宋_GB2312" w:cs="仿宋_GB2312"/>
          <w:b w:val="0"/>
          <w:bCs w:val="0"/>
          <w:color w:val="auto"/>
          <w:sz w:val="32"/>
          <w:szCs w:val="32"/>
          <w:highlight w:val="none"/>
          <w:lang w:val="en-US" w:eastAsia="zh-CN"/>
        </w:rPr>
        <w:t>年初预算均为0.00万元，支出决算为415.8万元。</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此类支出项系单位按照业务开展情况追加的项目支出，促进创业补贴（项）为大学生发放求职创业补贴相关支出。</w:t>
      </w:r>
      <w:r>
        <w:rPr>
          <w:rFonts w:hint="eastAsia" w:ascii="仿宋_GB2312" w:hAnsi="仿宋_GB2312" w:eastAsia="仿宋_GB2312" w:cs="仿宋_GB2312"/>
          <w:color w:val="auto"/>
          <w:sz w:val="32"/>
          <w:szCs w:val="32"/>
          <w:highlight w:val="none"/>
          <w:lang w:val="en-US" w:eastAsia="zh-CN"/>
        </w:rPr>
        <w:t>所以此类项支出决算超出年初预算。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9.社会保障和就业支出（类）就业补助（款）其他就业补助支出（项）。</w:t>
      </w:r>
      <w:r>
        <w:rPr>
          <w:rFonts w:hint="eastAsia" w:ascii="仿宋_GB2312" w:hAnsi="仿宋_GB2312" w:eastAsia="仿宋_GB2312" w:cs="仿宋_GB2312"/>
          <w:b w:val="0"/>
          <w:bCs w:val="0"/>
          <w:color w:val="auto"/>
          <w:sz w:val="32"/>
          <w:szCs w:val="32"/>
          <w:highlight w:val="none"/>
          <w:lang w:val="en-US" w:eastAsia="zh-CN"/>
        </w:rPr>
        <w:t>年初预算均为0.00万元，支出决算为89.67万元。</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此类支出项系单位按照业务开展情况追加的项目支出。其他就业补助支出（项）为开展就业帮扶相关工作的各项支出。</w:t>
      </w:r>
      <w:r>
        <w:rPr>
          <w:rFonts w:hint="eastAsia" w:ascii="仿宋_GB2312" w:hAnsi="仿宋_GB2312" w:eastAsia="仿宋_GB2312" w:cs="仿宋_GB2312"/>
          <w:color w:val="auto"/>
          <w:sz w:val="32"/>
          <w:szCs w:val="32"/>
          <w:highlight w:val="none"/>
          <w:lang w:val="en-US" w:eastAsia="zh-CN"/>
        </w:rPr>
        <w:t>所以此类项支出决算超出年初预算。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10.卫生健康支出（类）行政事业单位医疗（款） 事业单位医疗（项）。</w:t>
      </w:r>
      <w:r>
        <w:rPr>
          <w:rFonts w:hint="eastAsia" w:ascii="仿宋_GB2312" w:hAnsi="仿宋_GB2312" w:eastAsia="仿宋_GB2312" w:cs="仿宋_GB2312"/>
          <w:b w:val="0"/>
          <w:bCs w:val="0"/>
          <w:color w:val="auto"/>
          <w:sz w:val="32"/>
          <w:szCs w:val="32"/>
          <w:highlight w:val="none"/>
          <w:lang w:val="en-US" w:eastAsia="zh-CN"/>
        </w:rPr>
        <w:t>年初预算为20.60万元,支出决算为22.43万元，完成预算的108.88%。决算数与年初预算数存在差异的主要原因是事业单位医疗（项）指标上年有结余，按照医疗基数调整实际情况进行支出，所以此类项支出决算超出年初预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11、卫生健康支出（类）行政事业单位医疗（款）公务员医疗补助（项）。</w:t>
      </w:r>
      <w:r>
        <w:rPr>
          <w:rFonts w:hint="eastAsia" w:ascii="仿宋_GB2312" w:hAnsi="仿宋_GB2312" w:eastAsia="仿宋_GB2312" w:cs="仿宋_GB2312"/>
          <w:b w:val="0"/>
          <w:bCs w:val="0"/>
          <w:color w:val="auto"/>
          <w:sz w:val="32"/>
          <w:szCs w:val="32"/>
          <w:highlight w:val="none"/>
          <w:lang w:val="en-US" w:eastAsia="zh-CN"/>
        </w:rPr>
        <w:t>年初预算为19.62万元，支出决算为19.33万元，完成预算的98.52%。决算数与年初预算数存在差异的主要原因是公务员医疗补助（项）按照此项经费预算情况安排支出。</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基本支出712.7万元。其中：人员经费687.79万元，主要包括：基本工资、津贴补贴、奖金、机关事业单位基本养老保险缴费、职工基本医疗保险缴费、公务员医疗补助缴费、其他社会保障缴费、住房公积金、退休费；公用经费24.91万元，主要包括：办公费、印刷费、邮电费、差旅费、维修（护）费、租赁费、培训费、公务接待费、劳务费、工会经费、福利费、公务用车运行维护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2021年度“三公”经费财政拨款支出预算为2.96万元，支出决算为2.06万元，完成预算的69.59%。2021年度“三公”经费支出决算数与预算数存在差异的主要原因是厉行节约，从严控制公务接待支出。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决算中，因公出国（境）费支出决算0.00万元，占0.00%；公务用车购置及运行费支出决算1.99万元，完成预算的99.50%，占96.60%；公务接待费支出决算0.07万元，完成预算的7.29%，占3.40%。具体情况如下：</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预算为0.00万元，支出决算为0.00万元。决算数与预算数不存在差异。</w:t>
      </w:r>
      <w:r>
        <w:rPr>
          <w:rFonts w:hint="eastAsia" w:ascii="仿宋_GB2312" w:hAnsi="仿宋_GB2312" w:eastAsia="仿宋_GB2312" w:cs="仿宋_GB2312"/>
          <w:color w:val="000000"/>
          <w:sz w:val="32"/>
          <w:szCs w:val="32"/>
          <w:highlight w:val="none"/>
          <w:u w:val="none"/>
          <w:lang w:val="en-US" w:eastAsia="zh-CN"/>
        </w:rPr>
        <w:t>全年因公出国（境）团组0个，累计0人次。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预算为2万元，支出决算为1.99万元，完成预算的99.5%。决算数与预算数存在差异的主要原因是严格按照公务用车使用标准和预算标准使用公务车辆。其中：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1.99万元。主要用于</w:t>
      </w:r>
      <w:r>
        <w:rPr>
          <w:rFonts w:hint="default" w:ascii="仿宋_GB2312" w:hAnsi="仿宋_GB2312" w:eastAsia="仿宋_GB2312" w:cs="仿宋_GB2312"/>
          <w:color w:val="auto"/>
          <w:sz w:val="32"/>
          <w:szCs w:val="32"/>
          <w:highlight w:val="none"/>
          <w:lang w:val="en-US" w:eastAsia="zh-CN"/>
        </w:rPr>
        <w:t>公务用车的燃油费、维 修费、保险费、过路过桥费</w:t>
      </w:r>
      <w:r>
        <w:rPr>
          <w:rFonts w:hint="eastAsia" w:ascii="仿宋_GB2312" w:hAnsi="仿宋_GB2312" w:eastAsia="仿宋_GB2312" w:cs="仿宋_GB2312"/>
          <w:color w:val="auto"/>
          <w:sz w:val="32"/>
          <w:szCs w:val="32"/>
          <w:highlight w:val="none"/>
          <w:lang w:val="en-US" w:eastAsia="zh-CN"/>
        </w:rPr>
        <w:t>。2021年期末，单位开支财政拨款的公务用车保有量为2辆。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预算为0.96万元，支出决算为0.07万元，完成预算的7.29%。决算数与预算数存在差异的主要原因是厉行节约，从严控制公务接待支出。其中：</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0.00万元。2020年共接待国（境）外来访团组0个、来访外宾0人次（不包括陪同人员）。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2021年度政府性基金预算财政拨款支出年初预算为0.00万元，支出决算为0.00万元，</w:t>
      </w:r>
      <w:r>
        <w:rPr>
          <w:rFonts w:hint="eastAsia" w:ascii="仿宋_GB2312" w:hAnsi="仿宋_GB2312" w:eastAsia="仿宋_GB2312" w:cs="仿宋_GB2312"/>
          <w:color w:val="auto"/>
          <w:sz w:val="32"/>
          <w:szCs w:val="32"/>
          <w:highlight w:val="none"/>
          <w:lang w:eastAsia="zh-CN"/>
        </w:rPr>
        <w:t>不存在项目年末结转和结余资金数额较大。</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我单位不是行政机关，也不是参照公务员管理事业单位，没有机关运行经费支出。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十、政府采购支出情况说明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2021年度政府采购支出总额0.00万元，其中：政府采购货物支出0.00万元、政府采购工程支出0.00万元、政府采购服务支出0.00万元。授予中小企业合同金额0.00万元，其中：授予小微企业合同金额0.00万元。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十一、国有资产占用情况说明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期末，我单位共有车辆2辆，其中：省级领导干部用车0辆、主要领导干部用车0辆、机要通信用车0辆、应急保障车0辆、执法执勤用车0辆、特种专业技术用车0辆、离退休干部用车0辆、其他用车2辆；单位价值50万元以上通用设备0台（套），单位价值100万元以上专用设备0台（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十二、预算绩效情况说明</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2"/>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i w:val="0"/>
          <w:iCs w:val="0"/>
          <w:color w:val="000000"/>
          <w:kern w:val="2"/>
          <w:sz w:val="32"/>
          <w:szCs w:val="32"/>
          <w:highlight w:val="none"/>
          <w:u w:val="none" w:color="auto"/>
          <w:lang w:val="en-US" w:eastAsia="zh-CN" w:bidi="ar-SA"/>
        </w:rPr>
        <w:t>我单位严格履行预算绩效管理主体责任，以绩效目标为导向，做好绩效运行监控，提升了绩效自评质量及绩效管理工作水平，充分发挥财政资金使用效益。</w:t>
      </w:r>
      <w:r>
        <w:rPr>
          <w:rFonts w:hint="eastAsia" w:ascii="仿宋_GB2312" w:hAnsi="仿宋_GB2312" w:eastAsia="仿宋_GB2312" w:cs="仿宋_GB2312"/>
          <w:color w:val="auto"/>
          <w:sz w:val="32"/>
          <w:szCs w:val="32"/>
          <w:highlight w:val="none"/>
          <w:lang w:val="en-US" w:eastAsia="zh-CN"/>
        </w:rPr>
        <w:t>2021年我单位纳入预算绩效管理的支出总额为1279.66万元，其中：基本支出712.70万元；支出项目4个，支出金额566.96万元。开展项目绩效自评项目4个，自评金额566.96万元；纳入重点绩效评价0个，评价金额0.00万元。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2021年，公共就业服务中心按照市人社局党组部署，紧紧围绕六稳六保之首的就业服务工作，有效地促进了城乡就业和企业复工复产，</w:t>
      </w:r>
      <w:r>
        <w:rPr>
          <w:rFonts w:hint="eastAsia" w:ascii="仿宋_GB2312" w:hAnsi="仿宋_GB2312" w:eastAsia="仿宋_GB2312" w:cs="仿宋_GB2312"/>
          <w:sz w:val="32"/>
          <w:szCs w:val="32"/>
        </w:rPr>
        <w:t>根据财政预算管理要求，绩效目标设置合理，严格按各项管理制度执行，年初设定的各项工作目标完成情况较好</w:t>
      </w:r>
      <w:r>
        <w:rPr>
          <w:rFonts w:hint="eastAsia" w:ascii="仿宋_GB2312" w:hAnsi="仿宋_GB2312" w:eastAsia="仿宋_GB2312" w:cs="仿宋_GB2312"/>
          <w:color w:val="auto"/>
          <w:sz w:val="32"/>
          <w:szCs w:val="32"/>
          <w:highlight w:val="none"/>
          <w:lang w:val="en-US" w:eastAsia="zh-CN"/>
        </w:rPr>
        <w:t>。二是项目绩效自评情况。我单位共有4个项目批复了绩效目标，项目金额566.96万元。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92.56分。其中：2个项目评价等级为“优”、2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（三）重点项目绩效自评结果。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ind w:firstLine="2400" w:firstLineChars="500"/>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Nxd+CH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4F206"/>
    <w:multiLevelType w:val="singleLevel"/>
    <w:tmpl w:val="AD94F206"/>
    <w:lvl w:ilvl="0" w:tentative="0">
      <w:start w:val="1"/>
      <w:numFmt w:val="decimal"/>
      <w:suff w:val="nothing"/>
      <w:lvlText w:val="%1．"/>
      <w:lvlJc w:val="left"/>
    </w:lvl>
  </w:abstractNum>
  <w:abstractNum w:abstractNumId="1">
    <w:nsid w:val="B2D39D21"/>
    <w:multiLevelType w:val="singleLevel"/>
    <w:tmpl w:val="B2D39D21"/>
    <w:lvl w:ilvl="0" w:tentative="0">
      <w:start w:val="1"/>
      <w:numFmt w:val="chineseCounting"/>
      <w:suff w:val="space"/>
      <w:lvlText w:val="第%1部分"/>
      <w:lvlJc w:val="left"/>
      <w:rPr>
        <w:rFonts w:hint="eastAsia"/>
      </w:rPr>
    </w:lvl>
  </w:abstractNum>
  <w:abstractNum w:abstractNumId="2">
    <w:nsid w:val="00000006"/>
    <w:multiLevelType w:val="singleLevel"/>
    <w:tmpl w:val="00000006"/>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wMjE4YjNjYThkMGEyZGY2YTdlMjk2Y2NmZDkwNDkifQ=="/>
  </w:docVars>
  <w:rsids>
    <w:rsidRoot w:val="00172A27"/>
    <w:rsid w:val="00450EC2"/>
    <w:rsid w:val="0128001A"/>
    <w:rsid w:val="02C73FE0"/>
    <w:rsid w:val="033833A1"/>
    <w:rsid w:val="034B3EB3"/>
    <w:rsid w:val="04235D9E"/>
    <w:rsid w:val="07D275EB"/>
    <w:rsid w:val="0DA57203"/>
    <w:rsid w:val="0E6A122D"/>
    <w:rsid w:val="0FA63D6D"/>
    <w:rsid w:val="127325C3"/>
    <w:rsid w:val="16452C82"/>
    <w:rsid w:val="17EF772C"/>
    <w:rsid w:val="18445161"/>
    <w:rsid w:val="1FB241D2"/>
    <w:rsid w:val="201A7F2B"/>
    <w:rsid w:val="24E209E1"/>
    <w:rsid w:val="25744FE5"/>
    <w:rsid w:val="29C3606D"/>
    <w:rsid w:val="2A5F7ABB"/>
    <w:rsid w:val="2B6C4B0F"/>
    <w:rsid w:val="2C7E1070"/>
    <w:rsid w:val="2E2B6D4E"/>
    <w:rsid w:val="305C49F1"/>
    <w:rsid w:val="31740A8B"/>
    <w:rsid w:val="325D4293"/>
    <w:rsid w:val="3ABA68C2"/>
    <w:rsid w:val="3E270B45"/>
    <w:rsid w:val="4032514F"/>
    <w:rsid w:val="417C11A7"/>
    <w:rsid w:val="44FF53D3"/>
    <w:rsid w:val="46341E78"/>
    <w:rsid w:val="4B6838A2"/>
    <w:rsid w:val="4D3D3ADD"/>
    <w:rsid w:val="4EDB150B"/>
    <w:rsid w:val="50CE6F06"/>
    <w:rsid w:val="55F933A8"/>
    <w:rsid w:val="5D093FE5"/>
    <w:rsid w:val="66893088"/>
    <w:rsid w:val="678072DF"/>
    <w:rsid w:val="72591474"/>
    <w:rsid w:val="7279029F"/>
    <w:rsid w:val="74FC2952"/>
    <w:rsid w:val="75ED6D96"/>
    <w:rsid w:val="79AF7628"/>
    <w:rsid w:val="7E3312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style>
  <w:style w:type="paragraph" w:styleId="5">
    <w:name w:val="annotation text"/>
    <w:basedOn w:val="1"/>
    <w:qFormat/>
    <w:uiPriority w:val="0"/>
    <w:pPr>
      <w:jc w:val="left"/>
    </w:pPr>
  </w:style>
  <w:style w:type="paragraph" w:styleId="6">
    <w:name w:val="Balloon Text"/>
    <w:basedOn w:val="1"/>
    <w:link w:val="15"/>
    <w:qFormat/>
    <w:uiPriority w:val="0"/>
    <w:rPr>
      <w:kern w:val="2"/>
      <w:sz w:val="18"/>
      <w:szCs w:val="18"/>
    </w:rPr>
  </w:style>
  <w:style w:type="paragraph" w:styleId="7">
    <w:name w:val="footer"/>
    <w:basedOn w:val="1"/>
    <w:link w:val="16"/>
    <w:qFormat/>
    <w:uiPriority w:val="0"/>
    <w:pPr>
      <w:tabs>
        <w:tab w:val="center" w:pos="4153"/>
        <w:tab w:val="right" w:pos="8306"/>
      </w:tabs>
      <w:snapToGrid w:val="0"/>
      <w:jc w:val="left"/>
    </w:pPr>
    <w:rPr>
      <w:kern w:val="2"/>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styleId="9">
    <w:name w:val="footnote text"/>
    <w:basedOn w:val="1"/>
    <w:qFormat/>
    <w:uiPriority w:val="0"/>
    <w:pPr>
      <w:snapToGrid w:val="0"/>
      <w:jc w:val="left"/>
    </w:pPr>
    <w:rPr>
      <w:sz w:val="18"/>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character" w:styleId="14">
    <w:name w:val="footnote reference"/>
    <w:basedOn w:val="11"/>
    <w:qFormat/>
    <w:uiPriority w:val="0"/>
    <w:rPr>
      <w:vertAlign w:val="superscript"/>
    </w:rPr>
  </w:style>
  <w:style w:type="character" w:customStyle="1" w:styleId="15">
    <w:name w:val="批注框文本 Char Char"/>
    <w:basedOn w:val="11"/>
    <w:link w:val="6"/>
    <w:qFormat/>
    <w:uiPriority w:val="0"/>
    <w:rPr>
      <w:kern w:val="2"/>
      <w:sz w:val="18"/>
      <w:szCs w:val="18"/>
    </w:rPr>
  </w:style>
  <w:style w:type="character" w:customStyle="1" w:styleId="16">
    <w:name w:val="页脚 Char Char"/>
    <w:link w:val="7"/>
    <w:qFormat/>
    <w:uiPriority w:val="0"/>
    <w:rPr>
      <w:kern w:val="2"/>
      <w:sz w:val="18"/>
      <w:szCs w:val="18"/>
    </w:rPr>
  </w:style>
  <w:style w:type="character" w:customStyle="1" w:styleId="17">
    <w:name w:val="页眉 Char Char"/>
    <w:link w:val="8"/>
    <w:qFormat/>
    <w:uiPriority w:val="0"/>
    <w:rPr>
      <w:kern w:val="2"/>
      <w:sz w:val="18"/>
      <w:szCs w:val="18"/>
    </w:rPr>
  </w:style>
  <w:style w:type="character" w:customStyle="1" w:styleId="18">
    <w:name w:val="font01"/>
    <w:basedOn w:val="11"/>
    <w:qFormat/>
    <w:uiPriority w:val="0"/>
    <w:rPr>
      <w:rFonts w:hint="eastAsia" w:ascii="宋体" w:hAnsi="宋体" w:eastAsia="宋体" w:cs="宋体"/>
      <w:color w:val="000000"/>
      <w:sz w:val="22"/>
      <w:szCs w:val="22"/>
      <w:u w:val="none"/>
    </w:rPr>
  </w:style>
  <w:style w:type="character" w:customStyle="1" w:styleId="19">
    <w:name w:val="font51"/>
    <w:basedOn w:val="11"/>
    <w:qFormat/>
    <w:uiPriority w:val="0"/>
    <w:rPr>
      <w:rFonts w:hint="eastAsia" w:ascii="宋体" w:hAnsi="宋体" w:eastAsia="宋体" w:cs="宋体"/>
      <w:color w:val="000000"/>
      <w:sz w:val="24"/>
      <w:szCs w:val="24"/>
      <w:u w:val="none"/>
    </w:rPr>
  </w:style>
  <w:style w:type="character" w:customStyle="1" w:styleId="20">
    <w:name w:val="font41"/>
    <w:basedOn w:val="11"/>
    <w:qFormat/>
    <w:uiPriority w:val="0"/>
    <w:rPr>
      <w:rFonts w:hint="eastAsia" w:ascii="宋体" w:hAnsi="宋体" w:eastAsia="宋体" w:cs="宋体"/>
      <w:color w:val="000000"/>
      <w:sz w:val="24"/>
      <w:szCs w:val="24"/>
      <w:u w:val="none"/>
    </w:rPr>
  </w:style>
  <w:style w:type="character" w:customStyle="1" w:styleId="21">
    <w:name w:val="font11"/>
    <w:basedOn w:val="11"/>
    <w:qFormat/>
    <w:uiPriority w:val="0"/>
    <w:rPr>
      <w:rFonts w:hint="eastAsia" w:ascii="宋体" w:hAnsi="宋体" w:eastAsia="宋体" w:cs="宋体"/>
      <w:color w:val="000000"/>
      <w:sz w:val="20"/>
      <w:szCs w:val="20"/>
      <w:u w:val="none"/>
    </w:rPr>
  </w:style>
  <w:style w:type="character" w:customStyle="1" w:styleId="22">
    <w:name w:val="font21"/>
    <w:basedOn w:val="11"/>
    <w:qFormat/>
    <w:uiPriority w:val="0"/>
    <w:rPr>
      <w:rFonts w:hint="eastAsia" w:ascii="宋体" w:hAnsi="宋体" w:eastAsia="宋体" w:cs="宋体"/>
      <w:color w:val="000000"/>
      <w:sz w:val="22"/>
      <w:szCs w:val="22"/>
      <w:u w:val="none"/>
    </w:rPr>
  </w:style>
  <w:style w:type="paragraph" w:customStyle="1" w:styleId="23">
    <w:name w:val="标题1"/>
    <w:basedOn w:val="4"/>
    <w:qFormat/>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36</Pages>
  <Words>9127</Words>
  <Characters>11198</Characters>
  <Lines>57</Lines>
  <Paragraphs>16</Paragraphs>
  <TotalTime>76</TotalTime>
  <ScaleCrop>false</ScaleCrop>
  <LinksUpToDate>false</LinksUpToDate>
  <CharactersWithSpaces>11458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std</cp:lastModifiedBy>
  <cp:lastPrinted>2021-09-16T08:12:00Z</cp:lastPrinted>
  <dcterms:modified xsi:type="dcterms:W3CDTF">2023-05-09T08:53:09Z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7605F7BD21D6461384DD62400F244440_13</vt:lpwstr>
  </property>
</Properties>
</file>