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21</w:t>
      </w:r>
      <w:r>
        <w:rPr>
          <w:rFonts w:hint="eastAsia" w:ascii="黑体" w:hAnsi="黑体" w:eastAsia="黑体" w:cs="黑体"/>
          <w:sz w:val="52"/>
          <w:szCs w:val="52"/>
          <w:highlight w:val="none"/>
        </w:rPr>
        <w:t>年度</w:t>
      </w: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lang w:eastAsia="zh-CN"/>
        </w:rPr>
        <w:t>许昌市人才交流服务中心单位</w:t>
      </w:r>
      <w:r>
        <w:rPr>
          <w:rFonts w:hint="eastAsia" w:ascii="黑体" w:hAnsi="黑体" w:eastAsia="黑体" w:cs="黑体"/>
          <w:sz w:val="52"/>
          <w:szCs w:val="52"/>
          <w:highlight w:val="none"/>
        </w:rPr>
        <w:t>决算</w:t>
      </w:r>
    </w:p>
    <w:p>
      <w:pPr>
        <w:jc w:val="center"/>
        <w:rPr>
          <w:rFonts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highlight w:val="none"/>
        </w:rPr>
        <w:t>二〇二二年</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月</w:t>
      </w: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第一部分　</w:t>
      </w:r>
      <w:r>
        <w:rPr>
          <w:rFonts w:hint="eastAsia" w:ascii="黑体" w:hAnsi="黑体" w:eastAsia="黑体" w:cs="黑体"/>
          <w:sz w:val="32"/>
          <w:szCs w:val="32"/>
          <w:highlight w:val="none"/>
          <w:lang w:eastAsia="zh-CN"/>
        </w:rPr>
        <w:t>许昌市人才交流服务中心</w:t>
      </w:r>
      <w:r>
        <w:rPr>
          <w:rFonts w:hint="eastAsia" w:ascii="黑体" w:hAnsi="黑体" w:eastAsia="黑体" w:cs="黑体"/>
          <w:sz w:val="32"/>
          <w:szCs w:val="32"/>
          <w:highlight w:val="none"/>
        </w:rPr>
        <w:t>概况</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lang w:eastAsia="zh-CN"/>
        </w:rPr>
        <w:t>单位</w:t>
      </w:r>
      <w:r>
        <w:rPr>
          <w:rFonts w:hint="eastAsia" w:ascii="宋体" w:hAnsi="宋体" w:cs="宋体"/>
          <w:sz w:val="32"/>
          <w:szCs w:val="32"/>
          <w:highlight w:val="none"/>
        </w:rPr>
        <w:t>职责</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2021年度</w:t>
      </w:r>
      <w:r>
        <w:rPr>
          <w:rFonts w:hint="eastAsia" w:ascii="黑体" w:hAnsi="黑体" w:eastAsia="黑体" w:cs="黑体"/>
          <w:sz w:val="32"/>
          <w:szCs w:val="32"/>
          <w:highlight w:val="none"/>
          <w:lang w:eastAsia="zh-CN"/>
        </w:rPr>
        <w:t>单位</w:t>
      </w:r>
      <w:r>
        <w:rPr>
          <w:rFonts w:hint="eastAsia" w:ascii="黑体" w:hAnsi="黑体" w:eastAsia="黑体" w:cs="黑体"/>
          <w:sz w:val="32"/>
          <w:szCs w:val="32"/>
          <w:highlight w:val="none"/>
        </w:rPr>
        <w:t>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hint="eastAsia" w:ascii="黑体" w:hAnsi="黑体" w:eastAsia="黑体" w:cs="黑体"/>
          <w:sz w:val="32"/>
          <w:szCs w:val="32"/>
          <w:highlight w:val="none"/>
          <w:lang w:eastAsia="zh-CN"/>
        </w:rPr>
        <w:t>单位</w:t>
      </w:r>
      <w:r>
        <w:rPr>
          <w:rFonts w:hint="eastAsia" w:ascii="黑体" w:hAnsi="黑体" w:eastAsia="黑体" w:cs="黑体"/>
          <w:sz w:val="32"/>
          <w:szCs w:val="32"/>
          <w:highlight w:val="none"/>
        </w:rPr>
        <w:t>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十一、国有资产占用情况说明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numPr>
          <w:ilvl w:val="0"/>
          <w:numId w:val="2"/>
        </w:numPr>
        <w:jc w:val="center"/>
        <w:outlineLvl w:val="0"/>
        <w:rPr>
          <w:rFonts w:hint="eastAsia" w:ascii="黑体" w:hAnsi="黑体" w:eastAsia="黑体" w:cs="黑体"/>
          <w:sz w:val="48"/>
          <w:szCs w:val="48"/>
          <w:highlight w:val="none"/>
          <w:lang w:eastAsia="zh-CN"/>
        </w:rPr>
      </w:pPr>
      <w:r>
        <w:rPr>
          <w:rFonts w:hint="eastAsia" w:ascii="黑体" w:hAnsi="黑体" w:eastAsia="黑体" w:cs="黑体"/>
          <w:sz w:val="48"/>
          <w:szCs w:val="48"/>
          <w:highlight w:val="none"/>
        </w:rPr>
        <w:t xml:space="preserve"> </w:t>
      </w:r>
      <w:r>
        <w:rPr>
          <w:rFonts w:hint="eastAsia" w:ascii="黑体" w:hAnsi="黑体" w:eastAsia="黑体" w:cs="黑体"/>
          <w:sz w:val="48"/>
          <w:szCs w:val="48"/>
          <w:highlight w:val="none"/>
          <w:lang w:eastAsia="zh-CN"/>
        </w:rPr>
        <w:t>许昌市人才交流服务中心</w:t>
      </w:r>
    </w:p>
    <w:p>
      <w:pPr>
        <w:widowControl/>
        <w:numPr>
          <w:ilvl w:val="0"/>
          <w:numId w:val="0"/>
        </w:numPr>
        <w:jc w:val="center"/>
        <w:outlineLvl w:val="0"/>
        <w:rPr>
          <w:rFonts w:hint="eastAsia" w:ascii="黑体" w:hAnsi="宋体" w:eastAsia="黑体" w:cs="宋体"/>
          <w:kern w:val="0"/>
          <w:sz w:val="28"/>
          <w:szCs w:val="28"/>
          <w:highlight w:val="none"/>
        </w:rPr>
      </w:pPr>
      <w:r>
        <w:rPr>
          <w:rFonts w:hint="eastAsia" w:ascii="黑体" w:hAnsi="黑体" w:eastAsia="黑体" w:cs="黑体"/>
          <w:sz w:val="48"/>
          <w:szCs w:val="48"/>
          <w:highlight w:val="none"/>
        </w:rPr>
        <w:t>概况</w:t>
      </w: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jc w:val="left"/>
        <w:outlineLvl w:val="1"/>
        <w:rPr>
          <w:rFonts w:ascii="黑体" w:hAnsi="黑体" w:eastAsia="黑体" w:cs="黑体"/>
          <w:kern w:val="0"/>
          <w:sz w:val="32"/>
          <w:szCs w:val="32"/>
          <w:highlight w:val="none"/>
        </w:rPr>
      </w:pP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outlineLvl w:val="1"/>
        <w:rPr>
          <w:rFonts w:hint="eastAsia" w:ascii="黑体" w:hAnsi="黑体" w:eastAsia="黑体" w:cs="黑体"/>
          <w:kern w:val="0"/>
          <w:sz w:val="32"/>
          <w:szCs w:val="32"/>
          <w:highlight w:val="none"/>
        </w:rPr>
      </w:pP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outlineLvl w:val="1"/>
        <w:rPr>
          <w:rFonts w:hint="eastAsia" w:ascii="黑体" w:hAnsi="黑体" w:eastAsia="黑体" w:cs="黑体"/>
          <w:kern w:val="0"/>
          <w:sz w:val="32"/>
          <w:szCs w:val="32"/>
          <w:highlight w:val="none"/>
        </w:rPr>
      </w:pP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outlineLvl w:val="1"/>
        <w:rPr>
          <w:rFonts w:hint="eastAsia" w:ascii="黑体" w:hAnsi="黑体" w:eastAsia="黑体" w:cs="黑体"/>
          <w:kern w:val="0"/>
          <w:sz w:val="32"/>
          <w:szCs w:val="32"/>
          <w:highlight w:val="none"/>
        </w:rPr>
      </w:pP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一、</w:t>
      </w:r>
      <w:r>
        <w:rPr>
          <w:rFonts w:hint="eastAsia" w:ascii="黑体" w:hAnsi="黑体" w:eastAsia="黑体" w:cs="黑体"/>
          <w:kern w:val="0"/>
          <w:sz w:val="32"/>
          <w:szCs w:val="32"/>
          <w:highlight w:val="none"/>
          <w:lang w:eastAsia="zh-CN"/>
        </w:rPr>
        <w:t>单位</w:t>
      </w:r>
      <w:r>
        <w:rPr>
          <w:rFonts w:hint="eastAsia" w:ascii="黑体" w:hAnsi="黑体" w:eastAsia="黑体" w:cs="黑体"/>
          <w:bCs/>
          <w:sz w:val="32"/>
          <w:szCs w:val="32"/>
          <w:highlight w:val="none"/>
        </w:rPr>
        <w:t>职责</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负责参与拟订全市人才流动、人事代理、人才市场管理规定和实施办法；负责流动人员组织与人事关系结转；负责流动人才档案保管与人才信息库管理；组织全市性人才交流活动，为人才流动提供中介服务。为高层次人才提供政策宣传、咨询、引进、信息发布、各项待遇谋划、兑现落实、人才联谊、跟踪服务等综合性“一站式”服务职能。</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二、机构设置</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lang w:eastAsia="zh-CN"/>
        </w:rPr>
        <w:t>许昌市人才交流服务中心</w:t>
      </w:r>
      <w:r>
        <w:rPr>
          <w:rFonts w:hint="eastAsia" w:ascii="仿宋_GB2312" w:hAnsi="仿宋_GB2312" w:eastAsia="仿宋_GB2312" w:cs="仿宋_GB2312"/>
          <w:kern w:val="0"/>
          <w:sz w:val="32"/>
          <w:szCs w:val="32"/>
          <w:highlight w:val="none"/>
        </w:rPr>
        <w:t>内设机构</w:t>
      </w:r>
      <w:r>
        <w:rPr>
          <w:rFonts w:hint="eastAsia" w:ascii="仿宋_GB2312" w:hAnsi="仿宋_GB2312" w:eastAsia="仿宋_GB2312" w:cs="仿宋_GB2312"/>
          <w:kern w:val="0"/>
          <w:sz w:val="32"/>
          <w:szCs w:val="32"/>
          <w:highlight w:val="none"/>
          <w:lang w:val="en-US" w:eastAsia="zh-CN"/>
        </w:rPr>
        <w:t>1</w:t>
      </w:r>
      <w:r>
        <w:rPr>
          <w:rFonts w:hint="eastAsia" w:ascii="仿宋_GB2312" w:hAnsi="仿宋_GB2312" w:eastAsia="仿宋_GB2312" w:cs="仿宋_GB2312"/>
          <w:kern w:val="0"/>
          <w:sz w:val="32"/>
          <w:szCs w:val="32"/>
          <w:highlight w:val="none"/>
        </w:rPr>
        <w:t>个，包括：</w:t>
      </w:r>
      <w:r>
        <w:rPr>
          <w:rFonts w:hint="eastAsia" w:ascii="仿宋_GB2312" w:hAnsi="仿宋_GB2312" w:eastAsia="仿宋_GB2312" w:cs="仿宋_GB2312"/>
          <w:kern w:val="0"/>
          <w:sz w:val="32"/>
          <w:szCs w:val="32"/>
          <w:highlight w:val="none"/>
          <w:lang w:eastAsia="zh-CN"/>
        </w:rPr>
        <w:t>办公室</w:t>
      </w:r>
      <w:r>
        <w:rPr>
          <w:rFonts w:hint="eastAsia" w:ascii="仿宋_GB2312" w:hAnsi="仿宋_GB2312" w:eastAsia="仿宋_GB2312" w:cs="仿宋_GB2312"/>
          <w:kern w:val="0"/>
          <w:sz w:val="32"/>
          <w:szCs w:val="32"/>
          <w:highlight w:val="none"/>
        </w:rPr>
        <w:t>。</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从决算单位构成看，</w:t>
      </w:r>
      <w:r>
        <w:rPr>
          <w:rFonts w:hint="eastAsia" w:ascii="仿宋_GB2312" w:hAnsi="仿宋_GB2312" w:eastAsia="仿宋_GB2312" w:cs="仿宋_GB2312"/>
          <w:kern w:val="0"/>
          <w:sz w:val="32"/>
          <w:szCs w:val="32"/>
          <w:highlight w:val="none"/>
          <w:lang w:eastAsia="zh-CN"/>
        </w:rPr>
        <w:t>许昌市人才交流服务中心单位</w:t>
      </w:r>
      <w:r>
        <w:rPr>
          <w:rFonts w:hint="eastAsia" w:ascii="仿宋_GB2312" w:hAnsi="仿宋_GB2312" w:eastAsia="仿宋_GB2312" w:cs="仿宋_GB2312"/>
          <w:kern w:val="0"/>
          <w:sz w:val="32"/>
          <w:szCs w:val="32"/>
          <w:highlight w:val="none"/>
        </w:rPr>
        <w:t>决算包括：本级决算</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lang w:val="en-US" w:eastAsia="zh-CN"/>
        </w:rPr>
        <w:t>1个</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rPr>
        <w:t>。</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纳入本单位2021年度单位决算编制范围的单位共1个，具体是：</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kern w:val="0"/>
          <w:sz w:val="32"/>
          <w:szCs w:val="32"/>
          <w:highlight w:val="none"/>
        </w:rPr>
      </w:pPr>
      <w:r>
        <w:rPr>
          <w:rFonts w:hint="default" w:ascii="仿宋_GB2312" w:hAnsi="仿宋_GB2312" w:eastAsia="仿宋_GB2312" w:cs="仿宋_GB2312"/>
          <w:kern w:val="0"/>
          <w:sz w:val="32"/>
          <w:szCs w:val="32"/>
          <w:highlight w:val="none"/>
          <w:lang w:val="en-US" w:eastAsia="zh-CN"/>
        </w:rPr>
        <w:t>1.</w:t>
      </w:r>
      <w:bookmarkStart w:id="0" w:name="_GoBack"/>
      <w:bookmarkEnd w:id="0"/>
      <w:r>
        <w:rPr>
          <w:rFonts w:hint="eastAsia" w:ascii="仿宋_GB2312" w:hAnsi="仿宋_GB2312" w:eastAsia="仿宋_GB2312" w:cs="仿宋_GB2312"/>
          <w:kern w:val="0"/>
          <w:sz w:val="32"/>
          <w:szCs w:val="32"/>
          <w:highlight w:val="none"/>
          <w:lang w:eastAsia="zh-CN"/>
        </w:rPr>
        <w:t>许昌市人才交流服务中心</w:t>
      </w:r>
    </w:p>
    <w:p>
      <w:pPr>
        <w:widowControl/>
        <w:ind w:firstLine="640" w:firstLineChars="200"/>
        <w:jc w:val="left"/>
        <w:rPr>
          <w:rFonts w:hint="eastAsia" w:ascii="仿宋_GB2312" w:hAnsi="仿宋_GB2312" w:eastAsia="仿宋_GB2312" w:cs="仿宋_GB2312"/>
          <w:kern w:val="0"/>
          <w:sz w:val="32"/>
          <w:szCs w:val="32"/>
          <w:highlight w:val="none"/>
        </w:rPr>
      </w:pPr>
    </w:p>
    <w:p>
      <w:pPr>
        <w:widowControl/>
        <w:jc w:val="left"/>
        <w:rPr>
          <w:rFonts w:hint="eastAsia" w:ascii="黑体" w:hAnsi="宋体" w:eastAsia="黑体" w:cs="宋体"/>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第二部分  2021年度</w:t>
      </w:r>
      <w:r>
        <w:rPr>
          <w:rFonts w:hint="eastAsia" w:ascii="黑体" w:hAnsi="黑体" w:eastAsia="黑体" w:cs="黑体"/>
          <w:sz w:val="48"/>
          <w:szCs w:val="48"/>
          <w:highlight w:val="none"/>
          <w:lang w:eastAsia="zh-CN"/>
        </w:rPr>
        <w:t>单位</w:t>
      </w:r>
      <w:r>
        <w:rPr>
          <w:rFonts w:hint="eastAsia" w:ascii="黑体" w:hAnsi="黑体" w:eastAsia="黑体" w:cs="黑体"/>
          <w:sz w:val="48"/>
          <w:szCs w:val="48"/>
          <w:highlight w:val="none"/>
        </w:rPr>
        <w:t>决算表</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tbl>
      <w:tblPr>
        <w:tblStyle w:val="5"/>
        <w:tblW w:w="1125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991"/>
        <w:gridCol w:w="701"/>
        <w:gridCol w:w="1053"/>
        <w:gridCol w:w="3756"/>
        <w:gridCol w:w="701"/>
        <w:gridCol w:w="10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jc w:val="center"/>
        </w:trPr>
        <w:tc>
          <w:tcPr>
            <w:tcW w:w="11256" w:type="dxa"/>
            <w:gridSpan w:val="6"/>
            <w:tcBorders>
              <w:top w:val="nil"/>
              <w:left w:val="nil"/>
              <w:bottom w:val="nil"/>
              <w:right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0"/>
                <w:szCs w:val="30"/>
                <w:highlight w:val="none"/>
                <w:u w:val="none"/>
              </w:rPr>
            </w:pPr>
            <w:r>
              <w:rPr>
                <w:rFonts w:hint="eastAsia" w:ascii="宋体" w:hAnsi="宋体" w:eastAsia="宋体" w:cs="宋体"/>
                <w:i w:val="0"/>
                <w:iCs w:val="0"/>
                <w:color w:val="000000"/>
                <w:kern w:val="0"/>
                <w:sz w:val="30"/>
                <w:szCs w:val="30"/>
                <w:highlight w:val="none"/>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noWrap/>
            <w:vAlign w:val="bottom"/>
          </w:tcPr>
          <w:p>
            <w:pPr>
              <w:rPr>
                <w:rFonts w:hint="eastAsia" w:ascii="Arial" w:hAnsi="Arial" w:cs="Arial"/>
                <w:i w:val="0"/>
                <w:iCs w:val="0"/>
                <w:color w:val="000000"/>
                <w:sz w:val="18"/>
                <w:szCs w:val="18"/>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highlight w:val="none"/>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0" w:type="auto"/>
            <w:gridSpan w:val="4"/>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highlight w:val="none"/>
                <w:u w:val="none"/>
              </w:rPr>
            </w:pPr>
            <w:r>
              <w:rPr>
                <w:rFonts w:hint="eastAsia" w:ascii="宋体" w:hAnsi="宋体" w:cs="宋体"/>
                <w:i w:val="0"/>
                <w:iCs w:val="0"/>
                <w:color w:val="000000"/>
                <w:kern w:val="0"/>
                <w:sz w:val="18"/>
                <w:szCs w:val="18"/>
                <w:highlight w:val="none"/>
                <w:u w:val="none"/>
                <w:lang w:val="en-US" w:eastAsia="zh-CN" w:bidi="ar"/>
              </w:rPr>
              <w:t>单位</w:t>
            </w:r>
            <w:r>
              <w:rPr>
                <w:rFonts w:hint="eastAsia" w:ascii="宋体" w:hAnsi="宋体" w:eastAsia="宋体" w:cs="宋体"/>
                <w:i w:val="0"/>
                <w:iCs w:val="0"/>
                <w:color w:val="000000"/>
                <w:kern w:val="0"/>
                <w:sz w:val="18"/>
                <w:szCs w:val="18"/>
                <w:highlight w:val="none"/>
                <w:u w:val="none"/>
                <w:lang w:val="en-US" w:eastAsia="zh-CN" w:bidi="ar"/>
              </w:rPr>
              <w:t>：许昌市人才交流服务中心</w:t>
            </w: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收入</w:t>
            </w:r>
          </w:p>
        </w:tc>
        <w:tc>
          <w:tcPr>
            <w:tcW w:w="0" w:type="auto"/>
            <w:gridSpan w:val="3"/>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项目</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行次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金额</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项目</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行次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一、一般公共预算财政拨款收入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1,883.21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二、外交支出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三、国有资本经营预算财政拨款收入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三、国防支出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四、上级补助收入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四、公共安全支出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五、事业收入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五、教育支出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六、经营收入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六、科学技术支出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1,544.81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七、附属单位上缴收入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七、文化旅游体育与传媒支出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八、其他收入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八、社会保障和就业支出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337.45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九、卫生健康支出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十、节能环保支出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十一、城乡社区支出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十二、农林水支出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十三、交通运输支出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十四、资源勘探工业信息等支出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十五、商业服务业等支出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十六、金融支出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十七、援助其他地区支出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十八、自然资源海洋气象等支出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十九、住房保障支出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二十、粮油物资储备支出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二十一、国有资本经营预算支出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二十三、其他支出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二十四、债务还本支出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二十五、债务付息支出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本年收入合计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1,883.21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本年支出合计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1,899.26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使用非财政拨款结余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结余分配</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年初结转和结余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年末结转和结余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61</w:t>
            </w: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总计</w:t>
            </w:r>
          </w:p>
        </w:tc>
        <w:tc>
          <w:tcPr>
            <w:tcW w:w="0" w:type="auto"/>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1,899.26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总计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1,899.26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0" w:type="auto"/>
            <w:gridSpan w:val="6"/>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注：本表反映</w:t>
            </w:r>
            <w:r>
              <w:rPr>
                <w:rFonts w:hint="eastAsia" w:ascii="宋体" w:hAnsi="宋体" w:cs="宋体"/>
                <w:i w:val="0"/>
                <w:iCs w:val="0"/>
                <w:color w:val="000000"/>
                <w:kern w:val="0"/>
                <w:sz w:val="22"/>
                <w:szCs w:val="22"/>
                <w:highlight w:val="none"/>
                <w:u w:val="none"/>
                <w:lang w:val="en-US" w:eastAsia="zh-CN" w:bidi="ar"/>
              </w:rPr>
              <w:t>单位</w:t>
            </w:r>
            <w:r>
              <w:rPr>
                <w:rFonts w:hint="eastAsia" w:ascii="宋体" w:hAnsi="宋体" w:eastAsia="宋体" w:cs="宋体"/>
                <w:i w:val="0"/>
                <w:iCs w:val="0"/>
                <w:color w:val="000000"/>
                <w:kern w:val="0"/>
                <w:sz w:val="22"/>
                <w:szCs w:val="22"/>
                <w:highlight w:val="none"/>
                <w:u w:val="none"/>
                <w:lang w:val="en-US" w:eastAsia="zh-CN" w:bidi="ar"/>
              </w:rPr>
              <w:t>本年度的总收支和年末结转结余情况。本表金额转换为万元时，因四舍五入可能存在尾差。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017"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736"/>
        <w:gridCol w:w="222"/>
        <w:gridCol w:w="222"/>
        <w:gridCol w:w="3956"/>
        <w:gridCol w:w="1440"/>
        <w:gridCol w:w="1440"/>
        <w:gridCol w:w="800"/>
        <w:gridCol w:w="800"/>
        <w:gridCol w:w="800"/>
        <w:gridCol w:w="800"/>
        <w:gridCol w:w="8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4016" w:type="dxa"/>
            <w:gridSpan w:val="11"/>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highlight w:val="none"/>
                <w:u w:val="none"/>
              </w:rPr>
            </w:pPr>
            <w:r>
              <w:rPr>
                <w:rFonts w:hint="eastAsia" w:ascii="宋体" w:hAnsi="宋体" w:eastAsia="宋体" w:cs="宋体"/>
                <w:i w:val="0"/>
                <w:iCs w:val="0"/>
                <w:color w:val="000000"/>
                <w:kern w:val="0"/>
                <w:sz w:val="30"/>
                <w:szCs w:val="30"/>
                <w:highlight w:val="none"/>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0" w:type="auto"/>
            <w:tcBorders>
              <w:top w:val="nil"/>
              <w:left w:val="nil"/>
              <w:bottom w:val="nil"/>
              <w:right w:val="nil"/>
            </w:tcBorders>
            <w:noWrap/>
            <w:vAlign w:val="bottom"/>
          </w:tcPr>
          <w:p>
            <w:pPr>
              <w:rPr>
                <w:rFonts w:hint="eastAsia" w:ascii="Arial" w:hAnsi="Arial" w:cs="Arial"/>
                <w:i w:val="0"/>
                <w:iCs w:val="0"/>
                <w:color w:val="000000"/>
                <w:sz w:val="18"/>
                <w:szCs w:val="18"/>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highlight w:val="none"/>
                <w:u w:val="none"/>
              </w:rPr>
            </w:pP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0" w:type="auto"/>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highlight w:val="none"/>
                <w:u w:val="none"/>
              </w:rPr>
            </w:pPr>
            <w:r>
              <w:rPr>
                <w:rFonts w:hint="eastAsia" w:ascii="宋体" w:hAnsi="宋体" w:cs="宋体"/>
                <w:i w:val="0"/>
                <w:iCs w:val="0"/>
                <w:color w:val="000000"/>
                <w:kern w:val="0"/>
                <w:sz w:val="18"/>
                <w:szCs w:val="18"/>
                <w:highlight w:val="none"/>
                <w:u w:val="none"/>
                <w:lang w:val="en-US" w:eastAsia="zh-CN" w:bidi="ar"/>
              </w:rPr>
              <w:t>单位</w:t>
            </w:r>
            <w:r>
              <w:rPr>
                <w:rFonts w:hint="eastAsia" w:ascii="宋体" w:hAnsi="宋体" w:eastAsia="宋体" w:cs="宋体"/>
                <w:i w:val="0"/>
                <w:iCs w:val="0"/>
                <w:color w:val="000000"/>
                <w:kern w:val="0"/>
                <w:sz w:val="18"/>
                <w:szCs w:val="18"/>
                <w:highlight w:val="none"/>
                <w:u w:val="none"/>
                <w:lang w:val="en-US" w:eastAsia="zh-CN" w:bidi="ar"/>
              </w:rPr>
              <w:t>：许昌市人才交流服务中心</w:t>
            </w:r>
          </w:p>
        </w:tc>
        <w:tc>
          <w:tcPr>
            <w:tcW w:w="0" w:type="auto"/>
            <w:gridSpan w:val="6"/>
            <w:tcBorders>
              <w:top w:val="nil"/>
              <w:left w:val="nil"/>
              <w:bottom w:val="nil"/>
              <w:right w:val="nil"/>
            </w:tcBorders>
            <w:noWrap/>
            <w:vAlign w:val="bottom"/>
          </w:tcPr>
          <w:p>
            <w:pPr>
              <w:rPr>
                <w:rFonts w:hint="default" w:ascii="Arial" w:hAnsi="Arial" w:cs="Arial"/>
                <w:i w:val="0"/>
                <w:iCs w:val="0"/>
                <w:color w:val="000000"/>
                <w:sz w:val="18"/>
                <w:szCs w:val="18"/>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highlight w:val="none"/>
                <w:u w:val="none"/>
              </w:rPr>
            </w:pP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项目</w:t>
            </w:r>
          </w:p>
        </w:tc>
        <w:tc>
          <w:tcPr>
            <w:tcW w:w="144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本年收入合计</w:t>
            </w:r>
          </w:p>
        </w:tc>
        <w:tc>
          <w:tcPr>
            <w:tcW w:w="144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财政拨款收入</w:t>
            </w:r>
          </w:p>
        </w:tc>
        <w:tc>
          <w:tcPr>
            <w:tcW w:w="144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上级补助收入</w:t>
            </w:r>
          </w:p>
        </w:tc>
        <w:tc>
          <w:tcPr>
            <w:tcW w:w="144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事业收入</w:t>
            </w:r>
          </w:p>
        </w:tc>
        <w:tc>
          <w:tcPr>
            <w:tcW w:w="144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经营收入</w:t>
            </w:r>
          </w:p>
        </w:tc>
        <w:tc>
          <w:tcPr>
            <w:tcW w:w="144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附属单位上缴收入</w:t>
            </w:r>
          </w:p>
        </w:tc>
        <w:tc>
          <w:tcPr>
            <w:tcW w:w="144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92"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科目名称</w:t>
            </w:r>
          </w:p>
        </w:tc>
        <w:tc>
          <w:tcPr>
            <w:tcW w:w="14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4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4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4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4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4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4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92"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14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4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4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4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4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4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4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92"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14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4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4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4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4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4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4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栏次</w:t>
            </w:r>
          </w:p>
        </w:tc>
        <w:tc>
          <w:tcPr>
            <w:tcW w:w="144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44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44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144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144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144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144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1,883.21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1,883.21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0.97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0.97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群众团体事务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0.97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0.97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2012906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工会事务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0.97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0.97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1,544.81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1,544.81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20699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其他科学技术支出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1,544.81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1,544.81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2069999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其他科学技术支出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1,544.81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1,544.81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325.41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325.41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人力资源和社会保障管理事务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283.73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283.73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2080101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行政运行</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118.83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118.83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2080102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164.90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164.90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行政事业单位养老支出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16.49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16.49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2080501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行政单位离退休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5.51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5.51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2080505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10.98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10.98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就业补助</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25.20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25.20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2080799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其他就业补助支出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25.20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25.20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行政事业单位医疗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2101101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行政单位医疗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5.96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5.96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2101103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公务员医疗补助</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11"/>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注：本表反映</w:t>
            </w:r>
            <w:r>
              <w:rPr>
                <w:rFonts w:hint="eastAsia" w:ascii="宋体" w:hAnsi="宋体" w:cs="宋体"/>
                <w:i w:val="0"/>
                <w:iCs w:val="0"/>
                <w:color w:val="000000"/>
                <w:kern w:val="0"/>
                <w:sz w:val="22"/>
                <w:szCs w:val="22"/>
                <w:highlight w:val="none"/>
                <w:u w:val="none"/>
                <w:lang w:val="en-US" w:eastAsia="zh-CN" w:bidi="ar"/>
              </w:rPr>
              <w:t>单位</w:t>
            </w:r>
            <w:r>
              <w:rPr>
                <w:rFonts w:hint="eastAsia" w:ascii="宋体" w:hAnsi="宋体" w:eastAsia="宋体" w:cs="宋体"/>
                <w:i w:val="0"/>
                <w:iCs w:val="0"/>
                <w:color w:val="000000"/>
                <w:kern w:val="0"/>
                <w:sz w:val="22"/>
                <w:szCs w:val="22"/>
                <w:highlight w:val="none"/>
                <w:u w:val="none"/>
                <w:lang w:val="en-US" w:eastAsia="zh-CN" w:bidi="ar"/>
              </w:rPr>
              <w:t>本年度取得的各项收入情况。本表金额转换为万元时，因四舍五入可能存在尾差。</w:t>
            </w:r>
          </w:p>
        </w:tc>
      </w:tr>
    </w:tbl>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257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29"/>
        <w:gridCol w:w="329"/>
        <w:gridCol w:w="328"/>
        <w:gridCol w:w="3956"/>
        <w:gridCol w:w="1440"/>
        <w:gridCol w:w="1440"/>
        <w:gridCol w:w="1440"/>
        <w:gridCol w:w="1212"/>
        <w:gridCol w:w="1212"/>
        <w:gridCol w:w="12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jc w:val="center"/>
        </w:trPr>
        <w:tc>
          <w:tcPr>
            <w:tcW w:w="12576" w:type="dxa"/>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highlight w:val="none"/>
                <w:u w:val="none"/>
              </w:rPr>
            </w:pPr>
            <w:r>
              <w:rPr>
                <w:rFonts w:hint="eastAsia" w:ascii="宋体" w:hAnsi="宋体" w:eastAsia="宋体" w:cs="宋体"/>
                <w:i w:val="0"/>
                <w:iCs w:val="0"/>
                <w:color w:val="000000"/>
                <w:kern w:val="0"/>
                <w:sz w:val="30"/>
                <w:szCs w:val="30"/>
                <w:highlight w:val="none"/>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noWrap/>
            <w:vAlign w:val="bottom"/>
          </w:tcPr>
          <w:p>
            <w:pPr>
              <w:rPr>
                <w:rFonts w:hint="eastAsia"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highlight w:val="none"/>
                <w:u w:val="none"/>
              </w:rPr>
            </w:pP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0" w:type="auto"/>
            <w:gridSpan w:val="5"/>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highlight w:val="none"/>
                <w:u w:val="none"/>
              </w:rPr>
            </w:pPr>
            <w:r>
              <w:rPr>
                <w:rFonts w:hint="eastAsia" w:ascii="宋体" w:hAnsi="宋体" w:cs="宋体"/>
                <w:i w:val="0"/>
                <w:iCs w:val="0"/>
                <w:color w:val="000000"/>
                <w:kern w:val="0"/>
                <w:sz w:val="18"/>
                <w:szCs w:val="18"/>
                <w:highlight w:val="none"/>
                <w:u w:val="none"/>
                <w:lang w:val="en-US" w:eastAsia="zh-CN" w:bidi="ar"/>
              </w:rPr>
              <w:t>单位</w:t>
            </w:r>
            <w:r>
              <w:rPr>
                <w:rFonts w:hint="eastAsia" w:ascii="宋体" w:hAnsi="宋体" w:eastAsia="宋体" w:cs="宋体"/>
                <w:i w:val="0"/>
                <w:iCs w:val="0"/>
                <w:color w:val="000000"/>
                <w:kern w:val="0"/>
                <w:sz w:val="18"/>
                <w:szCs w:val="18"/>
                <w:highlight w:val="none"/>
                <w:u w:val="none"/>
                <w:lang w:val="en-US" w:eastAsia="zh-CN" w:bidi="ar"/>
              </w:rPr>
              <w:t>：许昌市人才交流服务中心</w:t>
            </w: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highlight w:val="none"/>
                <w:u w:val="none"/>
              </w:rPr>
            </w:pP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35"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项目</w:t>
            </w:r>
          </w:p>
        </w:tc>
        <w:tc>
          <w:tcPr>
            <w:tcW w:w="144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本年支出合计</w:t>
            </w:r>
          </w:p>
        </w:tc>
        <w:tc>
          <w:tcPr>
            <w:tcW w:w="144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基本支出</w:t>
            </w:r>
          </w:p>
        </w:tc>
        <w:tc>
          <w:tcPr>
            <w:tcW w:w="144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项目支出</w:t>
            </w:r>
          </w:p>
        </w:tc>
        <w:tc>
          <w:tcPr>
            <w:tcW w:w="144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上缴上级支出</w:t>
            </w:r>
          </w:p>
        </w:tc>
        <w:tc>
          <w:tcPr>
            <w:tcW w:w="144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经营支出</w:t>
            </w:r>
          </w:p>
        </w:tc>
        <w:tc>
          <w:tcPr>
            <w:tcW w:w="144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792"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科目名称</w:t>
            </w:r>
          </w:p>
        </w:tc>
        <w:tc>
          <w:tcPr>
            <w:tcW w:w="14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4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4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4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4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4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792"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14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4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4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4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4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4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792"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14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4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4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4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4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4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35" w:hRule="atLeast"/>
          <w:jc w:val="center"/>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栏次</w:t>
            </w:r>
          </w:p>
        </w:tc>
        <w:tc>
          <w:tcPr>
            <w:tcW w:w="144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44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44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144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144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144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1,899.26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271.21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1,628.05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4.29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群众团体事务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0.97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0.97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35"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2012906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工会事务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0.97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0.97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组织事务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3.32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2013201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行政运行</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3.32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1,544.81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1,544.81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35"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20699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其他科学技术支出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1,544.81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1,544.81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2069999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其他科学技术支出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1,544.81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1,544.81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337.45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254.21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83.24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人力资源和社会保障管理事务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291.25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233.21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58.04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35"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2080101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行政运行</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123.19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123.19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2080102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168.06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110.02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58.04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行政事业单位养老支出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2080501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行政单位离退休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6.41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6.41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35"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2080505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14.59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14.59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就业补助</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25.20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25.20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2080799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其他就业补助支出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25.20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25.20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12.71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12.71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35"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行政事业单位医疗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12.71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12.71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2101101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行政单位医疗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6.41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6.41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2101103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公务员医疗补助</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6.30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6.30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0" w:type="auto"/>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注：本表反映</w:t>
            </w:r>
            <w:r>
              <w:rPr>
                <w:rFonts w:hint="eastAsia" w:ascii="宋体" w:hAnsi="宋体" w:cs="宋体"/>
                <w:i w:val="0"/>
                <w:iCs w:val="0"/>
                <w:color w:val="000000"/>
                <w:kern w:val="0"/>
                <w:sz w:val="22"/>
                <w:szCs w:val="22"/>
                <w:highlight w:val="none"/>
                <w:u w:val="none"/>
                <w:lang w:val="en-US" w:eastAsia="zh-CN" w:bidi="ar"/>
              </w:rPr>
              <w:t>单位</w:t>
            </w:r>
            <w:r>
              <w:rPr>
                <w:rFonts w:hint="eastAsia" w:ascii="宋体" w:hAnsi="宋体" w:eastAsia="宋体" w:cs="宋体"/>
                <w:i w:val="0"/>
                <w:iCs w:val="0"/>
                <w:color w:val="000000"/>
                <w:kern w:val="0"/>
                <w:sz w:val="22"/>
                <w:szCs w:val="22"/>
                <w:highlight w:val="none"/>
                <w:u w:val="none"/>
                <w:lang w:val="en-US" w:eastAsia="zh-CN" w:bidi="ar"/>
              </w:rPr>
              <w:t>本年度各项支出情况。本表金额转换为万元时，因四舍五入可能存在尾差。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6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076"/>
        <w:gridCol w:w="456"/>
        <w:gridCol w:w="1056"/>
        <w:gridCol w:w="3516"/>
        <w:gridCol w:w="456"/>
        <w:gridCol w:w="986"/>
        <w:gridCol w:w="1344"/>
        <w:gridCol w:w="1344"/>
        <w:gridCol w:w="14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jc w:val="center"/>
        </w:trPr>
        <w:tc>
          <w:tcPr>
            <w:tcW w:w="13650"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highlight w:val="none"/>
                <w:u w:val="none"/>
              </w:rPr>
            </w:pPr>
            <w:r>
              <w:rPr>
                <w:rFonts w:hint="eastAsia" w:ascii="宋体" w:hAnsi="宋体" w:eastAsia="宋体" w:cs="宋体"/>
                <w:i w:val="0"/>
                <w:iCs w:val="0"/>
                <w:color w:val="000000"/>
                <w:kern w:val="0"/>
                <w:sz w:val="30"/>
                <w:szCs w:val="30"/>
                <w:highlight w:val="none"/>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noWrap/>
            <w:vAlign w:val="bottom"/>
          </w:tcPr>
          <w:p>
            <w:pPr>
              <w:rPr>
                <w:rFonts w:hint="eastAsia" w:ascii="Arial" w:hAnsi="Arial" w:cs="Arial"/>
                <w:i w:val="0"/>
                <w:iCs w:val="0"/>
                <w:color w:val="000000"/>
                <w:sz w:val="18"/>
                <w:szCs w:val="18"/>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highlight w:val="none"/>
                <w:u w:val="none"/>
              </w:rPr>
            </w:pP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0" w:type="auto"/>
            <w:gridSpan w:val="4"/>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highlight w:val="none"/>
                <w:u w:val="none"/>
              </w:rPr>
            </w:pPr>
            <w:r>
              <w:rPr>
                <w:rFonts w:hint="eastAsia" w:ascii="宋体" w:hAnsi="宋体" w:cs="宋体"/>
                <w:i w:val="0"/>
                <w:iCs w:val="0"/>
                <w:color w:val="000000"/>
                <w:kern w:val="0"/>
                <w:sz w:val="18"/>
                <w:szCs w:val="18"/>
                <w:highlight w:val="none"/>
                <w:u w:val="none"/>
                <w:lang w:val="en-US" w:eastAsia="zh-CN" w:bidi="ar"/>
              </w:rPr>
              <w:t>单位</w:t>
            </w:r>
            <w:r>
              <w:rPr>
                <w:rFonts w:hint="eastAsia" w:ascii="宋体" w:hAnsi="宋体" w:eastAsia="宋体" w:cs="宋体"/>
                <w:i w:val="0"/>
                <w:iCs w:val="0"/>
                <w:color w:val="000000"/>
                <w:kern w:val="0"/>
                <w:sz w:val="18"/>
                <w:szCs w:val="18"/>
                <w:highlight w:val="none"/>
                <w:u w:val="none"/>
                <w:lang w:val="en-US" w:eastAsia="zh-CN" w:bidi="ar"/>
              </w:rPr>
              <w:t>：许昌市人才交流服务中心</w:t>
            </w: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highlight w:val="none"/>
                <w:u w:val="none"/>
              </w:rPr>
            </w:pP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35" w:hRule="atLeast"/>
          <w:jc w:val="center"/>
        </w:trPr>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收     入</w:t>
            </w:r>
          </w:p>
        </w:tc>
        <w:tc>
          <w:tcPr>
            <w:tcW w:w="0" w:type="auto"/>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4" w:hRule="atLeast"/>
          <w:jc w:val="center"/>
        </w:trPr>
        <w:tc>
          <w:tcPr>
            <w:tcW w:w="3006"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项目</w:t>
            </w:r>
          </w:p>
        </w:tc>
        <w:tc>
          <w:tcPr>
            <w:tcW w:w="45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行次</w:t>
            </w:r>
          </w:p>
        </w:tc>
        <w:tc>
          <w:tcPr>
            <w:tcW w:w="105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金额</w:t>
            </w:r>
          </w:p>
        </w:tc>
        <w:tc>
          <w:tcPr>
            <w:tcW w:w="3449"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项目</w:t>
            </w:r>
          </w:p>
        </w:tc>
        <w:tc>
          <w:tcPr>
            <w:tcW w:w="45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行次</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合计</w:t>
            </w:r>
          </w:p>
        </w:tc>
        <w:tc>
          <w:tcPr>
            <w:tcW w:w="1344"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一般公共预算财政拨款</w:t>
            </w:r>
          </w:p>
        </w:tc>
        <w:tc>
          <w:tcPr>
            <w:tcW w:w="1344"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政府性基金预算财政拨款</w:t>
            </w:r>
          </w:p>
        </w:tc>
        <w:tc>
          <w:tcPr>
            <w:tcW w:w="144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3006"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45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5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344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45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134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34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44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35"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一、一般公共预算财政拨款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1,883.21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4.29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二、政府性基金预算财政拨款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二、外交支出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三、国有资本经营财政拨款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三、国防支出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四、公共安全支出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35"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五、教育支出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六、科学技术支出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1,544.81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1,544.81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七、文化旅游体育与传媒支出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八、社会保障和就业支出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337.45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337.45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35"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九、卫生健康支出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12.71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12.71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十、节能环保支出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十一、城乡社区支出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十二、农林水支出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35"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十三、交通运输支出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十四、资源勘探工业信息等支出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十五、商业服务业等支出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十六、金融支出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35"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十七、援助其他地区支出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十八、自然资源海洋气象等支出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十九、住房保障支出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二十、粮油物资储备支出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35"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二十一、国有资本经营预算支出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二十三、其他支出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二十四、债务还本支出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35"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二十五、债务付息支出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本年收入合计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1,883.21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本年支出合计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1,899.26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1,899.26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年初财政拨款结转和结余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年末财政拨款结转和结余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35"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一般公共预算财政拨款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16.05</w:t>
            </w: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政府性基金预算财政拨款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国有资本经营预算财政拨款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总计</w:t>
            </w:r>
          </w:p>
        </w:tc>
        <w:tc>
          <w:tcPr>
            <w:tcW w:w="0" w:type="auto"/>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1,899.26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总计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1,899.26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1,899.26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80" w:hRule="atLeast"/>
          <w:jc w:val="center"/>
        </w:trPr>
        <w:tc>
          <w:tcPr>
            <w:tcW w:w="13650" w:type="dxa"/>
            <w:gridSpan w:val="9"/>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注：本表反映</w:t>
            </w:r>
            <w:r>
              <w:rPr>
                <w:rFonts w:hint="eastAsia" w:ascii="宋体" w:hAnsi="宋体" w:cs="宋体"/>
                <w:i w:val="0"/>
                <w:iCs w:val="0"/>
                <w:color w:val="000000"/>
                <w:kern w:val="0"/>
                <w:sz w:val="22"/>
                <w:szCs w:val="22"/>
                <w:highlight w:val="none"/>
                <w:u w:val="none"/>
                <w:lang w:val="en-US" w:eastAsia="zh-CN" w:bidi="ar"/>
              </w:rPr>
              <w:t>单位</w:t>
            </w:r>
            <w:r>
              <w:rPr>
                <w:rFonts w:hint="eastAsia" w:ascii="宋体" w:hAnsi="宋体" w:eastAsia="宋体" w:cs="宋体"/>
                <w:i w:val="0"/>
                <w:iCs w:val="0"/>
                <w:color w:val="000000"/>
                <w:kern w:val="0"/>
                <w:sz w:val="22"/>
                <w:szCs w:val="22"/>
                <w:highlight w:val="none"/>
                <w:u w:val="none"/>
                <w:lang w:val="en-US" w:eastAsia="zh-CN" w:bidi="ar"/>
              </w:rPr>
              <w:t>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933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29"/>
        <w:gridCol w:w="329"/>
        <w:gridCol w:w="328"/>
        <w:gridCol w:w="3956"/>
        <w:gridCol w:w="1800"/>
        <w:gridCol w:w="1794"/>
        <w:gridCol w:w="1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jc w:val="center"/>
        </w:trPr>
        <w:tc>
          <w:tcPr>
            <w:tcW w:w="9336" w:type="dxa"/>
            <w:gridSpan w:val="7"/>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highlight w:val="none"/>
                <w:u w:val="none"/>
              </w:rPr>
            </w:pPr>
            <w:r>
              <w:rPr>
                <w:rFonts w:hint="eastAsia" w:ascii="宋体" w:hAnsi="宋体" w:eastAsia="宋体" w:cs="宋体"/>
                <w:i w:val="0"/>
                <w:iCs w:val="0"/>
                <w:color w:val="000000"/>
                <w:kern w:val="0"/>
                <w:sz w:val="30"/>
                <w:szCs w:val="30"/>
                <w:highlight w:val="none"/>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noWrap/>
            <w:vAlign w:val="bottom"/>
          </w:tcPr>
          <w:p>
            <w:pPr>
              <w:rPr>
                <w:rFonts w:hint="eastAsia"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highlight w:val="none"/>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0" w:type="auto"/>
            <w:gridSpan w:val="5"/>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highlight w:val="none"/>
                <w:u w:val="none"/>
              </w:rPr>
            </w:pPr>
            <w:r>
              <w:rPr>
                <w:rFonts w:hint="eastAsia" w:ascii="宋体" w:hAnsi="宋体" w:cs="宋体"/>
                <w:i w:val="0"/>
                <w:iCs w:val="0"/>
                <w:color w:val="000000"/>
                <w:kern w:val="0"/>
                <w:sz w:val="18"/>
                <w:szCs w:val="18"/>
                <w:highlight w:val="none"/>
                <w:u w:val="none"/>
                <w:lang w:val="en-US" w:eastAsia="zh-CN" w:bidi="ar"/>
              </w:rPr>
              <w:t>单位</w:t>
            </w:r>
            <w:r>
              <w:rPr>
                <w:rFonts w:hint="eastAsia" w:ascii="宋体" w:hAnsi="宋体" w:eastAsia="宋体" w:cs="宋体"/>
                <w:i w:val="0"/>
                <w:iCs w:val="0"/>
                <w:color w:val="000000"/>
                <w:kern w:val="0"/>
                <w:sz w:val="18"/>
                <w:szCs w:val="18"/>
                <w:highlight w:val="none"/>
                <w:u w:val="none"/>
                <w:lang w:val="en-US" w:eastAsia="zh-CN" w:bidi="ar"/>
              </w:rPr>
              <w:t>：许昌市人才交流服务中心</w:t>
            </w: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项目</w:t>
            </w:r>
          </w:p>
        </w:tc>
        <w:tc>
          <w:tcPr>
            <w:tcW w:w="5400"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792"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科目名称</w:t>
            </w:r>
          </w:p>
        </w:tc>
        <w:tc>
          <w:tcPr>
            <w:tcW w:w="180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小计</w:t>
            </w:r>
          </w:p>
        </w:tc>
        <w:tc>
          <w:tcPr>
            <w:tcW w:w="180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基本支出</w:t>
            </w:r>
          </w:p>
        </w:tc>
        <w:tc>
          <w:tcPr>
            <w:tcW w:w="180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2" w:hRule="atLeast"/>
          <w:jc w:val="center"/>
        </w:trPr>
        <w:tc>
          <w:tcPr>
            <w:tcW w:w="792"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180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80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80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792"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180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80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80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1,899.26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271.21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1,628.05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4.29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群众团体事务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0.97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0.97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2012906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工会事务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0.97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0.97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组织事务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3.32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2013201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行政运行</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3.32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1,544.81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1,544.81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20699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其他科学技术支出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1,544.81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1,544.81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2069999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其他科学技术支出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1,544.81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1,544.81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337.45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254.21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83.24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人力资源和社会保障管理事务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291.25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233.21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58.04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2080101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行政运行</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123.19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123.19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2080102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168.06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110.02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58.04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行政事业单位养老支出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2080501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行政单位离退休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6.41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6.41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2080505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14.59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14.59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就业补助</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25.20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2080799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其他就业补助支出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25.20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12.71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12.71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行政事业单位医疗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12.71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12.71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2101101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行政单位医疗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6.41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6.41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2101103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公务员医疗补助</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6.30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6.30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0" w:type="auto"/>
            <w:gridSpan w:val="7"/>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注：本表反映</w:t>
            </w:r>
            <w:r>
              <w:rPr>
                <w:rFonts w:hint="eastAsia" w:ascii="宋体" w:hAnsi="宋体" w:cs="宋体"/>
                <w:i w:val="0"/>
                <w:iCs w:val="0"/>
                <w:color w:val="000000"/>
                <w:kern w:val="0"/>
                <w:sz w:val="22"/>
                <w:szCs w:val="22"/>
                <w:highlight w:val="none"/>
                <w:u w:val="none"/>
                <w:lang w:val="en-US" w:eastAsia="zh-CN" w:bidi="ar"/>
              </w:rPr>
              <w:t>单位</w:t>
            </w:r>
            <w:r>
              <w:rPr>
                <w:rFonts w:hint="eastAsia" w:ascii="宋体" w:hAnsi="宋体" w:eastAsia="宋体" w:cs="宋体"/>
                <w:i w:val="0"/>
                <w:iCs w:val="0"/>
                <w:color w:val="000000"/>
                <w:kern w:val="0"/>
                <w:sz w:val="22"/>
                <w:szCs w:val="22"/>
                <w:highlight w:val="none"/>
                <w:u w:val="none"/>
                <w:lang w:val="en-US" w:eastAsia="zh-CN" w:bidi="ar"/>
              </w:rPr>
              <w:t>本年度一般公共预算财政拨款支出情况。本套报表金额单位转换时可能存在尾数误差。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07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29"/>
        <w:gridCol w:w="3035"/>
        <w:gridCol w:w="912"/>
        <w:gridCol w:w="858"/>
        <w:gridCol w:w="2295"/>
        <w:gridCol w:w="1065"/>
        <w:gridCol w:w="795"/>
        <w:gridCol w:w="3390"/>
        <w:gridCol w:w="8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4078"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highlight w:val="none"/>
                <w:u w:val="none"/>
              </w:rPr>
            </w:pPr>
            <w:r>
              <w:rPr>
                <w:rFonts w:hint="eastAsia" w:ascii="宋体" w:hAnsi="宋体" w:eastAsia="宋体" w:cs="宋体"/>
                <w:i w:val="0"/>
                <w:iCs w:val="0"/>
                <w:color w:val="000000"/>
                <w:kern w:val="0"/>
                <w:sz w:val="30"/>
                <w:szCs w:val="30"/>
                <w:highlight w:val="none"/>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829" w:type="dxa"/>
            <w:tcBorders>
              <w:top w:val="nil"/>
              <w:left w:val="nil"/>
              <w:bottom w:val="nil"/>
              <w:right w:val="nil"/>
            </w:tcBorders>
            <w:noWrap/>
            <w:vAlign w:val="bottom"/>
          </w:tcPr>
          <w:p>
            <w:pPr>
              <w:rPr>
                <w:rFonts w:hint="eastAsia" w:ascii="Arial" w:hAnsi="Arial" w:cs="Arial"/>
                <w:i w:val="0"/>
                <w:iCs w:val="0"/>
                <w:color w:val="000000"/>
                <w:sz w:val="20"/>
                <w:szCs w:val="20"/>
                <w:highlight w:val="none"/>
                <w:u w:val="none"/>
              </w:rPr>
            </w:pPr>
          </w:p>
        </w:tc>
        <w:tc>
          <w:tcPr>
            <w:tcW w:w="3035" w:type="dxa"/>
            <w:tcBorders>
              <w:top w:val="nil"/>
              <w:left w:val="nil"/>
              <w:bottom w:val="nil"/>
              <w:right w:val="nil"/>
            </w:tcBorders>
            <w:noWrap/>
            <w:vAlign w:val="bottom"/>
          </w:tcPr>
          <w:p>
            <w:pPr>
              <w:rPr>
                <w:rFonts w:hint="default" w:ascii="Arial" w:hAnsi="Arial" w:cs="Arial"/>
                <w:i w:val="0"/>
                <w:iCs w:val="0"/>
                <w:color w:val="000000"/>
                <w:sz w:val="18"/>
                <w:szCs w:val="18"/>
                <w:highlight w:val="none"/>
                <w:u w:val="none"/>
              </w:rPr>
            </w:pPr>
          </w:p>
        </w:tc>
        <w:tc>
          <w:tcPr>
            <w:tcW w:w="912" w:type="dxa"/>
            <w:tcBorders>
              <w:top w:val="nil"/>
              <w:left w:val="nil"/>
              <w:bottom w:val="nil"/>
              <w:right w:val="nil"/>
            </w:tcBorders>
            <w:noWrap/>
            <w:vAlign w:val="bottom"/>
          </w:tcPr>
          <w:p>
            <w:pPr>
              <w:rPr>
                <w:rFonts w:hint="default" w:ascii="Arial" w:hAnsi="Arial" w:cs="Arial"/>
                <w:i w:val="0"/>
                <w:iCs w:val="0"/>
                <w:color w:val="000000"/>
                <w:sz w:val="18"/>
                <w:szCs w:val="18"/>
                <w:highlight w:val="none"/>
                <w:u w:val="none"/>
              </w:rPr>
            </w:pPr>
          </w:p>
        </w:tc>
        <w:tc>
          <w:tcPr>
            <w:tcW w:w="858" w:type="dxa"/>
            <w:tcBorders>
              <w:top w:val="nil"/>
              <w:left w:val="nil"/>
              <w:bottom w:val="nil"/>
              <w:right w:val="nil"/>
            </w:tcBorders>
            <w:noWrap/>
            <w:vAlign w:val="bottom"/>
          </w:tcPr>
          <w:p>
            <w:pPr>
              <w:rPr>
                <w:rFonts w:hint="default" w:ascii="Arial" w:hAnsi="Arial" w:cs="Arial"/>
                <w:i w:val="0"/>
                <w:iCs w:val="0"/>
                <w:color w:val="000000"/>
                <w:sz w:val="18"/>
                <w:szCs w:val="18"/>
                <w:highlight w:val="none"/>
                <w:u w:val="none"/>
              </w:rPr>
            </w:pPr>
          </w:p>
        </w:tc>
        <w:tc>
          <w:tcPr>
            <w:tcW w:w="2295" w:type="dxa"/>
            <w:tcBorders>
              <w:top w:val="nil"/>
              <w:left w:val="nil"/>
              <w:bottom w:val="nil"/>
              <w:right w:val="nil"/>
            </w:tcBorders>
            <w:noWrap/>
            <w:vAlign w:val="bottom"/>
          </w:tcPr>
          <w:p>
            <w:pPr>
              <w:rPr>
                <w:rFonts w:hint="default" w:ascii="Arial" w:hAnsi="Arial" w:cs="Arial"/>
                <w:i w:val="0"/>
                <w:iCs w:val="0"/>
                <w:color w:val="000000"/>
                <w:sz w:val="18"/>
                <w:szCs w:val="18"/>
                <w:highlight w:val="none"/>
                <w:u w:val="none"/>
              </w:rPr>
            </w:pPr>
          </w:p>
        </w:tc>
        <w:tc>
          <w:tcPr>
            <w:tcW w:w="1065" w:type="dxa"/>
            <w:tcBorders>
              <w:top w:val="nil"/>
              <w:left w:val="nil"/>
              <w:bottom w:val="nil"/>
              <w:right w:val="nil"/>
            </w:tcBorders>
            <w:noWrap/>
            <w:vAlign w:val="bottom"/>
          </w:tcPr>
          <w:p>
            <w:pPr>
              <w:rPr>
                <w:rFonts w:hint="default" w:ascii="Arial" w:hAnsi="Arial" w:cs="Arial"/>
                <w:i w:val="0"/>
                <w:iCs w:val="0"/>
                <w:color w:val="000000"/>
                <w:sz w:val="18"/>
                <w:szCs w:val="18"/>
                <w:highlight w:val="none"/>
                <w:u w:val="none"/>
              </w:rPr>
            </w:pPr>
          </w:p>
        </w:tc>
        <w:tc>
          <w:tcPr>
            <w:tcW w:w="5084" w:type="dxa"/>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7929" w:type="dxa"/>
            <w:gridSpan w:val="5"/>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highlight w:val="none"/>
                <w:u w:val="none"/>
              </w:rPr>
            </w:pPr>
            <w:r>
              <w:rPr>
                <w:rFonts w:hint="eastAsia" w:ascii="宋体" w:hAnsi="宋体" w:cs="宋体"/>
                <w:i w:val="0"/>
                <w:iCs w:val="0"/>
                <w:color w:val="000000"/>
                <w:kern w:val="0"/>
                <w:sz w:val="18"/>
                <w:szCs w:val="18"/>
                <w:highlight w:val="none"/>
                <w:u w:val="none"/>
                <w:lang w:val="en-US" w:eastAsia="zh-CN" w:bidi="ar"/>
              </w:rPr>
              <w:t>单位</w:t>
            </w:r>
            <w:r>
              <w:rPr>
                <w:rFonts w:hint="eastAsia" w:ascii="宋体" w:hAnsi="宋体" w:eastAsia="宋体" w:cs="宋体"/>
                <w:i w:val="0"/>
                <w:iCs w:val="0"/>
                <w:color w:val="000000"/>
                <w:kern w:val="0"/>
                <w:sz w:val="18"/>
                <w:szCs w:val="18"/>
                <w:highlight w:val="none"/>
                <w:u w:val="none"/>
                <w:lang w:val="en-US" w:eastAsia="zh-CN" w:bidi="ar"/>
              </w:rPr>
              <w:t>：许昌市人才交流服务中心</w:t>
            </w:r>
          </w:p>
        </w:tc>
        <w:tc>
          <w:tcPr>
            <w:tcW w:w="1065" w:type="dxa"/>
            <w:tcBorders>
              <w:top w:val="nil"/>
              <w:left w:val="nil"/>
              <w:bottom w:val="nil"/>
              <w:right w:val="nil"/>
            </w:tcBorders>
            <w:noWrap/>
            <w:vAlign w:val="bottom"/>
          </w:tcPr>
          <w:p>
            <w:pPr>
              <w:rPr>
                <w:rFonts w:hint="default" w:ascii="Arial" w:hAnsi="Arial" w:cs="Arial"/>
                <w:i w:val="0"/>
                <w:iCs w:val="0"/>
                <w:color w:val="000000"/>
                <w:sz w:val="18"/>
                <w:szCs w:val="18"/>
                <w:highlight w:val="none"/>
                <w:u w:val="none"/>
              </w:rPr>
            </w:pPr>
          </w:p>
        </w:tc>
        <w:tc>
          <w:tcPr>
            <w:tcW w:w="5084" w:type="dxa"/>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776"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人员经费</w:t>
            </w:r>
          </w:p>
        </w:tc>
        <w:tc>
          <w:tcPr>
            <w:tcW w:w="9302" w:type="dxa"/>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29"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科目编码</w:t>
            </w:r>
          </w:p>
        </w:tc>
        <w:tc>
          <w:tcPr>
            <w:tcW w:w="303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科目名称</w:t>
            </w:r>
          </w:p>
        </w:tc>
        <w:tc>
          <w:tcPr>
            <w:tcW w:w="912"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决算数</w:t>
            </w:r>
          </w:p>
        </w:tc>
        <w:tc>
          <w:tcPr>
            <w:tcW w:w="85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科目编码</w:t>
            </w:r>
          </w:p>
        </w:tc>
        <w:tc>
          <w:tcPr>
            <w:tcW w:w="229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科目名称</w:t>
            </w:r>
          </w:p>
        </w:tc>
        <w:tc>
          <w:tcPr>
            <w:tcW w:w="106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决算数</w:t>
            </w:r>
          </w:p>
        </w:tc>
        <w:tc>
          <w:tcPr>
            <w:tcW w:w="79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科目编码</w:t>
            </w:r>
          </w:p>
        </w:tc>
        <w:tc>
          <w:tcPr>
            <w:tcW w:w="339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科目名称</w:t>
            </w:r>
          </w:p>
        </w:tc>
        <w:tc>
          <w:tcPr>
            <w:tcW w:w="899"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29"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303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91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85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229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6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79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339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89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2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w:t>
            </w:r>
          </w:p>
        </w:tc>
        <w:tc>
          <w:tcPr>
            <w:tcW w:w="30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工资福利支出</w:t>
            </w:r>
          </w:p>
        </w:tc>
        <w:tc>
          <w:tcPr>
            <w:tcW w:w="91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234.43</w:t>
            </w:r>
          </w:p>
        </w:tc>
        <w:tc>
          <w:tcPr>
            <w:tcW w:w="85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w:t>
            </w:r>
          </w:p>
        </w:tc>
        <w:tc>
          <w:tcPr>
            <w:tcW w:w="22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商品和服务支出</w:t>
            </w:r>
          </w:p>
        </w:tc>
        <w:tc>
          <w:tcPr>
            <w:tcW w:w="10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30.34</w:t>
            </w: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307</w:t>
            </w:r>
          </w:p>
        </w:tc>
        <w:tc>
          <w:tcPr>
            <w:tcW w:w="339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债务利息及费用支出</w:t>
            </w:r>
          </w:p>
        </w:tc>
        <w:tc>
          <w:tcPr>
            <w:tcW w:w="89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2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30101</w:t>
            </w:r>
          </w:p>
        </w:tc>
        <w:tc>
          <w:tcPr>
            <w:tcW w:w="30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基本工资</w:t>
            </w:r>
          </w:p>
        </w:tc>
        <w:tc>
          <w:tcPr>
            <w:tcW w:w="91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83.42</w:t>
            </w:r>
          </w:p>
        </w:tc>
        <w:tc>
          <w:tcPr>
            <w:tcW w:w="85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30201</w:t>
            </w:r>
          </w:p>
        </w:tc>
        <w:tc>
          <w:tcPr>
            <w:tcW w:w="22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办公费</w:t>
            </w:r>
          </w:p>
        </w:tc>
        <w:tc>
          <w:tcPr>
            <w:tcW w:w="10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5.06</w:t>
            </w: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30701</w:t>
            </w:r>
          </w:p>
        </w:tc>
        <w:tc>
          <w:tcPr>
            <w:tcW w:w="339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国内债务付息</w:t>
            </w:r>
          </w:p>
        </w:tc>
        <w:tc>
          <w:tcPr>
            <w:tcW w:w="89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2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30102</w:t>
            </w:r>
          </w:p>
        </w:tc>
        <w:tc>
          <w:tcPr>
            <w:tcW w:w="30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津贴补贴</w:t>
            </w:r>
          </w:p>
        </w:tc>
        <w:tc>
          <w:tcPr>
            <w:tcW w:w="91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99.98</w:t>
            </w:r>
          </w:p>
        </w:tc>
        <w:tc>
          <w:tcPr>
            <w:tcW w:w="85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30202</w:t>
            </w:r>
          </w:p>
        </w:tc>
        <w:tc>
          <w:tcPr>
            <w:tcW w:w="22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印刷费</w:t>
            </w:r>
          </w:p>
        </w:tc>
        <w:tc>
          <w:tcPr>
            <w:tcW w:w="10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0.94</w:t>
            </w: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30702</w:t>
            </w:r>
          </w:p>
        </w:tc>
        <w:tc>
          <w:tcPr>
            <w:tcW w:w="339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国外债务付息</w:t>
            </w:r>
          </w:p>
        </w:tc>
        <w:tc>
          <w:tcPr>
            <w:tcW w:w="89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2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30103</w:t>
            </w:r>
          </w:p>
        </w:tc>
        <w:tc>
          <w:tcPr>
            <w:tcW w:w="30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奖金</w:t>
            </w:r>
          </w:p>
        </w:tc>
        <w:tc>
          <w:tcPr>
            <w:tcW w:w="91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8.25</w:t>
            </w:r>
          </w:p>
        </w:tc>
        <w:tc>
          <w:tcPr>
            <w:tcW w:w="85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30203</w:t>
            </w:r>
          </w:p>
        </w:tc>
        <w:tc>
          <w:tcPr>
            <w:tcW w:w="22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咨询费</w:t>
            </w:r>
          </w:p>
        </w:tc>
        <w:tc>
          <w:tcPr>
            <w:tcW w:w="10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w:t>
            </w:r>
          </w:p>
        </w:tc>
        <w:tc>
          <w:tcPr>
            <w:tcW w:w="339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资本性支出</w:t>
            </w:r>
          </w:p>
        </w:tc>
        <w:tc>
          <w:tcPr>
            <w:tcW w:w="89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2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30106</w:t>
            </w:r>
          </w:p>
        </w:tc>
        <w:tc>
          <w:tcPr>
            <w:tcW w:w="30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伙食补助费</w:t>
            </w:r>
          </w:p>
        </w:tc>
        <w:tc>
          <w:tcPr>
            <w:tcW w:w="91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85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30204</w:t>
            </w:r>
          </w:p>
        </w:tc>
        <w:tc>
          <w:tcPr>
            <w:tcW w:w="22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手续费</w:t>
            </w:r>
          </w:p>
        </w:tc>
        <w:tc>
          <w:tcPr>
            <w:tcW w:w="10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31001</w:t>
            </w:r>
          </w:p>
        </w:tc>
        <w:tc>
          <w:tcPr>
            <w:tcW w:w="339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房屋建筑物购建</w:t>
            </w:r>
          </w:p>
        </w:tc>
        <w:tc>
          <w:tcPr>
            <w:tcW w:w="89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2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30107</w:t>
            </w:r>
          </w:p>
        </w:tc>
        <w:tc>
          <w:tcPr>
            <w:tcW w:w="30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绩效工资</w:t>
            </w:r>
          </w:p>
        </w:tc>
        <w:tc>
          <w:tcPr>
            <w:tcW w:w="91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85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30205</w:t>
            </w:r>
          </w:p>
        </w:tc>
        <w:tc>
          <w:tcPr>
            <w:tcW w:w="22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水费</w:t>
            </w:r>
          </w:p>
        </w:tc>
        <w:tc>
          <w:tcPr>
            <w:tcW w:w="10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31002</w:t>
            </w:r>
          </w:p>
        </w:tc>
        <w:tc>
          <w:tcPr>
            <w:tcW w:w="339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办公设备购置</w:t>
            </w:r>
          </w:p>
        </w:tc>
        <w:tc>
          <w:tcPr>
            <w:tcW w:w="89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2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30108</w:t>
            </w:r>
          </w:p>
        </w:tc>
        <w:tc>
          <w:tcPr>
            <w:tcW w:w="30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机关事业单位基本养老保险缴费</w:t>
            </w:r>
          </w:p>
        </w:tc>
        <w:tc>
          <w:tcPr>
            <w:tcW w:w="91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14.94</w:t>
            </w:r>
          </w:p>
        </w:tc>
        <w:tc>
          <w:tcPr>
            <w:tcW w:w="85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30206</w:t>
            </w:r>
          </w:p>
        </w:tc>
        <w:tc>
          <w:tcPr>
            <w:tcW w:w="22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电费</w:t>
            </w:r>
          </w:p>
        </w:tc>
        <w:tc>
          <w:tcPr>
            <w:tcW w:w="10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0.60</w:t>
            </w: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31003</w:t>
            </w:r>
          </w:p>
        </w:tc>
        <w:tc>
          <w:tcPr>
            <w:tcW w:w="339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专用设备购置</w:t>
            </w:r>
          </w:p>
        </w:tc>
        <w:tc>
          <w:tcPr>
            <w:tcW w:w="89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2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30109</w:t>
            </w:r>
          </w:p>
        </w:tc>
        <w:tc>
          <w:tcPr>
            <w:tcW w:w="30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职业年金缴费</w:t>
            </w:r>
          </w:p>
        </w:tc>
        <w:tc>
          <w:tcPr>
            <w:tcW w:w="91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85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30207</w:t>
            </w:r>
          </w:p>
        </w:tc>
        <w:tc>
          <w:tcPr>
            <w:tcW w:w="22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邮电费</w:t>
            </w:r>
          </w:p>
        </w:tc>
        <w:tc>
          <w:tcPr>
            <w:tcW w:w="10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2.24</w:t>
            </w: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31005</w:t>
            </w:r>
          </w:p>
        </w:tc>
        <w:tc>
          <w:tcPr>
            <w:tcW w:w="339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基础设施建设</w:t>
            </w:r>
          </w:p>
        </w:tc>
        <w:tc>
          <w:tcPr>
            <w:tcW w:w="89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2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30110</w:t>
            </w:r>
          </w:p>
        </w:tc>
        <w:tc>
          <w:tcPr>
            <w:tcW w:w="30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职工基本医疗保险缴费</w:t>
            </w:r>
          </w:p>
        </w:tc>
        <w:tc>
          <w:tcPr>
            <w:tcW w:w="91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7.06</w:t>
            </w:r>
          </w:p>
        </w:tc>
        <w:tc>
          <w:tcPr>
            <w:tcW w:w="85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30208</w:t>
            </w:r>
          </w:p>
        </w:tc>
        <w:tc>
          <w:tcPr>
            <w:tcW w:w="22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取暖费</w:t>
            </w:r>
          </w:p>
        </w:tc>
        <w:tc>
          <w:tcPr>
            <w:tcW w:w="10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31006</w:t>
            </w:r>
          </w:p>
        </w:tc>
        <w:tc>
          <w:tcPr>
            <w:tcW w:w="339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大型修缮</w:t>
            </w:r>
          </w:p>
        </w:tc>
        <w:tc>
          <w:tcPr>
            <w:tcW w:w="89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2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30111</w:t>
            </w:r>
          </w:p>
        </w:tc>
        <w:tc>
          <w:tcPr>
            <w:tcW w:w="30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公务员医疗补助缴费</w:t>
            </w:r>
          </w:p>
        </w:tc>
        <w:tc>
          <w:tcPr>
            <w:tcW w:w="91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6.81</w:t>
            </w:r>
          </w:p>
        </w:tc>
        <w:tc>
          <w:tcPr>
            <w:tcW w:w="85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30209</w:t>
            </w:r>
          </w:p>
        </w:tc>
        <w:tc>
          <w:tcPr>
            <w:tcW w:w="22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物业管理费</w:t>
            </w:r>
          </w:p>
        </w:tc>
        <w:tc>
          <w:tcPr>
            <w:tcW w:w="10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31007</w:t>
            </w:r>
          </w:p>
        </w:tc>
        <w:tc>
          <w:tcPr>
            <w:tcW w:w="339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信息网络及软件购置更新</w:t>
            </w:r>
          </w:p>
        </w:tc>
        <w:tc>
          <w:tcPr>
            <w:tcW w:w="89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2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30112</w:t>
            </w:r>
          </w:p>
        </w:tc>
        <w:tc>
          <w:tcPr>
            <w:tcW w:w="30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其他社会保障缴费</w:t>
            </w:r>
          </w:p>
        </w:tc>
        <w:tc>
          <w:tcPr>
            <w:tcW w:w="91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0.05</w:t>
            </w:r>
          </w:p>
        </w:tc>
        <w:tc>
          <w:tcPr>
            <w:tcW w:w="85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30211</w:t>
            </w:r>
          </w:p>
        </w:tc>
        <w:tc>
          <w:tcPr>
            <w:tcW w:w="22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差旅费</w:t>
            </w:r>
          </w:p>
        </w:tc>
        <w:tc>
          <w:tcPr>
            <w:tcW w:w="10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4.39</w:t>
            </w: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31008</w:t>
            </w:r>
          </w:p>
        </w:tc>
        <w:tc>
          <w:tcPr>
            <w:tcW w:w="339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物资储备</w:t>
            </w:r>
          </w:p>
        </w:tc>
        <w:tc>
          <w:tcPr>
            <w:tcW w:w="89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2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30113</w:t>
            </w:r>
          </w:p>
        </w:tc>
        <w:tc>
          <w:tcPr>
            <w:tcW w:w="30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住房公积金</w:t>
            </w:r>
          </w:p>
        </w:tc>
        <w:tc>
          <w:tcPr>
            <w:tcW w:w="91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13.75</w:t>
            </w:r>
          </w:p>
        </w:tc>
        <w:tc>
          <w:tcPr>
            <w:tcW w:w="85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30212</w:t>
            </w:r>
          </w:p>
        </w:tc>
        <w:tc>
          <w:tcPr>
            <w:tcW w:w="22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因公出国（境）费用</w:t>
            </w:r>
          </w:p>
        </w:tc>
        <w:tc>
          <w:tcPr>
            <w:tcW w:w="10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31009</w:t>
            </w:r>
          </w:p>
        </w:tc>
        <w:tc>
          <w:tcPr>
            <w:tcW w:w="339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土地补偿</w:t>
            </w:r>
          </w:p>
        </w:tc>
        <w:tc>
          <w:tcPr>
            <w:tcW w:w="89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2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30114</w:t>
            </w:r>
          </w:p>
        </w:tc>
        <w:tc>
          <w:tcPr>
            <w:tcW w:w="30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医疗费</w:t>
            </w:r>
          </w:p>
        </w:tc>
        <w:tc>
          <w:tcPr>
            <w:tcW w:w="91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85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30213</w:t>
            </w:r>
          </w:p>
        </w:tc>
        <w:tc>
          <w:tcPr>
            <w:tcW w:w="22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维修（护）费</w:t>
            </w:r>
          </w:p>
        </w:tc>
        <w:tc>
          <w:tcPr>
            <w:tcW w:w="10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31010</w:t>
            </w:r>
          </w:p>
        </w:tc>
        <w:tc>
          <w:tcPr>
            <w:tcW w:w="339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安置补助</w:t>
            </w:r>
          </w:p>
        </w:tc>
        <w:tc>
          <w:tcPr>
            <w:tcW w:w="89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2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30199</w:t>
            </w:r>
          </w:p>
        </w:tc>
        <w:tc>
          <w:tcPr>
            <w:tcW w:w="30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其他工资福利支出</w:t>
            </w:r>
          </w:p>
        </w:tc>
        <w:tc>
          <w:tcPr>
            <w:tcW w:w="91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0.17</w:t>
            </w:r>
          </w:p>
        </w:tc>
        <w:tc>
          <w:tcPr>
            <w:tcW w:w="85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30214</w:t>
            </w:r>
          </w:p>
        </w:tc>
        <w:tc>
          <w:tcPr>
            <w:tcW w:w="22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租赁费</w:t>
            </w:r>
          </w:p>
        </w:tc>
        <w:tc>
          <w:tcPr>
            <w:tcW w:w="10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31011</w:t>
            </w:r>
          </w:p>
        </w:tc>
        <w:tc>
          <w:tcPr>
            <w:tcW w:w="339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地上附着物和青苗补偿</w:t>
            </w:r>
          </w:p>
        </w:tc>
        <w:tc>
          <w:tcPr>
            <w:tcW w:w="89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2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303</w:t>
            </w:r>
          </w:p>
        </w:tc>
        <w:tc>
          <w:tcPr>
            <w:tcW w:w="30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对个人和家庭的补助</w:t>
            </w:r>
          </w:p>
        </w:tc>
        <w:tc>
          <w:tcPr>
            <w:tcW w:w="91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6.43</w:t>
            </w:r>
          </w:p>
        </w:tc>
        <w:tc>
          <w:tcPr>
            <w:tcW w:w="85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30215</w:t>
            </w:r>
          </w:p>
        </w:tc>
        <w:tc>
          <w:tcPr>
            <w:tcW w:w="22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会议费</w:t>
            </w:r>
          </w:p>
        </w:tc>
        <w:tc>
          <w:tcPr>
            <w:tcW w:w="10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31012</w:t>
            </w:r>
          </w:p>
        </w:tc>
        <w:tc>
          <w:tcPr>
            <w:tcW w:w="339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拆迁补偿</w:t>
            </w:r>
          </w:p>
        </w:tc>
        <w:tc>
          <w:tcPr>
            <w:tcW w:w="89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2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30301</w:t>
            </w:r>
          </w:p>
        </w:tc>
        <w:tc>
          <w:tcPr>
            <w:tcW w:w="30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离休费</w:t>
            </w:r>
          </w:p>
        </w:tc>
        <w:tc>
          <w:tcPr>
            <w:tcW w:w="91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85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30216</w:t>
            </w:r>
          </w:p>
        </w:tc>
        <w:tc>
          <w:tcPr>
            <w:tcW w:w="22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培训费</w:t>
            </w:r>
          </w:p>
        </w:tc>
        <w:tc>
          <w:tcPr>
            <w:tcW w:w="10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31013</w:t>
            </w:r>
          </w:p>
        </w:tc>
        <w:tc>
          <w:tcPr>
            <w:tcW w:w="339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公务用车购置</w:t>
            </w:r>
          </w:p>
        </w:tc>
        <w:tc>
          <w:tcPr>
            <w:tcW w:w="89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2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30302</w:t>
            </w:r>
          </w:p>
        </w:tc>
        <w:tc>
          <w:tcPr>
            <w:tcW w:w="30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退休费</w:t>
            </w:r>
          </w:p>
        </w:tc>
        <w:tc>
          <w:tcPr>
            <w:tcW w:w="91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6.43</w:t>
            </w:r>
          </w:p>
        </w:tc>
        <w:tc>
          <w:tcPr>
            <w:tcW w:w="85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30217</w:t>
            </w:r>
          </w:p>
        </w:tc>
        <w:tc>
          <w:tcPr>
            <w:tcW w:w="22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公务接待费</w:t>
            </w:r>
          </w:p>
        </w:tc>
        <w:tc>
          <w:tcPr>
            <w:tcW w:w="10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31019</w:t>
            </w:r>
          </w:p>
        </w:tc>
        <w:tc>
          <w:tcPr>
            <w:tcW w:w="339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其他交通工具购置</w:t>
            </w:r>
          </w:p>
        </w:tc>
        <w:tc>
          <w:tcPr>
            <w:tcW w:w="89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2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30303</w:t>
            </w:r>
          </w:p>
        </w:tc>
        <w:tc>
          <w:tcPr>
            <w:tcW w:w="30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退职（役）费</w:t>
            </w:r>
          </w:p>
        </w:tc>
        <w:tc>
          <w:tcPr>
            <w:tcW w:w="91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85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30218</w:t>
            </w:r>
          </w:p>
        </w:tc>
        <w:tc>
          <w:tcPr>
            <w:tcW w:w="22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专用材料费</w:t>
            </w:r>
          </w:p>
        </w:tc>
        <w:tc>
          <w:tcPr>
            <w:tcW w:w="10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31021</w:t>
            </w:r>
          </w:p>
        </w:tc>
        <w:tc>
          <w:tcPr>
            <w:tcW w:w="339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文物和陈列品购置</w:t>
            </w:r>
          </w:p>
        </w:tc>
        <w:tc>
          <w:tcPr>
            <w:tcW w:w="89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2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30304</w:t>
            </w:r>
          </w:p>
        </w:tc>
        <w:tc>
          <w:tcPr>
            <w:tcW w:w="30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抚恤金</w:t>
            </w:r>
          </w:p>
        </w:tc>
        <w:tc>
          <w:tcPr>
            <w:tcW w:w="91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85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30224</w:t>
            </w:r>
          </w:p>
        </w:tc>
        <w:tc>
          <w:tcPr>
            <w:tcW w:w="22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被装购置费</w:t>
            </w:r>
          </w:p>
        </w:tc>
        <w:tc>
          <w:tcPr>
            <w:tcW w:w="10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31022</w:t>
            </w:r>
          </w:p>
        </w:tc>
        <w:tc>
          <w:tcPr>
            <w:tcW w:w="339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无形资产购置</w:t>
            </w:r>
          </w:p>
        </w:tc>
        <w:tc>
          <w:tcPr>
            <w:tcW w:w="89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2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30305</w:t>
            </w:r>
          </w:p>
        </w:tc>
        <w:tc>
          <w:tcPr>
            <w:tcW w:w="30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生活补助</w:t>
            </w:r>
          </w:p>
        </w:tc>
        <w:tc>
          <w:tcPr>
            <w:tcW w:w="91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85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30225</w:t>
            </w:r>
          </w:p>
        </w:tc>
        <w:tc>
          <w:tcPr>
            <w:tcW w:w="22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专用燃料费</w:t>
            </w:r>
          </w:p>
        </w:tc>
        <w:tc>
          <w:tcPr>
            <w:tcW w:w="10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31099</w:t>
            </w:r>
          </w:p>
        </w:tc>
        <w:tc>
          <w:tcPr>
            <w:tcW w:w="339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其他资本性支出</w:t>
            </w:r>
          </w:p>
        </w:tc>
        <w:tc>
          <w:tcPr>
            <w:tcW w:w="89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2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30306</w:t>
            </w:r>
          </w:p>
        </w:tc>
        <w:tc>
          <w:tcPr>
            <w:tcW w:w="30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救济费</w:t>
            </w:r>
          </w:p>
        </w:tc>
        <w:tc>
          <w:tcPr>
            <w:tcW w:w="91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85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30226</w:t>
            </w:r>
          </w:p>
        </w:tc>
        <w:tc>
          <w:tcPr>
            <w:tcW w:w="22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劳务费</w:t>
            </w:r>
          </w:p>
        </w:tc>
        <w:tc>
          <w:tcPr>
            <w:tcW w:w="10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399</w:t>
            </w:r>
          </w:p>
        </w:tc>
        <w:tc>
          <w:tcPr>
            <w:tcW w:w="339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其他支出</w:t>
            </w:r>
          </w:p>
        </w:tc>
        <w:tc>
          <w:tcPr>
            <w:tcW w:w="89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2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30307</w:t>
            </w:r>
          </w:p>
        </w:tc>
        <w:tc>
          <w:tcPr>
            <w:tcW w:w="30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医疗费补助</w:t>
            </w:r>
          </w:p>
        </w:tc>
        <w:tc>
          <w:tcPr>
            <w:tcW w:w="91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85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30227</w:t>
            </w:r>
          </w:p>
        </w:tc>
        <w:tc>
          <w:tcPr>
            <w:tcW w:w="22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委托业务费</w:t>
            </w:r>
          </w:p>
        </w:tc>
        <w:tc>
          <w:tcPr>
            <w:tcW w:w="10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w:t>
            </w: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39906</w:t>
            </w:r>
          </w:p>
        </w:tc>
        <w:tc>
          <w:tcPr>
            <w:tcW w:w="339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赠与</w:t>
            </w:r>
          </w:p>
        </w:tc>
        <w:tc>
          <w:tcPr>
            <w:tcW w:w="89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2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30308</w:t>
            </w:r>
          </w:p>
        </w:tc>
        <w:tc>
          <w:tcPr>
            <w:tcW w:w="30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助学金</w:t>
            </w:r>
          </w:p>
        </w:tc>
        <w:tc>
          <w:tcPr>
            <w:tcW w:w="91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85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30228</w:t>
            </w:r>
          </w:p>
        </w:tc>
        <w:tc>
          <w:tcPr>
            <w:tcW w:w="22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工会经费</w:t>
            </w:r>
          </w:p>
        </w:tc>
        <w:tc>
          <w:tcPr>
            <w:tcW w:w="10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0.97</w:t>
            </w: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39907</w:t>
            </w:r>
          </w:p>
        </w:tc>
        <w:tc>
          <w:tcPr>
            <w:tcW w:w="339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国家赔偿费用支出</w:t>
            </w:r>
          </w:p>
        </w:tc>
        <w:tc>
          <w:tcPr>
            <w:tcW w:w="89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2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30309</w:t>
            </w:r>
          </w:p>
        </w:tc>
        <w:tc>
          <w:tcPr>
            <w:tcW w:w="30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奖励金</w:t>
            </w:r>
          </w:p>
        </w:tc>
        <w:tc>
          <w:tcPr>
            <w:tcW w:w="91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85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30229</w:t>
            </w:r>
          </w:p>
        </w:tc>
        <w:tc>
          <w:tcPr>
            <w:tcW w:w="22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福利费</w:t>
            </w:r>
          </w:p>
        </w:tc>
        <w:tc>
          <w:tcPr>
            <w:tcW w:w="10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1.19</w:t>
            </w: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39908</w:t>
            </w:r>
          </w:p>
        </w:tc>
        <w:tc>
          <w:tcPr>
            <w:tcW w:w="339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对民间非营利组织和群众性自治组织补贴</w:t>
            </w:r>
          </w:p>
        </w:tc>
        <w:tc>
          <w:tcPr>
            <w:tcW w:w="89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2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30310</w:t>
            </w:r>
          </w:p>
        </w:tc>
        <w:tc>
          <w:tcPr>
            <w:tcW w:w="30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个人农业生产补贴</w:t>
            </w:r>
          </w:p>
        </w:tc>
        <w:tc>
          <w:tcPr>
            <w:tcW w:w="91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85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30231</w:t>
            </w:r>
          </w:p>
        </w:tc>
        <w:tc>
          <w:tcPr>
            <w:tcW w:w="22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公务用车运行维护费</w:t>
            </w:r>
          </w:p>
        </w:tc>
        <w:tc>
          <w:tcPr>
            <w:tcW w:w="10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39999</w:t>
            </w:r>
          </w:p>
        </w:tc>
        <w:tc>
          <w:tcPr>
            <w:tcW w:w="339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其他支出</w:t>
            </w:r>
          </w:p>
        </w:tc>
        <w:tc>
          <w:tcPr>
            <w:tcW w:w="89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2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30311</w:t>
            </w:r>
          </w:p>
        </w:tc>
        <w:tc>
          <w:tcPr>
            <w:tcW w:w="30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代缴社会保险费</w:t>
            </w:r>
          </w:p>
        </w:tc>
        <w:tc>
          <w:tcPr>
            <w:tcW w:w="91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85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30239</w:t>
            </w:r>
          </w:p>
        </w:tc>
        <w:tc>
          <w:tcPr>
            <w:tcW w:w="22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其他交通费用</w:t>
            </w:r>
          </w:p>
        </w:tc>
        <w:tc>
          <w:tcPr>
            <w:tcW w:w="10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13.96</w:t>
            </w:r>
          </w:p>
        </w:tc>
        <w:tc>
          <w:tcPr>
            <w:tcW w:w="795"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339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89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2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30399</w:t>
            </w:r>
          </w:p>
        </w:tc>
        <w:tc>
          <w:tcPr>
            <w:tcW w:w="30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其他对个人和家庭的补助</w:t>
            </w:r>
          </w:p>
        </w:tc>
        <w:tc>
          <w:tcPr>
            <w:tcW w:w="91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85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30240</w:t>
            </w:r>
          </w:p>
        </w:tc>
        <w:tc>
          <w:tcPr>
            <w:tcW w:w="22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税金及附加费用</w:t>
            </w:r>
          </w:p>
        </w:tc>
        <w:tc>
          <w:tcPr>
            <w:tcW w:w="10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95"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339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89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2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3035"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91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85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30299</w:t>
            </w:r>
          </w:p>
        </w:tc>
        <w:tc>
          <w:tcPr>
            <w:tcW w:w="22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其他商品和服务支出</w:t>
            </w:r>
          </w:p>
        </w:tc>
        <w:tc>
          <w:tcPr>
            <w:tcW w:w="10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95"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339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89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864"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人员经费合计</w:t>
            </w:r>
          </w:p>
        </w:tc>
        <w:tc>
          <w:tcPr>
            <w:tcW w:w="91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240.87</w:t>
            </w:r>
          </w:p>
        </w:tc>
        <w:tc>
          <w:tcPr>
            <w:tcW w:w="8403" w:type="dxa"/>
            <w:gridSpan w:val="5"/>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公用经费合计</w:t>
            </w:r>
          </w:p>
        </w:tc>
        <w:tc>
          <w:tcPr>
            <w:tcW w:w="89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4078" w:type="dxa"/>
            <w:gridSpan w:val="9"/>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注：本表反映</w:t>
            </w:r>
            <w:r>
              <w:rPr>
                <w:rFonts w:hint="eastAsia" w:ascii="宋体" w:hAnsi="宋体" w:cs="宋体"/>
                <w:i w:val="0"/>
                <w:iCs w:val="0"/>
                <w:color w:val="000000"/>
                <w:kern w:val="0"/>
                <w:sz w:val="22"/>
                <w:szCs w:val="22"/>
                <w:highlight w:val="none"/>
                <w:u w:val="none"/>
                <w:lang w:val="en-US" w:eastAsia="zh-CN" w:bidi="ar"/>
              </w:rPr>
              <w:t>单位</w:t>
            </w:r>
            <w:r>
              <w:rPr>
                <w:rFonts w:hint="eastAsia" w:ascii="宋体" w:hAnsi="宋体" w:eastAsia="宋体" w:cs="宋体"/>
                <w:i w:val="0"/>
                <w:iCs w:val="0"/>
                <w:color w:val="000000"/>
                <w:kern w:val="0"/>
                <w:sz w:val="22"/>
                <w:szCs w:val="22"/>
                <w:highlight w:val="none"/>
                <w:u w:val="none"/>
                <w:lang w:val="en-US" w:eastAsia="zh-CN" w:bidi="ar"/>
              </w:rPr>
              <w:t>本年度一般公共预算财政拨款基本支出明细情况。本表金额转换为万元时，因四舍五入可能存在尾差。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537"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128"/>
        <w:gridCol w:w="1128"/>
        <w:gridCol w:w="1128"/>
        <w:gridCol w:w="1128"/>
        <w:gridCol w:w="1128"/>
        <w:gridCol w:w="1128"/>
        <w:gridCol w:w="1128"/>
        <w:gridCol w:w="1128"/>
        <w:gridCol w:w="1128"/>
        <w:gridCol w:w="1128"/>
        <w:gridCol w:w="1128"/>
        <w:gridCol w:w="11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4" w:hRule="atLeast"/>
        </w:trPr>
        <w:tc>
          <w:tcPr>
            <w:tcW w:w="13536" w:type="dxa"/>
            <w:gridSpan w:val="12"/>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highlight w:val="none"/>
                <w:u w:val="none"/>
              </w:rPr>
            </w:pPr>
            <w:r>
              <w:rPr>
                <w:rFonts w:hint="eastAsia" w:ascii="宋体" w:hAnsi="宋体" w:eastAsia="宋体" w:cs="宋体"/>
                <w:i w:val="0"/>
                <w:iCs w:val="0"/>
                <w:color w:val="000000"/>
                <w:kern w:val="0"/>
                <w:sz w:val="30"/>
                <w:szCs w:val="30"/>
                <w:highlight w:val="none"/>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0" w:type="auto"/>
            <w:tcBorders>
              <w:top w:val="nil"/>
              <w:left w:val="nil"/>
              <w:bottom w:val="nil"/>
              <w:right w:val="nil"/>
            </w:tcBorders>
            <w:noWrap/>
            <w:vAlign w:val="bottom"/>
          </w:tcPr>
          <w:p>
            <w:pPr>
              <w:rPr>
                <w:rFonts w:hint="eastAsia"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highlight w:val="none"/>
                <w:u w:val="none"/>
              </w:rPr>
            </w:pP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0" w:type="auto"/>
            <w:gridSpan w:val="6"/>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highlight w:val="none"/>
                <w:u w:val="none"/>
              </w:rPr>
            </w:pPr>
            <w:r>
              <w:rPr>
                <w:rFonts w:hint="eastAsia" w:ascii="宋体" w:hAnsi="宋体" w:cs="宋体"/>
                <w:i w:val="0"/>
                <w:iCs w:val="0"/>
                <w:color w:val="000000"/>
                <w:kern w:val="0"/>
                <w:sz w:val="18"/>
                <w:szCs w:val="18"/>
                <w:highlight w:val="none"/>
                <w:u w:val="none"/>
                <w:lang w:val="en-US" w:eastAsia="zh-CN" w:bidi="ar"/>
              </w:rPr>
              <w:t>单位</w:t>
            </w:r>
            <w:r>
              <w:rPr>
                <w:rFonts w:hint="eastAsia" w:ascii="宋体" w:hAnsi="宋体" w:eastAsia="宋体" w:cs="宋体"/>
                <w:i w:val="0"/>
                <w:iCs w:val="0"/>
                <w:color w:val="000000"/>
                <w:kern w:val="0"/>
                <w:sz w:val="18"/>
                <w:szCs w:val="18"/>
                <w:highlight w:val="none"/>
                <w:u w:val="none"/>
                <w:lang w:val="en-US" w:eastAsia="zh-CN" w:bidi="ar"/>
              </w:rPr>
              <w:t>：许昌市人才交流服务中心</w:t>
            </w: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highlight w:val="none"/>
                <w:u w:val="none"/>
              </w:rPr>
            </w:pP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6768"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预算数</w:t>
            </w:r>
          </w:p>
        </w:tc>
        <w:tc>
          <w:tcPr>
            <w:tcW w:w="6768" w:type="dxa"/>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128"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合计</w:t>
            </w:r>
          </w:p>
        </w:tc>
        <w:tc>
          <w:tcPr>
            <w:tcW w:w="112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因公出国（境）费</w:t>
            </w:r>
          </w:p>
        </w:tc>
        <w:tc>
          <w:tcPr>
            <w:tcW w:w="3384"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公务用车购置及运行费</w:t>
            </w:r>
          </w:p>
        </w:tc>
        <w:tc>
          <w:tcPr>
            <w:tcW w:w="112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公务接待费</w:t>
            </w:r>
          </w:p>
        </w:tc>
        <w:tc>
          <w:tcPr>
            <w:tcW w:w="112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合计</w:t>
            </w:r>
          </w:p>
        </w:tc>
        <w:tc>
          <w:tcPr>
            <w:tcW w:w="112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因公出国（境）费</w:t>
            </w:r>
          </w:p>
        </w:tc>
        <w:tc>
          <w:tcPr>
            <w:tcW w:w="3384"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公务用车购置及运行费</w:t>
            </w:r>
          </w:p>
        </w:tc>
        <w:tc>
          <w:tcPr>
            <w:tcW w:w="112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1128"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12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12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小计</w:t>
            </w:r>
          </w:p>
        </w:tc>
        <w:tc>
          <w:tcPr>
            <w:tcW w:w="112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公务用车购置费</w:t>
            </w:r>
          </w:p>
        </w:tc>
        <w:tc>
          <w:tcPr>
            <w:tcW w:w="112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公务用车运行费</w:t>
            </w:r>
          </w:p>
        </w:tc>
        <w:tc>
          <w:tcPr>
            <w:tcW w:w="112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12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12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12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小计</w:t>
            </w:r>
          </w:p>
        </w:tc>
        <w:tc>
          <w:tcPr>
            <w:tcW w:w="112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公务用车购置费</w:t>
            </w:r>
          </w:p>
        </w:tc>
        <w:tc>
          <w:tcPr>
            <w:tcW w:w="112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公务用车运行费</w:t>
            </w:r>
          </w:p>
        </w:tc>
        <w:tc>
          <w:tcPr>
            <w:tcW w:w="112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28"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12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12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112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112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112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112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w:t>
            </w:r>
          </w:p>
        </w:tc>
        <w:tc>
          <w:tcPr>
            <w:tcW w:w="112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w:t>
            </w:r>
          </w:p>
        </w:tc>
        <w:tc>
          <w:tcPr>
            <w:tcW w:w="112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w:t>
            </w:r>
          </w:p>
        </w:tc>
        <w:tc>
          <w:tcPr>
            <w:tcW w:w="112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112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w:t>
            </w:r>
          </w:p>
        </w:tc>
        <w:tc>
          <w:tcPr>
            <w:tcW w:w="112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0" w:type="auto"/>
            <w:tcBorders>
              <w:top w:val="nil"/>
              <w:left w:val="single" w:color="000000" w:sz="4" w:space="0"/>
              <w:bottom w:val="single" w:color="000000" w:sz="4" w:space="0"/>
              <w:right w:val="single" w:color="000000" w:sz="4" w:space="0"/>
            </w:tcBorders>
            <w:noWrap/>
            <w:vAlign w:val="center"/>
          </w:tcPr>
          <w:p>
            <w:pPr>
              <w:jc w:val="right"/>
              <w:rPr>
                <w:rFonts w:hint="default"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2.45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default" w:ascii="宋体" w:hAnsi="宋体" w:eastAsia="宋体" w:cs="宋体"/>
                <w:i w:val="0"/>
                <w:iCs w:val="0"/>
                <w:color w:val="000000"/>
                <w:sz w:val="22"/>
                <w:szCs w:val="22"/>
                <w:highlight w:val="none"/>
                <w:u w:val="none"/>
                <w:lang w:val="en-US" w:eastAsia="zh-CN"/>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default"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2.45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default" w:ascii="宋体" w:hAnsi="宋体" w:eastAsia="宋体" w:cs="宋体"/>
                <w:i w:val="0"/>
                <w:iCs w:val="0"/>
                <w:color w:val="000000"/>
                <w:sz w:val="22"/>
                <w:szCs w:val="22"/>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3536" w:type="dxa"/>
            <w:gridSpan w:val="1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注：本表反映</w:t>
            </w:r>
            <w:r>
              <w:rPr>
                <w:rFonts w:hint="eastAsia" w:ascii="宋体" w:hAnsi="宋体" w:cs="宋体"/>
                <w:i w:val="0"/>
                <w:iCs w:val="0"/>
                <w:color w:val="000000"/>
                <w:kern w:val="0"/>
                <w:sz w:val="22"/>
                <w:szCs w:val="22"/>
                <w:highlight w:val="none"/>
                <w:u w:val="none"/>
                <w:lang w:val="en-US" w:eastAsia="zh-CN" w:bidi="ar"/>
              </w:rPr>
              <w:t>单位</w:t>
            </w:r>
            <w:r>
              <w:rPr>
                <w:rFonts w:hint="eastAsia" w:ascii="宋体" w:hAnsi="宋体" w:eastAsia="宋体" w:cs="宋体"/>
                <w:i w:val="0"/>
                <w:iCs w:val="0"/>
                <w:color w:val="000000"/>
                <w:kern w:val="0"/>
                <w:sz w:val="22"/>
                <w:szCs w:val="22"/>
                <w:highlight w:val="none"/>
                <w:u w:val="none"/>
                <w:lang w:val="en-US" w:eastAsia="zh-CN" w:bidi="ar"/>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5"/>
        <w:tblW w:w="1200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12"/>
        <w:gridCol w:w="412"/>
        <w:gridCol w:w="412"/>
        <w:gridCol w:w="2037"/>
        <w:gridCol w:w="1654"/>
        <w:gridCol w:w="1654"/>
        <w:gridCol w:w="1654"/>
        <w:gridCol w:w="1654"/>
        <w:gridCol w:w="1654"/>
        <w:gridCol w:w="16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2000" w:type="dxa"/>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highlight w:val="none"/>
                <w:u w:val="none"/>
              </w:rPr>
            </w:pPr>
            <w:r>
              <w:rPr>
                <w:rFonts w:hint="eastAsia" w:ascii="宋体" w:hAnsi="宋体" w:eastAsia="宋体" w:cs="宋体"/>
                <w:i w:val="0"/>
                <w:iCs w:val="0"/>
                <w:color w:val="000000"/>
                <w:kern w:val="0"/>
                <w:sz w:val="30"/>
                <w:szCs w:val="30"/>
                <w:highlight w:val="none"/>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0" w:type="auto"/>
            <w:tcBorders>
              <w:top w:val="nil"/>
              <w:left w:val="nil"/>
              <w:bottom w:val="nil"/>
              <w:right w:val="nil"/>
            </w:tcBorders>
            <w:noWrap/>
            <w:vAlign w:val="bottom"/>
          </w:tcPr>
          <w:p>
            <w:pPr>
              <w:rPr>
                <w:rFonts w:hint="eastAsia"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highlight w:val="none"/>
                <w:u w:val="none"/>
              </w:rPr>
            </w:pP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0" w:type="auto"/>
            <w:gridSpan w:val="6"/>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highlight w:val="none"/>
                <w:u w:val="none"/>
              </w:rPr>
            </w:pPr>
            <w:r>
              <w:rPr>
                <w:rFonts w:hint="eastAsia" w:ascii="宋体" w:hAnsi="宋体" w:cs="宋体"/>
                <w:i w:val="0"/>
                <w:iCs w:val="0"/>
                <w:color w:val="000000"/>
                <w:kern w:val="0"/>
                <w:sz w:val="18"/>
                <w:szCs w:val="18"/>
                <w:highlight w:val="none"/>
                <w:u w:val="none"/>
                <w:lang w:val="en-US" w:eastAsia="zh-CN" w:bidi="ar"/>
              </w:rPr>
              <w:t>单位</w:t>
            </w:r>
            <w:r>
              <w:rPr>
                <w:rFonts w:hint="eastAsia" w:ascii="宋体" w:hAnsi="宋体" w:eastAsia="宋体" w:cs="宋体"/>
                <w:i w:val="0"/>
                <w:iCs w:val="0"/>
                <w:color w:val="000000"/>
                <w:kern w:val="0"/>
                <w:sz w:val="18"/>
                <w:szCs w:val="18"/>
                <w:highlight w:val="none"/>
                <w:u w:val="none"/>
                <w:lang w:val="en-US" w:eastAsia="zh-CN" w:bidi="ar"/>
              </w:rPr>
              <w:t>：许昌市人才交流服务中心</w:t>
            </w: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highlight w:val="none"/>
                <w:u w:val="none"/>
              </w:rPr>
            </w:pP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项目</w:t>
            </w:r>
          </w:p>
        </w:tc>
        <w:tc>
          <w:tcPr>
            <w:tcW w:w="1344"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年初结转和结余</w:t>
            </w:r>
          </w:p>
        </w:tc>
        <w:tc>
          <w:tcPr>
            <w:tcW w:w="1344"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本年收入</w:t>
            </w:r>
          </w:p>
        </w:tc>
        <w:tc>
          <w:tcPr>
            <w:tcW w:w="4032"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本年支出</w:t>
            </w:r>
          </w:p>
        </w:tc>
        <w:tc>
          <w:tcPr>
            <w:tcW w:w="1344"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92"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科目名称</w:t>
            </w:r>
          </w:p>
        </w:tc>
        <w:tc>
          <w:tcPr>
            <w:tcW w:w="134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34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344"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小计</w:t>
            </w:r>
          </w:p>
        </w:tc>
        <w:tc>
          <w:tcPr>
            <w:tcW w:w="1344"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基本支出</w:t>
            </w:r>
          </w:p>
        </w:tc>
        <w:tc>
          <w:tcPr>
            <w:tcW w:w="1344"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项目支出</w:t>
            </w:r>
          </w:p>
        </w:tc>
        <w:tc>
          <w:tcPr>
            <w:tcW w:w="134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92"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134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34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34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34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34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34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92"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134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34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34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34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34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34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注：本表反映</w:t>
            </w:r>
            <w:r>
              <w:rPr>
                <w:rFonts w:hint="eastAsia" w:ascii="宋体" w:hAnsi="宋体" w:cs="宋体"/>
                <w:i w:val="0"/>
                <w:iCs w:val="0"/>
                <w:color w:val="000000"/>
                <w:kern w:val="0"/>
                <w:sz w:val="22"/>
                <w:szCs w:val="22"/>
                <w:highlight w:val="none"/>
                <w:u w:val="none"/>
                <w:lang w:val="en-US" w:eastAsia="zh-CN" w:bidi="ar"/>
              </w:rPr>
              <w:t>单位</w:t>
            </w:r>
            <w:r>
              <w:rPr>
                <w:rFonts w:hint="eastAsia" w:ascii="宋体" w:hAnsi="宋体" w:eastAsia="宋体" w:cs="宋体"/>
                <w:i w:val="0"/>
                <w:iCs w:val="0"/>
                <w:color w:val="000000"/>
                <w:kern w:val="0"/>
                <w:sz w:val="22"/>
                <w:szCs w:val="22"/>
                <w:highlight w:val="none"/>
                <w:u w:val="none"/>
                <w:lang w:val="en-US" w:eastAsia="zh-CN" w:bidi="ar"/>
              </w:rPr>
              <w:t>本年度政府性基金预算财政拨款收入、支出及结转和结余情况。本表金额转换为万元时，因四舍五入可能存在尾差。</w:t>
            </w:r>
          </w:p>
        </w:tc>
      </w:tr>
    </w:tbl>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highlight w:val="none"/>
          <w:lang w:eastAsia="zh-CN"/>
        </w:rPr>
        <w:sectPr>
          <w:pgSz w:w="16838" w:h="11906" w:orient="landscape"/>
          <w:pgMar w:top="1800" w:right="1440" w:bottom="1800" w:left="1440" w:header="720" w:footer="720" w:gutter="0"/>
          <w:pgNumType w:fmt="numberInDash"/>
          <w:cols w:space="720" w:num="1"/>
          <w:docGrid w:type="lines" w:linePitch="312" w:charSpace="0"/>
        </w:sectPr>
      </w:pPr>
      <w:r>
        <w:rPr>
          <w:rFonts w:hint="eastAsia" w:asciiTheme="minorEastAsia" w:hAnsiTheme="minorEastAsia" w:eastAsiaTheme="minorEastAsia" w:cstheme="minorEastAsia"/>
          <w:sz w:val="24"/>
          <w:szCs w:val="24"/>
          <w:highlight w:val="none"/>
          <w:lang w:eastAsia="zh-CN"/>
        </w:rPr>
        <w:t>说明：我单位没有政府性基金收入，也没有使用政府性基金安排的支出，故本表无数据。</w:t>
      </w: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w:t>
      </w:r>
      <w:r>
        <w:rPr>
          <w:rFonts w:hint="eastAsia" w:ascii="黑体" w:hAnsi="黑体" w:eastAsia="黑体" w:cs="黑体"/>
          <w:sz w:val="48"/>
          <w:szCs w:val="48"/>
          <w:highlight w:val="none"/>
          <w:lang w:eastAsia="zh-CN"/>
        </w:rPr>
        <w:t>单位</w:t>
      </w:r>
      <w:r>
        <w:rPr>
          <w:rFonts w:hint="eastAsia" w:ascii="黑体" w:hAnsi="黑体" w:eastAsia="黑体" w:cs="黑体"/>
          <w:sz w:val="48"/>
          <w:szCs w:val="48"/>
          <w:highlight w:val="none"/>
        </w:rPr>
        <w:t>决算情况说明</w:t>
      </w:r>
    </w:p>
    <w:p>
      <w:pPr>
        <w:widowControl/>
        <w:jc w:val="left"/>
        <w:rPr>
          <w:rFonts w:hint="eastAsia" w:ascii="黑体" w:hAnsi="黑体" w:eastAsia="黑体" w:cs="黑体"/>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年度收、支总计均为</w:t>
      </w:r>
      <w:r>
        <w:rPr>
          <w:rFonts w:hint="eastAsia" w:ascii="仿宋_GB2312" w:hAnsi="仿宋_GB2312" w:eastAsia="仿宋_GB2312" w:cs="仿宋_GB2312"/>
          <w:sz w:val="32"/>
          <w:szCs w:val="32"/>
          <w:highlight w:val="none"/>
          <w:lang w:val="en-US" w:eastAsia="zh-CN"/>
        </w:rPr>
        <w:t>1899.26</w:t>
      </w:r>
      <w:r>
        <w:rPr>
          <w:rFonts w:hint="eastAsia" w:ascii="仿宋_GB2312" w:hAnsi="仿宋_GB2312" w:eastAsia="仿宋_GB2312" w:cs="仿宋_GB2312"/>
          <w:sz w:val="32"/>
          <w:szCs w:val="32"/>
          <w:highlight w:val="none"/>
        </w:rPr>
        <w:t>万元。与上年度相比，收、支总计各增加</w:t>
      </w:r>
      <w:r>
        <w:rPr>
          <w:rFonts w:hint="eastAsia" w:ascii="仿宋_GB2312" w:hAnsi="仿宋_GB2312" w:eastAsia="仿宋_GB2312" w:cs="仿宋_GB2312"/>
          <w:sz w:val="32"/>
          <w:szCs w:val="32"/>
          <w:highlight w:val="none"/>
          <w:lang w:val="en-US" w:eastAsia="zh-CN"/>
        </w:rPr>
        <w:t>1521.90</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403.30</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2021年发放高层次人才补贴，2020年无此项支出</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年度收入合计</w:t>
      </w:r>
      <w:r>
        <w:rPr>
          <w:rFonts w:hint="eastAsia" w:ascii="仿宋_GB2312" w:hAnsi="仿宋_GB2312" w:eastAsia="仿宋_GB2312" w:cs="仿宋_GB2312"/>
          <w:sz w:val="32"/>
          <w:szCs w:val="32"/>
          <w:highlight w:val="none"/>
          <w:lang w:val="en-US" w:eastAsia="zh-CN"/>
        </w:rPr>
        <w:t>1883.21</w:t>
      </w:r>
      <w:r>
        <w:rPr>
          <w:rFonts w:hint="eastAsia" w:ascii="仿宋_GB2312" w:hAnsi="仿宋_GB2312" w:eastAsia="仿宋_GB2312" w:cs="仿宋_GB2312"/>
          <w:sz w:val="32"/>
          <w:szCs w:val="32"/>
          <w:highlight w:val="none"/>
        </w:rPr>
        <w:t>万元，其中：财政拨款收入</w:t>
      </w:r>
      <w:r>
        <w:rPr>
          <w:rFonts w:hint="eastAsia" w:ascii="仿宋_GB2312" w:hAnsi="仿宋_GB2312" w:eastAsia="仿宋_GB2312" w:cs="仿宋_GB2312"/>
          <w:sz w:val="32"/>
          <w:szCs w:val="32"/>
          <w:highlight w:val="none"/>
          <w:lang w:val="en-US" w:eastAsia="zh-CN"/>
        </w:rPr>
        <w:t>1883.21</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%；上级补助收入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%；事业收入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%；经营收入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%；附属单位上缴收入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%；其他收入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年度支出合计</w:t>
      </w:r>
      <w:r>
        <w:rPr>
          <w:rFonts w:hint="eastAsia" w:ascii="仿宋_GB2312" w:hAnsi="仿宋_GB2312" w:eastAsia="仿宋_GB2312" w:cs="仿宋_GB2312"/>
          <w:sz w:val="32"/>
          <w:szCs w:val="32"/>
          <w:highlight w:val="none"/>
          <w:lang w:val="en-US" w:eastAsia="zh-CN"/>
        </w:rPr>
        <w:t>1899.26</w:t>
      </w:r>
      <w:r>
        <w:rPr>
          <w:rFonts w:hint="eastAsia" w:ascii="仿宋_GB2312" w:hAnsi="仿宋_GB2312" w:eastAsia="仿宋_GB2312" w:cs="仿宋_GB2312"/>
          <w:sz w:val="32"/>
          <w:szCs w:val="32"/>
          <w:highlight w:val="none"/>
        </w:rPr>
        <w:t>万元，其中：基本支出</w:t>
      </w:r>
      <w:r>
        <w:rPr>
          <w:rFonts w:hint="eastAsia" w:ascii="仿宋_GB2312" w:hAnsi="仿宋_GB2312" w:eastAsia="仿宋_GB2312" w:cs="仿宋_GB2312"/>
          <w:sz w:val="32"/>
          <w:szCs w:val="32"/>
          <w:highlight w:val="none"/>
          <w:lang w:val="en-US" w:eastAsia="zh-CN"/>
        </w:rPr>
        <w:t>271.21</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14.28</w:t>
      </w:r>
      <w:r>
        <w:rPr>
          <w:rFonts w:hint="eastAsia" w:ascii="仿宋_GB2312" w:hAnsi="仿宋_GB2312" w:eastAsia="仿宋_GB2312" w:cs="仿宋_GB2312"/>
          <w:sz w:val="32"/>
          <w:szCs w:val="32"/>
          <w:highlight w:val="none"/>
        </w:rPr>
        <w:t>%；项目支出</w:t>
      </w:r>
      <w:r>
        <w:rPr>
          <w:rFonts w:hint="eastAsia" w:ascii="仿宋_GB2312" w:hAnsi="仿宋_GB2312" w:eastAsia="仿宋_GB2312" w:cs="仿宋_GB2312"/>
          <w:sz w:val="32"/>
          <w:szCs w:val="32"/>
          <w:highlight w:val="none"/>
          <w:lang w:val="en-US" w:eastAsia="zh-CN"/>
        </w:rPr>
        <w:t>1628.05</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85.72</w:t>
      </w:r>
      <w:r>
        <w:rPr>
          <w:rFonts w:hint="eastAsia" w:ascii="仿宋_GB2312" w:hAnsi="仿宋_GB2312" w:eastAsia="仿宋_GB2312" w:cs="仿宋_GB2312"/>
          <w:sz w:val="32"/>
          <w:szCs w:val="32"/>
          <w:highlight w:val="none"/>
        </w:rPr>
        <w:t>%；上缴上级支出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%；经营支出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%；对附属单位补助支出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年度财政拨款收、支总计均为</w:t>
      </w:r>
      <w:r>
        <w:rPr>
          <w:rFonts w:hint="eastAsia" w:ascii="仿宋_GB2312" w:hAnsi="仿宋_GB2312" w:eastAsia="仿宋_GB2312" w:cs="仿宋_GB2312"/>
          <w:sz w:val="32"/>
          <w:szCs w:val="32"/>
          <w:highlight w:val="none"/>
          <w:lang w:val="en-US" w:eastAsia="zh-CN"/>
        </w:rPr>
        <w:t>1899.26</w:t>
      </w:r>
      <w:r>
        <w:rPr>
          <w:rFonts w:hint="eastAsia" w:ascii="仿宋_GB2312" w:hAnsi="仿宋_GB2312" w:eastAsia="仿宋_GB2312" w:cs="仿宋_GB2312"/>
          <w:sz w:val="32"/>
          <w:szCs w:val="32"/>
          <w:highlight w:val="none"/>
        </w:rPr>
        <w:t>万元。与上年度相比，财政拨款收、支总计各增加</w:t>
      </w:r>
      <w:r>
        <w:rPr>
          <w:rFonts w:hint="eastAsia" w:ascii="仿宋_GB2312" w:hAnsi="仿宋_GB2312" w:eastAsia="仿宋_GB2312" w:cs="仿宋_GB2312"/>
          <w:sz w:val="32"/>
          <w:szCs w:val="32"/>
          <w:highlight w:val="none"/>
          <w:lang w:val="en-US" w:eastAsia="zh-CN"/>
        </w:rPr>
        <w:t>1533.00</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418.56</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2021年发放高层次人才补贴，2020年无此项支出</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keepNext w:val="0"/>
        <w:keepLines w:val="0"/>
        <w:pageBreakBefore w:val="0"/>
        <w:widowControl/>
        <w:kinsoku/>
        <w:wordWrap/>
        <w:overflowPunct/>
        <w:topLinePunct w:val="0"/>
        <w:autoSpaceDE/>
        <w:autoSpaceDN/>
        <w:bidi w:val="0"/>
        <w:adjustRightInd/>
        <w:snapToGrid/>
        <w:spacing w:line="240" w:lineRule="auto"/>
        <w:ind w:firstLine="642" w:firstLineChars="200"/>
        <w:textAlignment w:val="auto"/>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（一）总体情况。</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1899.26</w:t>
      </w:r>
      <w:r>
        <w:rPr>
          <w:rFonts w:hint="eastAsia" w:ascii="仿宋_GB2312" w:hAnsi="仿宋_GB2312" w:eastAsia="仿宋_GB2312" w:cs="仿宋_GB2312"/>
          <w:sz w:val="32"/>
          <w:szCs w:val="32"/>
          <w:highlight w:val="none"/>
        </w:rPr>
        <w:t>万元，占支出合计的</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%。与上年度相比，一般公共预算财政拨款支出增加</w:t>
      </w:r>
      <w:r>
        <w:rPr>
          <w:rFonts w:hint="eastAsia" w:ascii="仿宋_GB2312" w:hAnsi="仿宋_GB2312" w:eastAsia="仿宋_GB2312" w:cs="仿宋_GB2312"/>
          <w:sz w:val="32"/>
          <w:szCs w:val="32"/>
          <w:highlight w:val="none"/>
          <w:lang w:val="en-US" w:eastAsia="zh-CN"/>
        </w:rPr>
        <w:t>1663.05</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704.06</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2021年发放高层次人才补贴，2020年无此项支出</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240" w:lineRule="auto"/>
        <w:ind w:firstLine="642" w:firstLineChars="200"/>
        <w:textAlignment w:val="auto"/>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1899.26</w:t>
      </w:r>
      <w:r>
        <w:rPr>
          <w:rFonts w:hint="eastAsia" w:ascii="仿宋_GB2312" w:hAnsi="仿宋_GB2312" w:eastAsia="仿宋_GB2312" w:cs="仿宋_GB2312"/>
          <w:sz w:val="32"/>
          <w:szCs w:val="32"/>
          <w:highlight w:val="none"/>
        </w:rPr>
        <w:t>万元，主要用于以下方面：一般公共服务（类）支出</w:t>
      </w:r>
      <w:r>
        <w:rPr>
          <w:rFonts w:hint="eastAsia" w:ascii="仿宋_GB2312" w:hAnsi="仿宋_GB2312" w:eastAsia="仿宋_GB2312" w:cs="仿宋_GB2312"/>
          <w:sz w:val="32"/>
          <w:szCs w:val="32"/>
          <w:highlight w:val="none"/>
          <w:lang w:val="en-US" w:eastAsia="zh-CN"/>
        </w:rPr>
        <w:t>4.29</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0.22</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科学技术</w:t>
      </w:r>
      <w:r>
        <w:rPr>
          <w:rFonts w:hint="eastAsia" w:ascii="仿宋_GB2312" w:hAnsi="仿宋_GB2312" w:eastAsia="仿宋_GB2312" w:cs="仿宋_GB2312"/>
          <w:sz w:val="32"/>
          <w:szCs w:val="32"/>
          <w:highlight w:val="none"/>
        </w:rPr>
        <w:t>（类）支出</w:t>
      </w:r>
      <w:r>
        <w:rPr>
          <w:rFonts w:hint="eastAsia" w:ascii="仿宋_GB2312" w:hAnsi="仿宋_GB2312" w:eastAsia="仿宋_GB2312" w:cs="仿宋_GB2312"/>
          <w:sz w:val="32"/>
          <w:szCs w:val="32"/>
          <w:highlight w:val="none"/>
          <w:lang w:val="en-US" w:eastAsia="zh-CN"/>
        </w:rPr>
        <w:t>1544.81</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81.34</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社会保障和就业</w:t>
      </w:r>
      <w:r>
        <w:rPr>
          <w:rFonts w:hint="eastAsia" w:ascii="仿宋_GB2312" w:hAnsi="仿宋_GB2312" w:eastAsia="仿宋_GB2312" w:cs="仿宋_GB2312"/>
          <w:sz w:val="32"/>
          <w:szCs w:val="32"/>
          <w:highlight w:val="none"/>
        </w:rPr>
        <w:t>（类）支出</w:t>
      </w:r>
      <w:r>
        <w:rPr>
          <w:rFonts w:hint="eastAsia" w:ascii="仿宋_GB2312" w:hAnsi="仿宋_GB2312" w:eastAsia="仿宋_GB2312" w:cs="仿宋_GB2312"/>
          <w:sz w:val="32"/>
          <w:szCs w:val="32"/>
          <w:highlight w:val="none"/>
          <w:lang w:val="en-US" w:eastAsia="zh-CN"/>
        </w:rPr>
        <w:t>337.45</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17.77</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卫生健康</w:t>
      </w:r>
      <w:r>
        <w:rPr>
          <w:rFonts w:hint="eastAsia" w:ascii="仿宋_GB2312" w:hAnsi="仿宋_GB2312" w:eastAsia="仿宋_GB2312" w:cs="仿宋_GB2312"/>
          <w:sz w:val="32"/>
          <w:szCs w:val="32"/>
          <w:highlight w:val="none"/>
        </w:rPr>
        <w:t>（类）支出</w:t>
      </w:r>
      <w:r>
        <w:rPr>
          <w:rFonts w:hint="eastAsia" w:ascii="仿宋_GB2312" w:hAnsi="仿宋_GB2312" w:eastAsia="仿宋_GB2312" w:cs="仿宋_GB2312"/>
          <w:sz w:val="32"/>
          <w:szCs w:val="32"/>
          <w:highlight w:val="none"/>
          <w:lang w:val="en-US" w:eastAsia="zh-CN"/>
        </w:rPr>
        <w:t>12.71</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0.67</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240" w:lineRule="auto"/>
        <w:ind w:firstLine="642" w:firstLineChars="200"/>
        <w:textAlignment w:val="auto"/>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（三）具体情况。</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238.38</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1899.26</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796.74</w:t>
      </w:r>
      <w:r>
        <w:rPr>
          <w:rFonts w:hint="eastAsia" w:ascii="仿宋_GB2312" w:hAnsi="仿宋_GB2312" w:eastAsia="仿宋_GB2312" w:cs="仿宋_GB2312"/>
          <w:sz w:val="32"/>
          <w:szCs w:val="32"/>
          <w:highlight w:val="none"/>
        </w:rPr>
        <w:t>%。其中：</w:t>
      </w:r>
    </w:p>
    <w:p>
      <w:pPr>
        <w:keepNext w:val="0"/>
        <w:keepLines w:val="0"/>
        <w:pageBreakBefore w:val="0"/>
        <w:widowControl/>
        <w:kinsoku/>
        <w:wordWrap/>
        <w:overflowPunct/>
        <w:topLinePunct w:val="0"/>
        <w:autoSpaceDE/>
        <w:autoSpaceDN/>
        <w:bidi w:val="0"/>
        <w:adjustRightInd/>
        <w:snapToGrid/>
        <w:spacing w:line="240" w:lineRule="auto"/>
        <w:ind w:firstLine="642"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1．一般公共服务支出（类）群众团体事务（款）工会事务（项）。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0.97</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0.97</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w:t>
      </w:r>
      <w:r>
        <w:rPr>
          <w:rFonts w:hint="eastAsia" w:ascii="仿宋_GB2312" w:hAnsi="仿宋_GB2312" w:eastAsia="仿宋_GB2312" w:cs="仿宋_GB2312"/>
          <w:sz w:val="32"/>
          <w:szCs w:val="32"/>
          <w:highlight w:val="none"/>
          <w:lang w:eastAsia="zh-CN"/>
        </w:rPr>
        <w:t>不</w:t>
      </w:r>
      <w:r>
        <w:rPr>
          <w:rFonts w:hint="eastAsia" w:ascii="仿宋_GB2312" w:hAnsi="仿宋_GB2312" w:eastAsia="仿宋_GB2312" w:cs="仿宋_GB2312"/>
          <w:sz w:val="32"/>
          <w:szCs w:val="32"/>
          <w:highlight w:val="none"/>
        </w:rPr>
        <w:t>存在差异。</w:t>
      </w:r>
    </w:p>
    <w:p>
      <w:pPr>
        <w:keepNext w:val="0"/>
        <w:keepLines w:val="0"/>
        <w:pageBreakBefore w:val="0"/>
        <w:widowControl/>
        <w:kinsoku/>
        <w:wordWrap/>
        <w:overflowPunct/>
        <w:topLinePunct w:val="0"/>
        <w:autoSpaceDE/>
        <w:autoSpaceDN/>
        <w:bidi w:val="0"/>
        <w:adjustRightInd/>
        <w:snapToGrid/>
        <w:spacing w:line="240" w:lineRule="auto"/>
        <w:ind w:firstLine="642"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2．一般公共服务支出（类）组织事务（款）行政运行（项）。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3.32</w:t>
      </w:r>
      <w:r>
        <w:rPr>
          <w:rFonts w:hint="eastAsia" w:ascii="仿宋_GB2312" w:hAnsi="仿宋_GB2312" w:eastAsia="仿宋_GB2312" w:cs="仿宋_GB2312"/>
          <w:sz w:val="32"/>
          <w:szCs w:val="32"/>
          <w:highlight w:val="none"/>
        </w:rPr>
        <w:t>万元。决算数与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支出上年结余资金</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240" w:lineRule="auto"/>
        <w:ind w:firstLine="642"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3</w:t>
      </w:r>
      <w:r>
        <w:rPr>
          <w:rFonts w:hint="eastAsia" w:ascii="仿宋_GB2312" w:hAnsi="仿宋_GB2312" w:eastAsia="仿宋_GB2312" w:cs="仿宋_GB2312"/>
          <w:b/>
          <w:bCs/>
          <w:sz w:val="32"/>
          <w:szCs w:val="32"/>
          <w:highlight w:val="none"/>
        </w:rPr>
        <w:t>．科学技术支出（类）其他科学技术支出（款）其他科学技术支出（项）。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1544.81</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根据相关部门安排，于</w:t>
      </w:r>
      <w:r>
        <w:rPr>
          <w:rFonts w:hint="eastAsia" w:ascii="仿宋_GB2312" w:hAnsi="仿宋_GB2312" w:eastAsia="仿宋_GB2312" w:cs="仿宋_GB2312"/>
          <w:sz w:val="32"/>
          <w:szCs w:val="32"/>
          <w:highlight w:val="none"/>
          <w:lang w:val="en-US" w:eastAsia="zh-CN"/>
        </w:rPr>
        <w:t>2021年年末追加预算并发放</w:t>
      </w:r>
      <w:r>
        <w:rPr>
          <w:rFonts w:hint="eastAsia" w:ascii="仿宋_GB2312" w:hAnsi="仿宋_GB2312" w:eastAsia="仿宋_GB2312" w:cs="仿宋_GB2312"/>
          <w:sz w:val="32"/>
          <w:szCs w:val="32"/>
          <w:highlight w:val="none"/>
          <w:lang w:eastAsia="zh-CN"/>
        </w:rPr>
        <w:t>高层次人才补贴</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240" w:lineRule="auto"/>
        <w:ind w:firstLine="642"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4</w:t>
      </w:r>
      <w:r>
        <w:rPr>
          <w:rFonts w:hint="eastAsia" w:ascii="仿宋_GB2312" w:hAnsi="仿宋_GB2312" w:eastAsia="仿宋_GB2312" w:cs="仿宋_GB2312"/>
          <w:b/>
          <w:bCs/>
          <w:sz w:val="32"/>
          <w:szCs w:val="32"/>
          <w:highlight w:val="none"/>
        </w:rPr>
        <w:t>．社会保障和就业支出（类）人力资源和社会保障管理事务（款）行政运行（项）。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123.19</w:t>
      </w:r>
      <w:r>
        <w:rPr>
          <w:rFonts w:hint="eastAsia" w:ascii="仿宋_GB2312" w:hAnsi="仿宋_GB2312" w:eastAsia="仿宋_GB2312" w:cs="仿宋_GB2312"/>
          <w:sz w:val="32"/>
          <w:szCs w:val="32"/>
          <w:highlight w:val="none"/>
        </w:rPr>
        <w:t>万元。决算数与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val="en-US" w:eastAsia="zh-CN"/>
        </w:rPr>
        <w:t>2021年新增财政供养人员</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240" w:lineRule="auto"/>
        <w:ind w:firstLine="642"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5</w:t>
      </w:r>
      <w:r>
        <w:rPr>
          <w:rFonts w:hint="eastAsia" w:ascii="仿宋_GB2312" w:hAnsi="仿宋_GB2312" w:eastAsia="仿宋_GB2312" w:cs="仿宋_GB2312"/>
          <w:b/>
          <w:bCs/>
          <w:sz w:val="32"/>
          <w:szCs w:val="32"/>
          <w:highlight w:val="none"/>
        </w:rPr>
        <w:t>．社会保障和就业支出（类）人力资源和社会保障管理事务（款）一般行政管理事务（项）。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206.58</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168.06</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81.35</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val="en-US" w:eastAsia="zh-CN"/>
        </w:rPr>
        <w:t>2021年新增财政供养人员工资从其他项列支</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240" w:lineRule="auto"/>
        <w:ind w:firstLine="642"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6</w:t>
      </w:r>
      <w:r>
        <w:rPr>
          <w:rFonts w:hint="eastAsia" w:ascii="仿宋_GB2312" w:hAnsi="仿宋_GB2312" w:eastAsia="仿宋_GB2312" w:cs="仿宋_GB2312"/>
          <w:b/>
          <w:bCs/>
          <w:sz w:val="32"/>
          <w:szCs w:val="32"/>
          <w:highlight w:val="none"/>
        </w:rPr>
        <w:t>．社会保障和就业支出（类）行政事业单位养老支出（款） 行政单位离退休（项）。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6.05</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6.41</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105.95</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离退休人员养老支出增加</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240" w:lineRule="auto"/>
        <w:ind w:firstLine="642"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7</w:t>
      </w:r>
      <w:r>
        <w:rPr>
          <w:rFonts w:hint="eastAsia" w:ascii="仿宋_GB2312" w:hAnsi="仿宋_GB2312" w:eastAsia="仿宋_GB2312" w:cs="仿宋_GB2312"/>
          <w:b/>
          <w:bCs/>
          <w:sz w:val="32"/>
          <w:szCs w:val="32"/>
          <w:highlight w:val="none"/>
        </w:rPr>
        <w:t>．社会保障和就业支出（类）行政事业单位养老支出（款）机关事业单位基本养老保险缴费支出（项）。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12.26</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14.59</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119.00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财政供养人员社保基数调整</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240" w:lineRule="auto"/>
        <w:ind w:firstLine="642"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8</w:t>
      </w:r>
      <w:r>
        <w:rPr>
          <w:rFonts w:hint="eastAsia" w:ascii="仿宋_GB2312" w:hAnsi="仿宋_GB2312" w:eastAsia="仿宋_GB2312" w:cs="仿宋_GB2312"/>
          <w:b/>
          <w:bCs/>
          <w:sz w:val="32"/>
          <w:szCs w:val="32"/>
          <w:highlight w:val="none"/>
        </w:rPr>
        <w:t>．社会保障和就业支出（类）就业补助（款）其他就业补助支出（项）。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25.20</w:t>
      </w:r>
      <w:r>
        <w:rPr>
          <w:rFonts w:hint="eastAsia" w:ascii="仿宋_GB2312" w:hAnsi="仿宋_GB2312" w:eastAsia="仿宋_GB2312" w:cs="仿宋_GB2312"/>
          <w:sz w:val="32"/>
          <w:szCs w:val="32"/>
          <w:highlight w:val="none"/>
        </w:rPr>
        <w:t>万元。决算数与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因工作需要年中追加项目经费</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240" w:lineRule="auto"/>
        <w:ind w:firstLine="642"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9</w:t>
      </w:r>
      <w:r>
        <w:rPr>
          <w:rFonts w:hint="eastAsia" w:ascii="仿宋_GB2312" w:hAnsi="仿宋_GB2312" w:eastAsia="仿宋_GB2312" w:cs="仿宋_GB2312"/>
          <w:b/>
          <w:bCs/>
          <w:sz w:val="32"/>
          <w:szCs w:val="32"/>
          <w:highlight w:val="none"/>
        </w:rPr>
        <w:t>．卫生健康支出（类）行政事业单位医疗（款）行政单位医疗（项）。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6.41</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6.41</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w:t>
      </w:r>
      <w:r>
        <w:rPr>
          <w:rFonts w:hint="eastAsia" w:ascii="仿宋_GB2312" w:hAnsi="仿宋_GB2312" w:eastAsia="仿宋_GB2312" w:cs="仿宋_GB2312"/>
          <w:sz w:val="32"/>
          <w:szCs w:val="32"/>
          <w:highlight w:val="none"/>
          <w:lang w:eastAsia="zh-CN"/>
        </w:rPr>
        <w:t>不</w:t>
      </w:r>
      <w:r>
        <w:rPr>
          <w:rFonts w:hint="eastAsia" w:ascii="仿宋_GB2312" w:hAnsi="仿宋_GB2312" w:eastAsia="仿宋_GB2312" w:cs="仿宋_GB2312"/>
          <w:sz w:val="32"/>
          <w:szCs w:val="32"/>
          <w:highlight w:val="none"/>
        </w:rPr>
        <w:t>存在差异。</w:t>
      </w:r>
    </w:p>
    <w:p>
      <w:pPr>
        <w:keepNext w:val="0"/>
        <w:keepLines w:val="0"/>
        <w:pageBreakBefore w:val="0"/>
        <w:widowControl/>
        <w:kinsoku/>
        <w:wordWrap/>
        <w:overflowPunct/>
        <w:topLinePunct w:val="0"/>
        <w:autoSpaceDE/>
        <w:autoSpaceDN/>
        <w:bidi w:val="0"/>
        <w:adjustRightInd/>
        <w:snapToGrid/>
        <w:spacing w:line="240" w:lineRule="auto"/>
        <w:ind w:firstLine="642"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10</w:t>
      </w:r>
      <w:r>
        <w:rPr>
          <w:rFonts w:hint="eastAsia" w:ascii="仿宋_GB2312" w:hAnsi="仿宋_GB2312" w:eastAsia="仿宋_GB2312" w:cs="仿宋_GB2312"/>
          <w:b/>
          <w:bCs/>
          <w:sz w:val="32"/>
          <w:szCs w:val="32"/>
          <w:highlight w:val="none"/>
        </w:rPr>
        <w:t>．卫生健康支出（类）行政事业单位医疗（款）公务员医疗补助（项）。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6.11</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6.30</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103.11</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部分支出使用上年结余资金</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六、一般公共预算财政拨款基本支出决算情况说明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年度一般公共预算财政拨款基本支出</w:t>
      </w:r>
      <w:r>
        <w:rPr>
          <w:rFonts w:hint="eastAsia" w:ascii="仿宋_GB2312" w:hAnsi="仿宋_GB2312" w:eastAsia="仿宋_GB2312" w:cs="仿宋_GB2312"/>
          <w:sz w:val="32"/>
          <w:szCs w:val="32"/>
          <w:highlight w:val="none"/>
          <w:lang w:val="en-US" w:eastAsia="zh-CN"/>
        </w:rPr>
        <w:t>271.21</w:t>
      </w:r>
      <w:r>
        <w:rPr>
          <w:rFonts w:hint="eastAsia" w:ascii="仿宋_GB2312" w:hAnsi="仿宋_GB2312" w:eastAsia="仿宋_GB2312" w:cs="仿宋_GB2312"/>
          <w:sz w:val="32"/>
          <w:szCs w:val="32"/>
          <w:highlight w:val="none"/>
        </w:rPr>
        <w:t>万元。其中：人员经费</w:t>
      </w:r>
      <w:r>
        <w:rPr>
          <w:rFonts w:hint="eastAsia" w:ascii="仿宋_GB2312" w:hAnsi="仿宋_GB2312" w:eastAsia="仿宋_GB2312" w:cs="仿宋_GB2312"/>
          <w:sz w:val="32"/>
          <w:szCs w:val="32"/>
          <w:highlight w:val="none"/>
          <w:lang w:val="en-US" w:eastAsia="zh-CN"/>
        </w:rPr>
        <w:t>240.87</w:t>
      </w:r>
      <w:r>
        <w:rPr>
          <w:rFonts w:hint="eastAsia" w:ascii="仿宋_GB2312" w:hAnsi="仿宋_GB2312" w:eastAsia="仿宋_GB2312" w:cs="仿宋_GB2312"/>
          <w:sz w:val="32"/>
          <w:szCs w:val="32"/>
          <w:highlight w:val="none"/>
        </w:rPr>
        <w:t>万元，主要包括：基本工资、津贴补贴、</w:t>
      </w:r>
      <w:r>
        <w:rPr>
          <w:rFonts w:hint="eastAsia" w:ascii="仿宋_GB2312" w:hAnsi="仿宋_GB2312" w:eastAsia="仿宋_GB2312" w:cs="仿宋_GB2312"/>
          <w:sz w:val="32"/>
          <w:szCs w:val="32"/>
          <w:highlight w:val="none"/>
          <w:lang w:eastAsia="zh-CN"/>
        </w:rPr>
        <w:t>奖金</w:t>
      </w:r>
      <w:r>
        <w:rPr>
          <w:rFonts w:hint="eastAsia" w:ascii="仿宋_GB2312" w:hAnsi="仿宋_GB2312" w:eastAsia="仿宋_GB2312" w:cs="仿宋_GB2312"/>
          <w:sz w:val="32"/>
          <w:szCs w:val="32"/>
          <w:highlight w:val="none"/>
        </w:rPr>
        <w:t>、机关事业单位基本养老保险缴费、</w:t>
      </w:r>
      <w:r>
        <w:rPr>
          <w:rFonts w:hint="eastAsia" w:ascii="仿宋_GB2312" w:hAnsi="仿宋_GB2312" w:eastAsia="仿宋_GB2312" w:cs="仿宋_GB2312"/>
          <w:sz w:val="32"/>
          <w:szCs w:val="32"/>
          <w:highlight w:val="none"/>
          <w:lang w:eastAsia="zh-CN"/>
        </w:rPr>
        <w:t>职工基本医疗保险缴费、公务员医疗补助缴费、</w:t>
      </w:r>
      <w:r>
        <w:rPr>
          <w:rFonts w:hint="eastAsia" w:ascii="仿宋_GB2312" w:hAnsi="仿宋_GB2312" w:eastAsia="仿宋_GB2312" w:cs="仿宋_GB2312"/>
          <w:sz w:val="32"/>
          <w:szCs w:val="32"/>
          <w:highlight w:val="none"/>
        </w:rPr>
        <w:t>其他社会保障缴费、其他工资福利支出、退休费、住房公积金；公用经费</w:t>
      </w:r>
      <w:r>
        <w:rPr>
          <w:rFonts w:hint="eastAsia" w:ascii="仿宋_GB2312" w:hAnsi="仿宋_GB2312" w:eastAsia="仿宋_GB2312" w:cs="仿宋_GB2312"/>
          <w:sz w:val="32"/>
          <w:szCs w:val="32"/>
          <w:highlight w:val="none"/>
          <w:lang w:val="en-US" w:eastAsia="zh-CN"/>
        </w:rPr>
        <w:t>30.34</w:t>
      </w:r>
      <w:r>
        <w:rPr>
          <w:rFonts w:hint="eastAsia" w:ascii="仿宋_GB2312" w:hAnsi="仿宋_GB2312" w:eastAsia="仿宋_GB2312" w:cs="仿宋_GB2312"/>
          <w:sz w:val="32"/>
          <w:szCs w:val="32"/>
          <w:highlight w:val="none"/>
        </w:rPr>
        <w:t>万元，主要包括：办公费、印刷费、电费、邮电费、差旅费、委托业务费、工会经费、福利费</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其他交通费用。</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keepNext w:val="0"/>
        <w:keepLines w:val="0"/>
        <w:pageBreakBefore w:val="0"/>
        <w:widowControl/>
        <w:kinsoku/>
        <w:wordWrap/>
        <w:overflowPunct/>
        <w:topLinePunct w:val="0"/>
        <w:autoSpaceDE/>
        <w:autoSpaceDN/>
        <w:bidi w:val="0"/>
        <w:adjustRightInd/>
        <w:snapToGrid/>
        <w:spacing w:line="240" w:lineRule="auto"/>
        <w:ind w:firstLine="642" w:firstLineChars="200"/>
        <w:textAlignment w:val="auto"/>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（一）“三公”经费财政拨款支出决算总体情况说明。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年度“三公”经费财政拨款支出预算为</w:t>
      </w:r>
      <w:r>
        <w:rPr>
          <w:rFonts w:hint="eastAsia" w:ascii="仿宋_GB2312" w:hAnsi="仿宋_GB2312" w:eastAsia="仿宋_GB2312" w:cs="仿宋_GB2312"/>
          <w:sz w:val="32"/>
          <w:szCs w:val="32"/>
          <w:highlight w:val="none"/>
          <w:lang w:val="en-US" w:eastAsia="zh-CN"/>
        </w:rPr>
        <w:t>2.45</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年度“三公”经费支出决算数与预算数存在差异的主要原因是</w:t>
      </w:r>
      <w:r>
        <w:rPr>
          <w:rFonts w:hint="eastAsia" w:ascii="仿宋_GB2312" w:hAnsi="仿宋_GB2312" w:eastAsia="仿宋_GB2312" w:cs="仿宋_GB2312"/>
          <w:sz w:val="32"/>
          <w:szCs w:val="32"/>
          <w:highlight w:val="none"/>
          <w:lang w:val="en-US" w:eastAsia="zh-CN"/>
        </w:rPr>
        <w:t>2021年无公务接待支出</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240" w:lineRule="auto"/>
        <w:ind w:firstLine="642" w:firstLineChars="200"/>
        <w:textAlignment w:val="auto"/>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（二）“三公”经费财政拨款支出决算具体情况说明。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年度“三公”经费财政拨款支出决算中，因公出国（境）费支出决算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color w:val="auto"/>
          <w:sz w:val="32"/>
          <w:szCs w:val="32"/>
          <w:highlight w:val="none"/>
        </w:rPr>
        <w:t>，占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sz w:val="32"/>
          <w:szCs w:val="32"/>
          <w:highlight w:val="none"/>
        </w:rPr>
        <w:t>；公务用车购置及运行费支出决算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color w:val="auto"/>
          <w:sz w:val="32"/>
          <w:szCs w:val="32"/>
          <w:highlight w:val="none"/>
        </w:rPr>
        <w:t>，占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sz w:val="32"/>
          <w:szCs w:val="32"/>
          <w:highlight w:val="none"/>
        </w:rPr>
        <w:t>；公务接待费支出决算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color w:val="auto"/>
          <w:sz w:val="32"/>
          <w:szCs w:val="32"/>
          <w:highlight w:val="none"/>
        </w:rPr>
        <w:t>完成预算的</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sz w:val="32"/>
          <w:szCs w:val="32"/>
          <w:highlight w:val="none"/>
        </w:rPr>
        <w:t>具体情况如下：</w:t>
      </w:r>
    </w:p>
    <w:p>
      <w:pPr>
        <w:keepNext w:val="0"/>
        <w:keepLines w:val="0"/>
        <w:pageBreakBefore w:val="0"/>
        <w:widowControl/>
        <w:kinsoku/>
        <w:wordWrap/>
        <w:overflowPunct/>
        <w:topLinePunct w:val="0"/>
        <w:autoSpaceDE/>
        <w:autoSpaceDN/>
        <w:bidi w:val="0"/>
        <w:adjustRightInd/>
        <w:snapToGrid/>
        <w:spacing w:line="240" w:lineRule="auto"/>
        <w:ind w:firstLine="642"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1．因公出国（境）费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万元。决算数与预算数不存在差异。因公出国（境）团组数0个，</w:t>
      </w:r>
      <w:r>
        <w:rPr>
          <w:rFonts w:hint="eastAsia" w:ascii="仿宋_GB2312" w:hAnsi="仿宋_GB2312" w:eastAsia="仿宋_GB2312" w:cs="仿宋_GB2312"/>
          <w:color w:val="auto"/>
          <w:sz w:val="32"/>
          <w:szCs w:val="32"/>
          <w:highlight w:val="none"/>
          <w:u w:val="none"/>
          <w:lang w:val="en-US" w:eastAsia="zh-CN"/>
        </w:rPr>
        <w:t>累计0人次</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240" w:lineRule="auto"/>
        <w:ind w:firstLine="642"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rPr>
        <w:t>2．公务用车购置及运行费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万元。决算数与预算数</w:t>
      </w:r>
      <w:r>
        <w:rPr>
          <w:rFonts w:hint="eastAsia" w:ascii="仿宋_GB2312" w:hAnsi="仿宋_GB2312" w:eastAsia="仿宋_GB2312" w:cs="仿宋_GB2312"/>
          <w:sz w:val="32"/>
          <w:szCs w:val="32"/>
          <w:highlight w:val="none"/>
          <w:lang w:eastAsia="zh-CN"/>
        </w:rPr>
        <w:t>不</w:t>
      </w:r>
      <w:r>
        <w:rPr>
          <w:rFonts w:hint="eastAsia" w:ascii="仿宋_GB2312" w:hAnsi="仿宋_GB2312" w:eastAsia="仿宋_GB2312" w:cs="仿宋_GB2312"/>
          <w:sz w:val="32"/>
          <w:szCs w:val="32"/>
          <w:highlight w:val="none"/>
        </w:rPr>
        <w:t>存在差异。</w:t>
      </w:r>
      <w:r>
        <w:rPr>
          <w:rFonts w:hint="eastAsia" w:ascii="仿宋_GB2312" w:hAnsi="仿宋_GB2312" w:eastAsia="仿宋_GB2312" w:cs="仿宋_GB2312"/>
          <w:sz w:val="32"/>
          <w:szCs w:val="32"/>
          <w:highlight w:val="none"/>
          <w:lang w:eastAsia="zh-CN"/>
        </w:rPr>
        <w:t>其中：</w:t>
      </w:r>
    </w:p>
    <w:p>
      <w:pPr>
        <w:keepNext w:val="0"/>
        <w:keepLines w:val="0"/>
        <w:pageBreakBefore w:val="0"/>
        <w:widowControl/>
        <w:kinsoku/>
        <w:wordWrap/>
        <w:overflowPunct/>
        <w:topLinePunct w:val="0"/>
        <w:autoSpaceDE/>
        <w:autoSpaceDN/>
        <w:bidi w:val="0"/>
        <w:adjustRightInd/>
        <w:snapToGrid/>
        <w:spacing w:line="240" w:lineRule="auto"/>
        <w:ind w:firstLine="642"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公务用车购置支出</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万元，购置车辆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w:t>
      </w:r>
    </w:p>
    <w:p>
      <w:pPr>
        <w:keepNext w:val="0"/>
        <w:keepLines w:val="0"/>
        <w:pageBreakBefore w:val="0"/>
        <w:widowControl/>
        <w:kinsoku/>
        <w:wordWrap/>
        <w:overflowPunct/>
        <w:topLinePunct w:val="0"/>
        <w:autoSpaceDE/>
        <w:autoSpaceDN/>
        <w:bidi w:val="0"/>
        <w:adjustRightInd/>
        <w:snapToGrid/>
        <w:spacing w:line="240" w:lineRule="auto"/>
        <w:ind w:firstLine="642"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公务用车运行支出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年期末，单位开支财政拨款的公务用车保有量为</w:t>
      </w:r>
      <w:r>
        <w:rPr>
          <w:rFonts w:hint="eastAsia" w:ascii="仿宋_GB2312" w:hAnsi="仿宋_GB2312" w:eastAsia="仿宋_GB2312" w:cs="仿宋_GB2312"/>
          <w:sz w:val="32"/>
          <w:szCs w:val="32"/>
          <w:highlight w:val="none"/>
          <w:lang w:val="en-US" w:eastAsia="zh-CN"/>
        </w:rPr>
        <w:t>0辆</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240" w:lineRule="auto"/>
        <w:ind w:firstLine="642"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3.公务接待费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2.45</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%。决算数与预算数存在差异的主要原因是2021年无公务接待支出。其中：</w:t>
      </w:r>
    </w:p>
    <w:p>
      <w:pPr>
        <w:keepNext w:val="0"/>
        <w:keepLines w:val="0"/>
        <w:pageBreakBefore w:val="0"/>
        <w:widowControl/>
        <w:kinsoku/>
        <w:wordWrap/>
        <w:overflowPunct/>
        <w:topLinePunct w:val="0"/>
        <w:autoSpaceDE/>
        <w:autoSpaceDN/>
        <w:bidi w:val="0"/>
        <w:adjustRightInd/>
        <w:snapToGrid/>
        <w:spacing w:line="240" w:lineRule="auto"/>
        <w:ind w:firstLine="642"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外宾接待支出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年共接待国（境）外来访团组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个、来访外宾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keepNext w:val="0"/>
        <w:keepLines w:val="0"/>
        <w:pageBreakBefore w:val="0"/>
        <w:widowControl/>
        <w:kinsoku/>
        <w:wordWrap/>
        <w:overflowPunct/>
        <w:topLinePunct w:val="0"/>
        <w:autoSpaceDE/>
        <w:autoSpaceDN/>
        <w:bidi w:val="0"/>
        <w:adjustRightInd/>
        <w:snapToGrid/>
        <w:spacing w:line="240" w:lineRule="auto"/>
        <w:ind w:firstLine="642"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其他国内公务接待支出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年共接待国内来访团组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八、政府性基金预算财政拨款支出决算情况说明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highlight w:val="none"/>
          <w:lang w:eastAsia="zh-CN"/>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年度政府性基金预算财政拨款支出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不存在</w:t>
      </w:r>
      <w:r>
        <w:rPr>
          <w:rFonts w:hint="eastAsia" w:ascii="仿宋_GB2312" w:hAnsi="仿宋_GB2312" w:eastAsia="仿宋_GB2312" w:cs="仿宋_GB2312"/>
          <w:sz w:val="32"/>
          <w:szCs w:val="32"/>
          <w:highlight w:val="none"/>
        </w:rPr>
        <w:t>项目年末结转和结余资金数额较大</w:t>
      </w:r>
      <w:r>
        <w:rPr>
          <w:rFonts w:hint="eastAsia" w:ascii="仿宋_GB2312" w:hAnsi="仿宋_GB2312" w:eastAsia="仿宋_GB2312" w:cs="仿宋_GB2312"/>
          <w:sz w:val="32"/>
          <w:szCs w:val="32"/>
          <w:highlight w:val="none"/>
          <w:lang w:eastAsia="zh-CN"/>
        </w:rPr>
        <w:t>的情况。</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情况说明：我单位</w:t>
      </w:r>
      <w:r>
        <w:rPr>
          <w:rFonts w:hint="eastAsia" w:ascii="仿宋_GB2312" w:hAnsi="仿宋_GB2312" w:eastAsia="仿宋_GB2312" w:cs="仿宋_GB2312"/>
          <w:sz w:val="32"/>
          <w:szCs w:val="32"/>
          <w:highlight w:val="none"/>
          <w:lang w:val="en-US" w:eastAsia="zh-CN"/>
        </w:rPr>
        <w:t>2021年度没有政府性基金收入，也没有使用政府性基金安排的支出</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九、机关运行经费支出情况说明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年度机关运行经费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32.51</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30.34</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93.33</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节约开支，减少运行经费支出</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十、政府采购支出情况说明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年度政府采购支出总额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万元，其中：政府采购货物支出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万元、政府采购工程支出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万元、政府采购服务支出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万元。授予中小企业合同金额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万元，其中：授予小微企业合同金额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十一、国有资产占用情况说明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年期末，我单位共有车辆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辆，其中：省级领导干部用车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辆、主要领导干部用车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辆、机要通信用车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辆、应急保障车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辆、执法执勤用车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辆、特种专业技术用车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辆、离退休干部用车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辆、其他用车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辆；单位价值50万元以上通用设备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台（套），单位价值100万元以上专用设备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240" w:lineRule="auto"/>
        <w:ind w:right="0" w:rightChars="0" w:firstLine="642"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我单位根据财政关于绩效管理的相关要求，完善内控管理制度，积极参与绩效管理工作相关培训，召开预算绩效管理专题会议，传达绩效管理相关精神，提升人员绩效管理意识和业务水平。</w:t>
      </w:r>
    </w:p>
    <w:p>
      <w:pPr>
        <w:keepNext w:val="0"/>
        <w:keepLines w:val="0"/>
        <w:pageBreakBefore w:val="0"/>
        <w:widowControl/>
        <w:kinsoku/>
        <w:wordWrap/>
        <w:overflowPunct/>
        <w:topLinePunct w:val="0"/>
        <w:autoSpaceDE/>
        <w:autoSpaceDN/>
        <w:bidi w:val="0"/>
        <w:adjustRightInd/>
        <w:snapToGrid/>
        <w:spacing w:line="240" w:lineRule="auto"/>
        <w:ind w:right="0" w:rightChars="0" w:firstLine="642"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（二）单位整体和项目绩效自评结果。</w:t>
      </w:r>
    </w:p>
    <w:p>
      <w:pPr>
        <w:keepNext w:val="0"/>
        <w:keepLines w:val="0"/>
        <w:pageBreakBefore w:val="0"/>
        <w:widowControl/>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单位对本单位整体绩效目标和项目支出绩效目标进行了自评。一是单位整体绩效自评良好。二是项目绩效自评良好。我单位共有2个项目批复了绩效目标，项目金额62.28万元。</w:t>
      </w:r>
    </w:p>
    <w:p>
      <w:pPr>
        <w:keepNext w:val="0"/>
        <w:keepLines w:val="0"/>
        <w:pageBreakBefore w:val="0"/>
        <w:widowControl/>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94.05分。其中：2个项目评价等级为“优”、0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240" w:lineRule="auto"/>
        <w:ind w:right="0" w:rightChars="0" w:firstLine="642"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keepNext w:val="0"/>
        <w:keepLines w:val="0"/>
        <w:pageBreakBefore w:val="0"/>
        <w:widowControl/>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2021年度我单位没有开展重点绩效评价的项目。</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both"/>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both"/>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jc w:val="center"/>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一、财政拨款收入：单位从同级政府财政部门取得的财政预算资金。</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二、事业收入：事业单位开展专业业务活动及其辅助活动取得的收入。</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三、上级补助收入：事业单位从主管部门和上级单位取得的非财政补助收入。</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四、附属单位上缴收入：事业单位取得附属独立核算单位根据有关规定上缴的收入。</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五、经营收入：事业单位在专业业务活动及其辅助活动之外开展非独立核算经营活动取得的收入。</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六、其他收入：单位取得的除“财政拨款收入”、“事业收入”、“上级补助收入”、“附属单位上缴收入”、“经营收入”以外的各项收入。</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七、使用非财政拨款结余：指事业单位使用以前年度积累的非财政拨款结余弥补当年收支差额的金额。</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八、基本支出：为保障机构正常运转、完成日常工作任务而发生的人员支出和公用支出。</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九、项目支出：基本支出之外为完成特定行政任务和事业发展目标所发生的支出。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十二、工资福利支出：单位支付给在职职工和编制外长期聘用人员的各类劳动报酬，以及为上述人员缴纳的各项社会保险费等。</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十三、商品和服务支出：单位购买商品和服务的支出。</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十四、对个人和家庭的补助支出：单位用于对个人和家庭的补助支出。</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十五、年末结转：本年度或以前年度预算安排，已执行但尚未完成或因客观条件发生变化无法按原计划实施，需延迟到以后年度按有关规定继续使用的资金。</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MathJax_Vector">
    <w:panose1 w:val="02000603000000000000"/>
    <w:charset w:val="00"/>
    <w:family w:val="auto"/>
    <w:pitch w:val="default"/>
    <w:sig w:usb0="00000001" w:usb1="0000002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0D7C2A"/>
    <w:multiLevelType w:val="singleLevel"/>
    <w:tmpl w:val="C40D7C2A"/>
    <w:lvl w:ilvl="0" w:tentative="0">
      <w:start w:val="1"/>
      <w:numFmt w:val="chineseCounting"/>
      <w:suff w:val="space"/>
      <w:lvlText w:val="第%1部分"/>
      <w:lvlJc w:val="left"/>
      <w:rPr>
        <w:rFonts w:hint="eastAsia"/>
      </w:rPr>
    </w:lvl>
  </w:abstractNum>
  <w:abstractNum w:abstractNumId="1">
    <w:nsid w:val="5971BE17"/>
    <w:multiLevelType w:val="singleLevel"/>
    <w:tmpl w:val="5971BE17"/>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zNGMyNzhhYzkzMzZjZDhkMzZiODIzZTc3OTk1Y2EifQ=="/>
  </w:docVars>
  <w:rsids>
    <w:rsidRoot w:val="000270E8"/>
    <w:rsid w:val="000270E8"/>
    <w:rsid w:val="000335B5"/>
    <w:rsid w:val="00057AFD"/>
    <w:rsid w:val="00076410"/>
    <w:rsid w:val="00081835"/>
    <w:rsid w:val="000904B3"/>
    <w:rsid w:val="000C073B"/>
    <w:rsid w:val="000C1142"/>
    <w:rsid w:val="001003F8"/>
    <w:rsid w:val="00144159"/>
    <w:rsid w:val="0017147C"/>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15FEB"/>
    <w:rsid w:val="0041489C"/>
    <w:rsid w:val="0042585F"/>
    <w:rsid w:val="00445CAC"/>
    <w:rsid w:val="00472E19"/>
    <w:rsid w:val="00487869"/>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840C6"/>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B05A3"/>
    <w:rsid w:val="00ED38B7"/>
    <w:rsid w:val="00EE051D"/>
    <w:rsid w:val="00F0131A"/>
    <w:rsid w:val="00F14C17"/>
    <w:rsid w:val="00F17041"/>
    <w:rsid w:val="00F218CF"/>
    <w:rsid w:val="00F44937"/>
    <w:rsid w:val="00F61A47"/>
    <w:rsid w:val="00F84422"/>
    <w:rsid w:val="00F95455"/>
    <w:rsid w:val="00FA574D"/>
    <w:rsid w:val="00FC2588"/>
    <w:rsid w:val="00FE7AD9"/>
    <w:rsid w:val="01322275"/>
    <w:rsid w:val="018145D6"/>
    <w:rsid w:val="01DC6F05"/>
    <w:rsid w:val="02A3489A"/>
    <w:rsid w:val="02CA138D"/>
    <w:rsid w:val="030A68FC"/>
    <w:rsid w:val="033646FC"/>
    <w:rsid w:val="03674E92"/>
    <w:rsid w:val="03C75F80"/>
    <w:rsid w:val="0478364D"/>
    <w:rsid w:val="053D4C0D"/>
    <w:rsid w:val="0557532E"/>
    <w:rsid w:val="0799329C"/>
    <w:rsid w:val="08397436"/>
    <w:rsid w:val="086F16A7"/>
    <w:rsid w:val="0A0F7225"/>
    <w:rsid w:val="0A2B7D82"/>
    <w:rsid w:val="0AC94388"/>
    <w:rsid w:val="0ADC40E9"/>
    <w:rsid w:val="0AE607F4"/>
    <w:rsid w:val="0B386127"/>
    <w:rsid w:val="0B451598"/>
    <w:rsid w:val="0B9A65DD"/>
    <w:rsid w:val="0BEC73F4"/>
    <w:rsid w:val="0C392698"/>
    <w:rsid w:val="0E530FB1"/>
    <w:rsid w:val="0EAC50D3"/>
    <w:rsid w:val="0F5226EB"/>
    <w:rsid w:val="10BD36F6"/>
    <w:rsid w:val="11BF0649"/>
    <w:rsid w:val="123E3E08"/>
    <w:rsid w:val="133212F4"/>
    <w:rsid w:val="13D22E22"/>
    <w:rsid w:val="161C2DFF"/>
    <w:rsid w:val="16373578"/>
    <w:rsid w:val="16D3336B"/>
    <w:rsid w:val="17200028"/>
    <w:rsid w:val="17806C36"/>
    <w:rsid w:val="17A74F62"/>
    <w:rsid w:val="18A47774"/>
    <w:rsid w:val="1A8D28EB"/>
    <w:rsid w:val="1A9F2D78"/>
    <w:rsid w:val="1B2E6FD8"/>
    <w:rsid w:val="1B877D21"/>
    <w:rsid w:val="1BE22E8E"/>
    <w:rsid w:val="1BE5181A"/>
    <w:rsid w:val="1C4319A9"/>
    <w:rsid w:val="1E443B4B"/>
    <w:rsid w:val="1E8D3E6E"/>
    <w:rsid w:val="1E994F4A"/>
    <w:rsid w:val="1EAF0224"/>
    <w:rsid w:val="1F2230A4"/>
    <w:rsid w:val="20210932"/>
    <w:rsid w:val="202448E0"/>
    <w:rsid w:val="20F614FE"/>
    <w:rsid w:val="21302EEA"/>
    <w:rsid w:val="22376FB5"/>
    <w:rsid w:val="23E152D7"/>
    <w:rsid w:val="23EE2489"/>
    <w:rsid w:val="23F9157E"/>
    <w:rsid w:val="241F3933"/>
    <w:rsid w:val="255D43C8"/>
    <w:rsid w:val="26714EF8"/>
    <w:rsid w:val="26876BDD"/>
    <w:rsid w:val="2714632A"/>
    <w:rsid w:val="27541E73"/>
    <w:rsid w:val="27B0539E"/>
    <w:rsid w:val="28F85B9B"/>
    <w:rsid w:val="29365CF8"/>
    <w:rsid w:val="299469B3"/>
    <w:rsid w:val="2A805789"/>
    <w:rsid w:val="2ADC0D75"/>
    <w:rsid w:val="2B4A0E52"/>
    <w:rsid w:val="2BA015A7"/>
    <w:rsid w:val="2C975890"/>
    <w:rsid w:val="2DEF21BB"/>
    <w:rsid w:val="2E4A2F05"/>
    <w:rsid w:val="2ECC1061"/>
    <w:rsid w:val="2F2F495E"/>
    <w:rsid w:val="2FA476AD"/>
    <w:rsid w:val="303F7540"/>
    <w:rsid w:val="31DD00BF"/>
    <w:rsid w:val="3293174C"/>
    <w:rsid w:val="32B9008D"/>
    <w:rsid w:val="32BB38D4"/>
    <w:rsid w:val="32C9376D"/>
    <w:rsid w:val="33780472"/>
    <w:rsid w:val="33AF0905"/>
    <w:rsid w:val="34DB5522"/>
    <w:rsid w:val="355932F4"/>
    <w:rsid w:val="35611882"/>
    <w:rsid w:val="35A91862"/>
    <w:rsid w:val="36746FC3"/>
    <w:rsid w:val="368763AE"/>
    <w:rsid w:val="395D59E7"/>
    <w:rsid w:val="39A93932"/>
    <w:rsid w:val="3A915562"/>
    <w:rsid w:val="3B313993"/>
    <w:rsid w:val="3B8D4765"/>
    <w:rsid w:val="3C000DBA"/>
    <w:rsid w:val="3CF37C37"/>
    <w:rsid w:val="3DC045D3"/>
    <w:rsid w:val="3E036ED4"/>
    <w:rsid w:val="3E504FFB"/>
    <w:rsid w:val="3E615CD0"/>
    <w:rsid w:val="3E9C47F6"/>
    <w:rsid w:val="3F3764DD"/>
    <w:rsid w:val="3F6570FE"/>
    <w:rsid w:val="3F8B0112"/>
    <w:rsid w:val="3FAB3095"/>
    <w:rsid w:val="3FE45947"/>
    <w:rsid w:val="41242965"/>
    <w:rsid w:val="435671EA"/>
    <w:rsid w:val="440809E9"/>
    <w:rsid w:val="442407A6"/>
    <w:rsid w:val="44805EA1"/>
    <w:rsid w:val="45710696"/>
    <w:rsid w:val="46142B1B"/>
    <w:rsid w:val="47E60DD0"/>
    <w:rsid w:val="48735039"/>
    <w:rsid w:val="492C684B"/>
    <w:rsid w:val="49500594"/>
    <w:rsid w:val="49E7604E"/>
    <w:rsid w:val="4BF67CDD"/>
    <w:rsid w:val="4D173441"/>
    <w:rsid w:val="4D603DD6"/>
    <w:rsid w:val="4EBF010F"/>
    <w:rsid w:val="4F471EB0"/>
    <w:rsid w:val="4FDD44E4"/>
    <w:rsid w:val="51331326"/>
    <w:rsid w:val="51740A7F"/>
    <w:rsid w:val="51A5541E"/>
    <w:rsid w:val="51C96242"/>
    <w:rsid w:val="51F96C04"/>
    <w:rsid w:val="53841933"/>
    <w:rsid w:val="53906AE1"/>
    <w:rsid w:val="53F00C9E"/>
    <w:rsid w:val="54F46F60"/>
    <w:rsid w:val="55A37BEA"/>
    <w:rsid w:val="56362CD2"/>
    <w:rsid w:val="5664316A"/>
    <w:rsid w:val="577254D3"/>
    <w:rsid w:val="5784687B"/>
    <w:rsid w:val="57846959"/>
    <w:rsid w:val="578E6A87"/>
    <w:rsid w:val="5ABE35D2"/>
    <w:rsid w:val="5AC2203A"/>
    <w:rsid w:val="5CBB3334"/>
    <w:rsid w:val="5CFFC9B4"/>
    <w:rsid w:val="5D115FAF"/>
    <w:rsid w:val="5D582037"/>
    <w:rsid w:val="62811722"/>
    <w:rsid w:val="62E75A72"/>
    <w:rsid w:val="64571880"/>
    <w:rsid w:val="649125B6"/>
    <w:rsid w:val="652F4C1A"/>
    <w:rsid w:val="65B64F9C"/>
    <w:rsid w:val="666D37F1"/>
    <w:rsid w:val="67087D8F"/>
    <w:rsid w:val="671F687E"/>
    <w:rsid w:val="67A23CF0"/>
    <w:rsid w:val="67F415F8"/>
    <w:rsid w:val="682640D1"/>
    <w:rsid w:val="684B73E5"/>
    <w:rsid w:val="695D7952"/>
    <w:rsid w:val="695F0273"/>
    <w:rsid w:val="6A047A2A"/>
    <w:rsid w:val="6C801A18"/>
    <w:rsid w:val="6D2E1052"/>
    <w:rsid w:val="6EFB7548"/>
    <w:rsid w:val="6F3831C3"/>
    <w:rsid w:val="6F8B71C1"/>
    <w:rsid w:val="6F8B77F7"/>
    <w:rsid w:val="6F9A42CC"/>
    <w:rsid w:val="70753482"/>
    <w:rsid w:val="707B522A"/>
    <w:rsid w:val="73194D05"/>
    <w:rsid w:val="73A83B0E"/>
    <w:rsid w:val="744D3EF9"/>
    <w:rsid w:val="745713BC"/>
    <w:rsid w:val="74794411"/>
    <w:rsid w:val="75867C40"/>
    <w:rsid w:val="75B10B26"/>
    <w:rsid w:val="76432199"/>
    <w:rsid w:val="76F44829"/>
    <w:rsid w:val="76FD639A"/>
    <w:rsid w:val="77A267C0"/>
    <w:rsid w:val="78122D8D"/>
    <w:rsid w:val="78882278"/>
    <w:rsid w:val="78B118A6"/>
    <w:rsid w:val="78F99A19"/>
    <w:rsid w:val="79135044"/>
    <w:rsid w:val="79DF7F2E"/>
    <w:rsid w:val="7A7D0F99"/>
    <w:rsid w:val="7B6B6696"/>
    <w:rsid w:val="7BA372C6"/>
    <w:rsid w:val="7BFFBD5D"/>
    <w:rsid w:val="7D3DA2D4"/>
    <w:rsid w:val="7E4A0E7C"/>
    <w:rsid w:val="7EFD449D"/>
    <w:rsid w:val="7F9C3D26"/>
    <w:rsid w:val="83D0D73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unhideWhenUsed/>
    <w:qFormat/>
    <w:uiPriority w:val="99"/>
    <w:rPr>
      <w:color w:val="800080"/>
      <w:u w:val="single"/>
    </w:rPr>
  </w:style>
  <w:style w:type="character" w:styleId="9">
    <w:name w:val="Hyperlink"/>
    <w:unhideWhenUsed/>
    <w:qFormat/>
    <w:uiPriority w:val="99"/>
    <w:rPr>
      <w:color w:val="0000FF"/>
      <w:u w:val="single"/>
    </w:rPr>
  </w:style>
  <w:style w:type="character" w:customStyle="1" w:styleId="10">
    <w:name w:val="批注框文本 Char"/>
    <w:link w:val="2"/>
    <w:semiHidden/>
    <w:qFormat/>
    <w:uiPriority w:val="99"/>
    <w:rPr>
      <w:kern w:val="2"/>
      <w:sz w:val="18"/>
      <w:szCs w:val="18"/>
    </w:rPr>
  </w:style>
  <w:style w:type="character" w:customStyle="1" w:styleId="11">
    <w:name w:val="页脚 Char"/>
    <w:link w:val="3"/>
    <w:qFormat/>
    <w:uiPriority w:val="99"/>
    <w:rPr>
      <w:kern w:val="2"/>
      <w:sz w:val="18"/>
      <w:szCs w:val="18"/>
    </w:rPr>
  </w:style>
  <w:style w:type="character" w:customStyle="1" w:styleId="12">
    <w:name w:val="页眉 Char"/>
    <w:link w:val="4"/>
    <w:qFormat/>
    <w:uiPriority w:val="99"/>
    <w:rPr>
      <w:kern w:val="2"/>
      <w:sz w:val="18"/>
      <w:szCs w:val="18"/>
    </w:rPr>
  </w:style>
  <w:style w:type="character" w:customStyle="1" w:styleId="13">
    <w:name w:val="font01"/>
    <w:qFormat/>
    <w:uiPriority w:val="0"/>
    <w:rPr>
      <w:rFonts w:hint="eastAsia" w:ascii="宋体" w:hAnsi="宋体" w:eastAsia="宋体" w:cs="宋体"/>
      <w:color w:val="000000"/>
      <w:sz w:val="22"/>
      <w:szCs w:val="22"/>
      <w:u w:val="none"/>
    </w:rPr>
  </w:style>
  <w:style w:type="character" w:customStyle="1" w:styleId="14">
    <w:name w:val="font21"/>
    <w:qFormat/>
    <w:uiPriority w:val="0"/>
    <w:rPr>
      <w:rFonts w:hint="eastAsia" w:ascii="宋体" w:hAnsi="宋体" w:eastAsia="宋体" w:cs="宋体"/>
      <w:color w:val="000000"/>
      <w:sz w:val="22"/>
      <w:szCs w:val="22"/>
      <w:u w:val="none"/>
    </w:rPr>
  </w:style>
  <w:style w:type="character" w:customStyle="1" w:styleId="15">
    <w:name w:val="font51"/>
    <w:qFormat/>
    <w:uiPriority w:val="0"/>
    <w:rPr>
      <w:rFonts w:hint="eastAsia" w:ascii="宋体" w:hAnsi="宋体" w:eastAsia="宋体" w:cs="宋体"/>
      <w:color w:val="000000"/>
      <w:sz w:val="24"/>
      <w:szCs w:val="24"/>
      <w:u w:val="none"/>
    </w:rPr>
  </w:style>
  <w:style w:type="character" w:customStyle="1" w:styleId="16">
    <w:name w:val="font11"/>
    <w:qFormat/>
    <w:uiPriority w:val="0"/>
    <w:rPr>
      <w:rFonts w:hint="eastAsia" w:ascii="宋体" w:hAnsi="宋体" w:eastAsia="宋体" w:cs="宋体"/>
      <w:color w:val="000000"/>
      <w:sz w:val="20"/>
      <w:szCs w:val="20"/>
      <w:u w:val="none"/>
    </w:rPr>
  </w:style>
  <w:style w:type="character" w:customStyle="1" w:styleId="17">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32</Pages>
  <Words>8182</Words>
  <Characters>10311</Characters>
  <Lines>60</Lines>
  <Paragraphs>16</Paragraphs>
  <TotalTime>16</TotalTime>
  <ScaleCrop>false</ScaleCrop>
  <LinksUpToDate>false</LinksUpToDate>
  <CharactersWithSpaces>10549</CharactersWithSpaces>
  <Application>WPS Office_11.8.2.11681_F1E327BC-269C-435d-A152-05C5408002CA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2007-11-29T19:41:00Z</dcterms:created>
  <dc:creator>管理者</dc:creator>
  <cp:lastModifiedBy>huanghe</cp:lastModifiedBy>
  <cp:lastPrinted>2022-09-16T00:53:00Z</cp:lastPrinted>
  <dcterms:modified xsi:type="dcterms:W3CDTF">2023-05-09T11:28:31Z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2052-11.8.2.11681</vt:lpwstr>
  </property>
  <property fmtid="{D5CDD505-2E9C-101B-9397-08002B2CF9AE}" pid="3" name="ICV">
    <vt:lpwstr>1AC362E5F8E047DB8A06354FB33619B6</vt:lpwstr>
  </property>
</Properties>
</file>