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bookmarkStart w:id="0" w:name="_GoBack"/>
    </w:p>
    <w:p>
      <w:pPr>
        <w:widowControl/>
        <w:tabs>
          <w:tab w:val="left" w:pos="7815"/>
        </w:tabs>
        <w:jc w:val="left"/>
        <w:rPr>
          <w:rFonts w:ascii="黑体" w:hAnsi="宋体" w:eastAsia="黑体" w:cs="宋体"/>
          <w:color w:val="auto"/>
          <w:kern w:val="0"/>
          <w:sz w:val="28"/>
          <w:szCs w:val="28"/>
          <w:highlight w:val="none"/>
        </w:rPr>
      </w:pPr>
      <w:r>
        <w:rPr>
          <w:rFonts w:hint="eastAsia" w:ascii="黑体" w:hAnsi="宋体" w:eastAsia="黑体" w:cs="宋体"/>
          <w:color w:val="auto"/>
          <w:kern w:val="0"/>
          <w:sz w:val="28"/>
          <w:szCs w:val="28"/>
          <w:highlight w:val="none"/>
        </w:rPr>
        <w:tab/>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许昌实验小学单位决算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许昌实验小学概况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单位职责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2021年度单位决算表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年度单位决算情况说明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许昌实验小学概况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一、单位</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 全面贯彻执行党和国家的教育方针、政策和法规，实施小学义务教育，促进基础教育发展。</w:t>
      </w:r>
    </w:p>
    <w:p>
      <w:pPr>
        <w:widowControl/>
        <w:ind w:firstLine="640" w:firstLineChars="200"/>
        <w:jc w:val="left"/>
        <w:outlineLvl w:val="1"/>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 负责依法制定学校章程，并按照章程自主管理。</w:t>
      </w:r>
    </w:p>
    <w:p>
      <w:pPr>
        <w:widowControl/>
        <w:ind w:firstLine="640" w:firstLineChars="200"/>
        <w:jc w:val="left"/>
        <w:outlineLvl w:val="1"/>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（三） 负责制定学校教育发展规划，并抓好组织实施和落实工作。</w:t>
      </w:r>
    </w:p>
    <w:p>
      <w:pPr>
        <w:widowControl/>
        <w:ind w:firstLine="640" w:firstLineChars="200"/>
        <w:jc w:val="left"/>
        <w:outlineLvl w:val="1"/>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 负责按照教育主管部门发布的指导性教育计划、教学大纲，组织实施教育教学活动。</w:t>
      </w:r>
    </w:p>
    <w:p>
      <w:pPr>
        <w:widowControl/>
        <w:ind w:firstLine="640" w:firstLineChars="200"/>
        <w:jc w:val="left"/>
        <w:outlineLvl w:val="1"/>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（五） 负责依据国家教育主管部门有关教学计划、课程设置等方面的规定，决定和实施本校的教学计划，组织教学评比、集体备课，对学生进行统一考核、考试等。</w:t>
      </w:r>
    </w:p>
    <w:p>
      <w:pPr>
        <w:widowControl/>
        <w:ind w:firstLine="640" w:firstLineChars="200"/>
        <w:jc w:val="left"/>
        <w:outlineLvl w:val="1"/>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（六） 负责科学管理、合理使用学校的设施和经费，并积极筹措资金，改善办学条件。</w:t>
      </w:r>
    </w:p>
    <w:p>
      <w:pPr>
        <w:widowControl/>
        <w:ind w:firstLine="640" w:firstLineChars="200"/>
        <w:jc w:val="left"/>
        <w:outlineLvl w:val="1"/>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（七） 负责维护学校、师生的合法权益，有权拒绝任何组织和个人对教育教学活动进行非法干涉。</w:t>
      </w:r>
    </w:p>
    <w:p>
      <w:pPr>
        <w:widowControl/>
        <w:ind w:firstLine="640" w:firstLineChars="200"/>
        <w:jc w:val="left"/>
        <w:outlineLvl w:val="1"/>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（八） 依法接受各级教育行政部门的检查指导和人民群众的监督。</w:t>
      </w: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许昌实验小学内设机构4个，包括：教务处、总务处、办公室、保卫科。</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从决算单位构成看，许昌实验小学单位决算包括：本级决算。纳入本单位2021年度决算编制范围的单位共1个，具体是：</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许昌实验小学</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2021年度单位决算表</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ind w:firstLine="600" w:firstLineChars="200"/>
        <w:jc w:val="center"/>
        <w:rPr>
          <w:rFonts w:ascii="宋体" w:hAnsi="宋体" w:cs="黑体"/>
          <w:color w:val="auto"/>
          <w:sz w:val="30"/>
          <w:szCs w:val="30"/>
          <w:highlight w:val="none"/>
        </w:rPr>
      </w:pPr>
      <w:r>
        <w:rPr>
          <w:rFonts w:hint="eastAsia" w:ascii="宋体" w:hAnsi="宋体" w:cs="黑体"/>
          <w:color w:val="auto"/>
          <w:sz w:val="30"/>
          <w:szCs w:val="30"/>
          <w:highlight w:val="none"/>
        </w:rPr>
        <w:t>收入支出决算总表</w:t>
      </w:r>
    </w:p>
    <w:p>
      <w:pPr>
        <w:rPr>
          <w:rFonts w:ascii="仿宋_GB2312" w:hAnsi="仿宋_GB2312" w:eastAsia="仿宋_GB2312" w:cs="仿宋_GB2312"/>
          <w:color w:val="auto"/>
          <w:sz w:val="32"/>
          <w:szCs w:val="32"/>
          <w:highlight w:val="none"/>
        </w:rPr>
      </w:pPr>
    </w:p>
    <w:tbl>
      <w:tblPr>
        <w:tblStyle w:val="5"/>
        <w:tblW w:w="13770" w:type="dxa"/>
        <w:tblInd w:w="93" w:type="dxa"/>
        <w:tblLayout w:type="autofit"/>
        <w:tblCellMar>
          <w:top w:w="0" w:type="dxa"/>
          <w:left w:w="108" w:type="dxa"/>
          <w:bottom w:w="0" w:type="dxa"/>
          <w:right w:w="108" w:type="dxa"/>
        </w:tblCellMar>
      </w:tblPr>
      <w:tblGrid>
        <w:gridCol w:w="4215"/>
        <w:gridCol w:w="656"/>
        <w:gridCol w:w="1950"/>
        <w:gridCol w:w="4215"/>
        <w:gridCol w:w="1056"/>
        <w:gridCol w:w="1764"/>
      </w:tblGrid>
      <w:tr>
        <w:tblPrEx>
          <w:tblCellMar>
            <w:top w:w="0" w:type="dxa"/>
            <w:left w:w="108" w:type="dxa"/>
            <w:bottom w:w="0" w:type="dxa"/>
            <w:right w:w="108" w:type="dxa"/>
          </w:tblCellMar>
        </w:tblPrEx>
        <w:trPr>
          <w:trHeight w:val="260" w:hRule="atLeast"/>
        </w:trPr>
        <w:tc>
          <w:tcPr>
            <w:tcW w:w="4215" w:type="dxa"/>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570" w:type="dxa"/>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1950" w:type="dxa"/>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4215" w:type="dxa"/>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2820" w:type="dxa"/>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公开01表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单位：许昌实验小学</w:t>
            </w:r>
          </w:p>
        </w:tc>
        <w:tc>
          <w:tcPr>
            <w:tcW w:w="0" w:type="auto"/>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收入</w:t>
            </w:r>
          </w:p>
        </w:tc>
        <w:tc>
          <w:tcPr>
            <w:tcW w:w="0" w:type="auto"/>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金额</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4,173.98</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二、政府性基金预算财政拨款收入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三、国有资本经营预算财政拨款收入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四、上级补助收入</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五、事业收入</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4,569.92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六、经营收入</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七、附属单位上缴收入</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八、其他收入</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591.46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b/>
                <w:bCs/>
                <w:color w:val="auto"/>
                <w:sz w:val="20"/>
                <w:szCs w:val="20"/>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0"/>
                <w:szCs w:val="20"/>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0"/>
                <w:szCs w:val="20"/>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0"/>
                <w:szCs w:val="20"/>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0"/>
                <w:szCs w:val="20"/>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0"/>
                <w:szCs w:val="20"/>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4,173.98</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5,289.03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使用非财政拨款结余</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结余分配</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年初结转和结余</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1,125.11</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年末结转和结余</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10.05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0" w:type="auto"/>
            <w:tcBorders>
              <w:top w:val="nil"/>
              <w:left w:val="nil"/>
              <w:bottom w:val="single" w:color="000000" w:sz="8"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5,299.08</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5,299.08</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注：本表反映部门本年度的总收支和年末结转结余情况。本表金额转换为万元时，因四舍五入可能存在尾差。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90" w:type="dxa"/>
        <w:tblInd w:w="93" w:type="dxa"/>
        <w:tblLayout w:type="autofit"/>
        <w:tblCellMar>
          <w:top w:w="0" w:type="dxa"/>
          <w:left w:w="108" w:type="dxa"/>
          <w:bottom w:w="0" w:type="dxa"/>
          <w:right w:w="108" w:type="dxa"/>
        </w:tblCellMar>
      </w:tblPr>
      <w:tblGrid>
        <w:gridCol w:w="990"/>
        <w:gridCol w:w="3956"/>
        <w:gridCol w:w="1410"/>
        <w:gridCol w:w="1425"/>
        <w:gridCol w:w="1110"/>
        <w:gridCol w:w="1164"/>
        <w:gridCol w:w="1191"/>
        <w:gridCol w:w="1205"/>
        <w:gridCol w:w="1440"/>
      </w:tblGrid>
      <w:tr>
        <w:tblPrEx>
          <w:tblCellMar>
            <w:top w:w="0" w:type="dxa"/>
            <w:left w:w="108" w:type="dxa"/>
            <w:bottom w:w="0" w:type="dxa"/>
            <w:right w:w="108" w:type="dxa"/>
          </w:tblCellMar>
        </w:tblPrEx>
        <w:trPr>
          <w:trHeight w:val="390" w:hRule="atLeast"/>
        </w:trPr>
        <w:tc>
          <w:tcPr>
            <w:tcW w:w="13890" w:type="dxa"/>
            <w:gridSpan w:val="9"/>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收入决算表</w:t>
            </w:r>
          </w:p>
        </w:tc>
      </w:tr>
      <w:tr>
        <w:tblPrEx>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公开02表</w:t>
            </w:r>
          </w:p>
        </w:tc>
      </w:tr>
      <w:tr>
        <w:tblPrEx>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单位：许昌实验小学</w:t>
            </w:r>
          </w:p>
        </w:tc>
        <w:tc>
          <w:tcPr>
            <w:tcW w:w="0" w:type="auto"/>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0" w:type="auto"/>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141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本年收入合计</w:t>
            </w:r>
          </w:p>
        </w:tc>
        <w:tc>
          <w:tcPr>
            <w:tcW w:w="142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财政拨款收入</w:t>
            </w:r>
          </w:p>
        </w:tc>
        <w:tc>
          <w:tcPr>
            <w:tcW w:w="111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上级补助收入</w:t>
            </w:r>
          </w:p>
        </w:tc>
        <w:tc>
          <w:tcPr>
            <w:tcW w:w="118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事业收入</w:t>
            </w:r>
          </w:p>
        </w:tc>
        <w:tc>
          <w:tcPr>
            <w:tcW w:w="124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经营收入</w:t>
            </w:r>
          </w:p>
        </w:tc>
        <w:tc>
          <w:tcPr>
            <w:tcW w:w="127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其他收入</w:t>
            </w:r>
          </w:p>
        </w:tc>
      </w:tr>
      <w:tr>
        <w:tblPrEx>
          <w:tblCellMar>
            <w:top w:w="0" w:type="dxa"/>
            <w:left w:w="108" w:type="dxa"/>
            <w:bottom w:w="0" w:type="dxa"/>
            <w:right w:w="108"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14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8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14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8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14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8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14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42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18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24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127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7</w:t>
            </w: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4,173.98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4,173.98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群众团体事务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2012906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工会事务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3,485.20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3,485.20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普通教育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3,452.56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3,452.56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2050202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小学教育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3,149.84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3,149.84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2050299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其他普通教育支出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302.71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302.71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20599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其他教育支出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2059999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568.58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568.58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行政事业单位养老支出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550.16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550.16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事业单位离退休</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307.47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307.47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242.69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242.69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抚恤</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2080801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死亡抚恤</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卫生健康支出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101.65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101.65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行政事业单位医疗</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101.65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101.65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101.65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101.65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注：本表反映部门本年度取得的各项收入情况。本表金额转换为万元时，因四舍五入可能存在尾差。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05" w:type="dxa"/>
        <w:tblInd w:w="93" w:type="dxa"/>
        <w:tblLayout w:type="autofit"/>
        <w:tblCellMar>
          <w:top w:w="0" w:type="dxa"/>
          <w:left w:w="108" w:type="dxa"/>
          <w:bottom w:w="0" w:type="dxa"/>
          <w:right w:w="108" w:type="dxa"/>
        </w:tblCellMar>
      </w:tblPr>
      <w:tblGrid>
        <w:gridCol w:w="990"/>
        <w:gridCol w:w="3956"/>
        <w:gridCol w:w="1260"/>
        <w:gridCol w:w="1545"/>
        <w:gridCol w:w="1545"/>
        <w:gridCol w:w="1290"/>
        <w:gridCol w:w="1320"/>
        <w:gridCol w:w="1399"/>
      </w:tblGrid>
      <w:tr>
        <w:tblPrEx>
          <w:tblCellMar>
            <w:top w:w="0" w:type="dxa"/>
            <w:left w:w="108" w:type="dxa"/>
            <w:bottom w:w="0" w:type="dxa"/>
            <w:right w:w="108" w:type="dxa"/>
          </w:tblCellMar>
        </w:tblPrEx>
        <w:trPr>
          <w:trHeight w:val="390" w:hRule="atLeast"/>
        </w:trPr>
        <w:tc>
          <w:tcPr>
            <w:tcW w:w="13305" w:type="dxa"/>
            <w:gridSpan w:val="8"/>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支出决算表</w:t>
            </w:r>
          </w:p>
        </w:tc>
      </w:tr>
      <w:tr>
        <w:tblPrEx>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公开03表</w:t>
            </w:r>
          </w:p>
        </w:tc>
      </w:tr>
      <w:tr>
        <w:tblPrEx>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单位：许昌实验小学</w:t>
            </w:r>
          </w:p>
        </w:tc>
        <w:tc>
          <w:tcPr>
            <w:tcW w:w="0" w:type="auto"/>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126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本年支出合计</w:t>
            </w:r>
          </w:p>
        </w:tc>
        <w:tc>
          <w:tcPr>
            <w:tcW w:w="154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基本支出</w:t>
            </w:r>
          </w:p>
        </w:tc>
        <w:tc>
          <w:tcPr>
            <w:tcW w:w="154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项目支出</w:t>
            </w:r>
          </w:p>
        </w:tc>
        <w:tc>
          <w:tcPr>
            <w:tcW w:w="129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上缴上级支出</w:t>
            </w:r>
          </w:p>
        </w:tc>
        <w:tc>
          <w:tcPr>
            <w:tcW w:w="132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经营支出</w:t>
            </w:r>
          </w:p>
        </w:tc>
        <w:tc>
          <w:tcPr>
            <w:tcW w:w="142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对附属单位补助支出</w:t>
            </w:r>
          </w:p>
        </w:tc>
      </w:tr>
      <w:tr>
        <w:tblPrEx>
          <w:tblCellMar>
            <w:top w:w="0" w:type="dxa"/>
            <w:left w:w="108" w:type="dxa"/>
            <w:bottom w:w="0" w:type="dxa"/>
            <w:right w:w="108"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5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5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3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5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5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3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5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54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9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3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126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54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54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29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32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142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5,289.03</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4,108.37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1,180.66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群众团体事务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2012906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工会事务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4,569.92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3,389.26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1,180.66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普通教育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4,534.88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3,389.26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1,145.62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2050202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小学教育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3,548.96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3,389.26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159.70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2050299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其他普通教育支出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985.92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985.92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特殊教育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2050701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特殊学校教育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20599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其他教育支出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2059999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591.46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591.46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行政事业单位养老支出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573.04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573.04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事业单位离退休</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328.97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328.97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244.08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244.08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抚恤</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2080801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死亡抚恤</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卫生健康支出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行政事业单位医疗</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注：本表反映部门本年度各项支出情况。本表金额转换为万元时，因四舍五入可能存在尾差。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35" w:type="dxa"/>
        <w:tblInd w:w="93" w:type="dxa"/>
        <w:tblLayout w:type="autofit"/>
        <w:tblCellMar>
          <w:top w:w="0" w:type="dxa"/>
          <w:left w:w="108" w:type="dxa"/>
          <w:bottom w:w="0" w:type="dxa"/>
          <w:right w:w="108" w:type="dxa"/>
        </w:tblCellMar>
      </w:tblPr>
      <w:tblGrid>
        <w:gridCol w:w="3480"/>
        <w:gridCol w:w="552"/>
        <w:gridCol w:w="1226"/>
        <w:gridCol w:w="3935"/>
        <w:gridCol w:w="552"/>
        <w:gridCol w:w="1202"/>
        <w:gridCol w:w="1259"/>
        <w:gridCol w:w="782"/>
        <w:gridCol w:w="947"/>
      </w:tblGrid>
      <w:tr>
        <w:tblPrEx>
          <w:tblCellMar>
            <w:top w:w="0" w:type="dxa"/>
            <w:left w:w="108" w:type="dxa"/>
            <w:bottom w:w="0" w:type="dxa"/>
            <w:right w:w="108" w:type="dxa"/>
          </w:tblCellMar>
        </w:tblPrEx>
        <w:trPr>
          <w:trHeight w:val="390" w:hRule="atLeast"/>
        </w:trPr>
        <w:tc>
          <w:tcPr>
            <w:tcW w:w="13935" w:type="dxa"/>
            <w:gridSpan w:val="9"/>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财政拨款收入支出决算总表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0" w:type="auto"/>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0" w:type="auto"/>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0" w:type="auto"/>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0" w:type="auto"/>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0" w:type="auto"/>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0" w:type="auto"/>
            <w:tcBorders>
              <w:top w:val="nil"/>
              <w:left w:val="nil"/>
              <w:bottom w:val="nil"/>
              <w:right w:val="nil"/>
            </w:tcBorders>
            <w:shd w:val="clear" w:color="auto" w:fill="FFFFFF"/>
            <w:noWrap/>
            <w:vAlign w:val="bottom"/>
          </w:tcPr>
          <w:p>
            <w:pPr>
              <w:rPr>
                <w:rFonts w:ascii="Arial" w:hAnsi="Arial" w:cs="Arial"/>
                <w:color w:val="auto"/>
                <w:sz w:val="20"/>
                <w:szCs w:val="20"/>
                <w:highlight w:val="none"/>
              </w:rPr>
            </w:pPr>
          </w:p>
        </w:tc>
        <w:tc>
          <w:tcPr>
            <w:tcW w:w="0" w:type="auto"/>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公开04表</w:t>
            </w:r>
          </w:p>
        </w:tc>
      </w:tr>
      <w:tr>
        <w:tblPrEx>
          <w:tblCellMar>
            <w:top w:w="0" w:type="dxa"/>
            <w:left w:w="108" w:type="dxa"/>
            <w:bottom w:w="0" w:type="dxa"/>
            <w:right w:w="108" w:type="dxa"/>
          </w:tblCellMar>
        </w:tblPrEx>
        <w:trPr>
          <w:trHeight w:val="90" w:hRule="atLeast"/>
        </w:trPr>
        <w:tc>
          <w:tcPr>
            <w:tcW w:w="0" w:type="auto"/>
            <w:gridSpan w:val="7"/>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单位：许昌实验小学</w:t>
            </w:r>
          </w:p>
        </w:tc>
        <w:tc>
          <w:tcPr>
            <w:tcW w:w="0" w:type="auto"/>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收     入</w:t>
            </w:r>
          </w:p>
        </w:tc>
        <w:tc>
          <w:tcPr>
            <w:tcW w:w="0" w:type="auto"/>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支     出</w:t>
            </w:r>
          </w:p>
        </w:tc>
      </w:tr>
      <w:tr>
        <w:tblPrEx>
          <w:tblCellMar>
            <w:top w:w="0" w:type="dxa"/>
            <w:left w:w="108" w:type="dxa"/>
            <w:bottom w:w="0" w:type="dxa"/>
            <w:right w:w="108" w:type="dxa"/>
          </w:tblCellMar>
        </w:tblPrEx>
        <w:trPr>
          <w:trHeight w:val="312" w:hRule="atLeast"/>
        </w:trPr>
        <w:tc>
          <w:tcPr>
            <w:tcW w:w="327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57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114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金额</w:t>
            </w:r>
          </w:p>
        </w:tc>
        <w:tc>
          <w:tcPr>
            <w:tcW w:w="366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57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120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一般公共预算财政拨款</w:t>
            </w:r>
          </w:p>
        </w:tc>
        <w:tc>
          <w:tcPr>
            <w:tcW w:w="99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政府性基金预算财政拨款</w:t>
            </w:r>
          </w:p>
        </w:tc>
        <w:tc>
          <w:tcPr>
            <w:tcW w:w="129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国有资本经营预算财政拨款</w:t>
            </w:r>
          </w:p>
        </w:tc>
      </w:tr>
      <w:tr>
        <w:tblPrEx>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57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4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366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57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120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99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9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4,173.98</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33</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三、国有资本经营财政拨款</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4,569.92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4,569.92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591.46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591.46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b/>
                <w:bCs/>
                <w:color w:val="auto"/>
                <w:sz w:val="20"/>
                <w:szCs w:val="20"/>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0"/>
                <w:szCs w:val="20"/>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0"/>
                <w:szCs w:val="20"/>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4,173.98</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5,289.03</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5,289.03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年初财政拨款结转和结余</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1,125.11</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年末财政拨款结转和结余</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10.05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1,125.11</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国有资本经营预算财政拨款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0" w:type="auto"/>
            <w:tcBorders>
              <w:top w:val="nil"/>
              <w:left w:val="nil"/>
              <w:bottom w:val="single" w:color="000000" w:sz="8"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5,299.08</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5,299.08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5,299.08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585" w:hRule="atLeast"/>
        </w:trPr>
        <w:tc>
          <w:tcPr>
            <w:tcW w:w="13935" w:type="dxa"/>
            <w:gridSpan w:val="9"/>
            <w:tcBorders>
              <w:top w:val="nil"/>
              <w:left w:val="nil"/>
              <w:bottom w:val="nil"/>
              <w:right w:val="nil"/>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tblInd w:w="93" w:type="dxa"/>
        <w:tblLayout w:type="autofit"/>
        <w:tblCellMar>
          <w:top w:w="0" w:type="dxa"/>
          <w:left w:w="108" w:type="dxa"/>
          <w:bottom w:w="0" w:type="dxa"/>
          <w:right w:w="108" w:type="dxa"/>
        </w:tblCellMar>
      </w:tblPr>
      <w:tblGrid>
        <w:gridCol w:w="990"/>
        <w:gridCol w:w="3956"/>
        <w:gridCol w:w="2242"/>
        <w:gridCol w:w="2242"/>
        <w:gridCol w:w="2242"/>
      </w:tblGrid>
      <w:tr>
        <w:tblPrEx>
          <w:tblCellMar>
            <w:top w:w="0" w:type="dxa"/>
            <w:left w:w="108" w:type="dxa"/>
            <w:bottom w:w="0" w:type="dxa"/>
            <w:right w:w="108" w:type="dxa"/>
          </w:tblCellMar>
        </w:tblPrEx>
        <w:trPr>
          <w:trHeight w:val="390" w:hRule="atLeast"/>
        </w:trPr>
        <w:tc>
          <w:tcPr>
            <w:tcW w:w="11670" w:type="dxa"/>
            <w:gridSpan w:val="5"/>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公开05表</w:t>
            </w:r>
          </w:p>
        </w:tc>
      </w:tr>
      <w:tr>
        <w:tblPrEx>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单位：许昌实验小学</w:t>
            </w:r>
          </w:p>
        </w:tc>
        <w:tc>
          <w:tcPr>
            <w:tcW w:w="0" w:type="auto"/>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6750"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本年支出</w:t>
            </w:r>
          </w:p>
        </w:tc>
      </w:tr>
      <w:tr>
        <w:tblPrEx>
          <w:tblCellMar>
            <w:top w:w="0" w:type="dxa"/>
            <w:left w:w="108" w:type="dxa"/>
            <w:bottom w:w="0" w:type="dxa"/>
            <w:right w:w="108"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225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小计</w:t>
            </w:r>
          </w:p>
        </w:tc>
        <w:tc>
          <w:tcPr>
            <w:tcW w:w="225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基本支出</w:t>
            </w:r>
          </w:p>
        </w:tc>
        <w:tc>
          <w:tcPr>
            <w:tcW w:w="225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项目支出</w:t>
            </w:r>
          </w:p>
        </w:tc>
      </w:tr>
      <w:tr>
        <w:tblPrEx>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225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225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225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225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225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225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5,289.03</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4,108.37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1,180.66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群众团体事务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2012906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工会事务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4,569.92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3,389.26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1,180.66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普通教育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4,534.88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3,389.26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1,145.62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2050202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小学教育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3,548.96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3,389.26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159.70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2050299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其他普通教育支出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985.92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985.92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特殊教育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2050701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特殊学校教育</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20599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其他教育支出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2059999</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其他教育支出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32.64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591.46</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591.46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行政事业单位养老支出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573.04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573.04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事业单位离退休</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328.97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328.97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2080505</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244.08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244.08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20808</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抚恤</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2080801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死亡抚恤</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卫生健康支出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行政事业单位医疗</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2101102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事业单位医疗</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109.10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注：本表反映部门本年度一般公共预算财政拨款支出情况。本套报表金额单位转换时可能存在尾数误差。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60" w:type="dxa"/>
        <w:tblInd w:w="93" w:type="dxa"/>
        <w:tblLayout w:type="fixed"/>
        <w:tblCellMar>
          <w:top w:w="0" w:type="dxa"/>
          <w:left w:w="108" w:type="dxa"/>
          <w:bottom w:w="0" w:type="dxa"/>
          <w:right w:w="108" w:type="dxa"/>
        </w:tblCellMar>
      </w:tblPr>
      <w:tblGrid>
        <w:gridCol w:w="708"/>
        <w:gridCol w:w="3168"/>
        <w:gridCol w:w="1185"/>
        <w:gridCol w:w="668"/>
        <w:gridCol w:w="2041"/>
        <w:gridCol w:w="1015"/>
        <w:gridCol w:w="694"/>
        <w:gridCol w:w="3795"/>
        <w:gridCol w:w="986"/>
      </w:tblGrid>
      <w:tr>
        <w:tblPrEx>
          <w:tblCellMar>
            <w:top w:w="0" w:type="dxa"/>
            <w:left w:w="108" w:type="dxa"/>
            <w:bottom w:w="0" w:type="dxa"/>
            <w:right w:w="108" w:type="dxa"/>
          </w:tblCellMar>
        </w:tblPrEx>
        <w:trPr>
          <w:trHeight w:val="390" w:hRule="atLeast"/>
        </w:trPr>
        <w:tc>
          <w:tcPr>
            <w:tcW w:w="14260" w:type="dxa"/>
            <w:gridSpan w:val="9"/>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一般公共预算财政拨款基本支出决算表</w:t>
            </w:r>
          </w:p>
        </w:tc>
      </w:tr>
      <w:tr>
        <w:tblPrEx>
          <w:tblCellMar>
            <w:top w:w="0" w:type="dxa"/>
            <w:left w:w="108" w:type="dxa"/>
            <w:bottom w:w="0" w:type="dxa"/>
            <w:right w:w="108" w:type="dxa"/>
          </w:tblCellMar>
        </w:tblPrEx>
        <w:trPr>
          <w:trHeight w:val="255" w:hRule="atLeast"/>
        </w:trPr>
        <w:tc>
          <w:tcPr>
            <w:tcW w:w="14260" w:type="dxa"/>
            <w:gridSpan w:val="9"/>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公开06表</w:t>
            </w:r>
          </w:p>
        </w:tc>
      </w:tr>
      <w:tr>
        <w:tblPrEx>
          <w:tblCellMar>
            <w:top w:w="0" w:type="dxa"/>
            <w:left w:w="108" w:type="dxa"/>
            <w:bottom w:w="0" w:type="dxa"/>
            <w:right w:w="108" w:type="dxa"/>
          </w:tblCellMar>
        </w:tblPrEx>
        <w:trPr>
          <w:trHeight w:val="255" w:hRule="atLeast"/>
        </w:trPr>
        <w:tc>
          <w:tcPr>
            <w:tcW w:w="8785" w:type="dxa"/>
            <w:gridSpan w:val="6"/>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单位：许昌实验小学</w:t>
            </w:r>
          </w:p>
        </w:tc>
        <w:tc>
          <w:tcPr>
            <w:tcW w:w="5475" w:type="dxa"/>
            <w:gridSpan w:val="3"/>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308" w:hRule="atLeast"/>
        </w:trPr>
        <w:tc>
          <w:tcPr>
            <w:tcW w:w="5061"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人员经费</w:t>
            </w:r>
          </w:p>
        </w:tc>
        <w:tc>
          <w:tcPr>
            <w:tcW w:w="9199"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公用经费</w:t>
            </w:r>
          </w:p>
        </w:tc>
      </w:tr>
      <w:tr>
        <w:tblPrEx>
          <w:tblCellMar>
            <w:top w:w="0" w:type="dxa"/>
            <w:left w:w="108" w:type="dxa"/>
            <w:bottom w:w="0" w:type="dxa"/>
            <w:right w:w="108" w:type="dxa"/>
          </w:tblCellMar>
        </w:tblPrEx>
        <w:trPr>
          <w:trHeight w:val="312" w:hRule="atLeast"/>
        </w:trPr>
        <w:tc>
          <w:tcPr>
            <w:tcW w:w="708"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科目编码</w:t>
            </w:r>
          </w:p>
        </w:tc>
        <w:tc>
          <w:tcPr>
            <w:tcW w:w="316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118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决算数</w:t>
            </w:r>
          </w:p>
        </w:tc>
        <w:tc>
          <w:tcPr>
            <w:tcW w:w="66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科目编码</w:t>
            </w:r>
          </w:p>
        </w:tc>
        <w:tc>
          <w:tcPr>
            <w:tcW w:w="204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101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决算数</w:t>
            </w:r>
          </w:p>
        </w:tc>
        <w:tc>
          <w:tcPr>
            <w:tcW w:w="694"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科目编码</w:t>
            </w:r>
          </w:p>
        </w:tc>
        <w:tc>
          <w:tcPr>
            <w:tcW w:w="37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98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决算数</w:t>
            </w:r>
          </w:p>
        </w:tc>
      </w:tr>
      <w:tr>
        <w:tblPrEx>
          <w:tblCellMar>
            <w:top w:w="0" w:type="dxa"/>
            <w:left w:w="108" w:type="dxa"/>
            <w:bottom w:w="0" w:type="dxa"/>
            <w:right w:w="108" w:type="dxa"/>
          </w:tblCellMar>
        </w:tblPrEx>
        <w:trPr>
          <w:trHeight w:val="312" w:hRule="atLeast"/>
        </w:trPr>
        <w:tc>
          <w:tcPr>
            <w:tcW w:w="708"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3168"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8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668"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2041"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01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694"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379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986"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774"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工资福利支出</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3,586.26</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商品和服务支出</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145.76</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307</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债务利息及费用支出</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30101</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基本工资</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1,395.43</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30201</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办公费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36.79</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30701</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国内债务付息</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30102</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津贴补贴</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1,081.22</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30202</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印刷费</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30702</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国外债务付息</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30103</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奖金</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180.56</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30203</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咨询费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6.21</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资本性支出</w:t>
            </w:r>
          </w:p>
        </w:tc>
        <w:tc>
          <w:tcPr>
            <w:tcW w:w="98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9.49</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30106</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伙食补助费</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30204</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手续费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0.50</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31001</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房屋建筑物购建</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30107</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绩效工资</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226.17</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30205</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水费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2.78</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31002</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办公设备购置</w:t>
            </w:r>
          </w:p>
        </w:tc>
        <w:tc>
          <w:tcPr>
            <w:tcW w:w="98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9.41</w:t>
            </w:r>
          </w:p>
        </w:tc>
      </w:tr>
      <w:tr>
        <w:tblPrEx>
          <w:tblCellMar>
            <w:top w:w="0" w:type="dxa"/>
            <w:left w:w="108" w:type="dxa"/>
            <w:bottom w:w="0" w:type="dxa"/>
            <w:right w:w="108" w:type="dxa"/>
          </w:tblCellMar>
        </w:tblPrEx>
        <w:trPr>
          <w:trHeight w:val="755"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30108</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机关事业单位基本养老保险缴费</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244.08</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30206</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电费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17.37</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31003</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专用设备购置</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30109</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职业年金缴费</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30207</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邮电费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0.25</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31005</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基础设施建设</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30110</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职工基本医疗保险缴费</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113.65</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30208</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取暖费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2.00</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31006</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大型修缮</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30111</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公务员医疗补助缴费</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30209</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物业管理费</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31007</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信息网络及软件购置更新</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30112</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其他社会保障缴费</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17.36</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30211</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差旅费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0.74</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31008</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物资储备</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30113</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住房公积金</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201.40</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30212</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因公出国（境）费用</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31009</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土地补偿</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30114</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医疗费</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30213</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维修（护）费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11.71</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31010</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安置补助</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30199</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其他工资福利支出</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126.40</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30214</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租赁费</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31011</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地上附着物和青苗补偿</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对个人和家庭的补助</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366.86</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30215</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会议费</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31012</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拆迁补偿</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30301</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离休费</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60.30</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30216</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培训费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10.39</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31013</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公务用车购置</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30302</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退休费</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277.51</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30217</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公务接待费</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31019</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其他交通工具购置</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30303</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退职（役）费</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30218</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专用材料费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1.15</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31021</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文物和陈列品购置</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30304</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抚恤金</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18.41</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30224</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被装购置费</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31022</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无形资产购置</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30305</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生活补助</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10.63</w:t>
            </w: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30225</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专用燃料费</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31099</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其他资本性支出</w:t>
            </w:r>
          </w:p>
        </w:tc>
        <w:tc>
          <w:tcPr>
            <w:tcW w:w="98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0.08</w:t>
            </w: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30306</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救济费</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30226</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劳务费</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其他支出</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30307</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医疗费补助</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30227</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委托业务费</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39906</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赠与</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30308</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助学金</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30228</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工会经费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18.55</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39907</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国家赔偿费用支出</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30309</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奖励金</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30229</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福利费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33.27</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39908</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对民间非营利组织和群众性自治组织补贴</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30310</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个人农业生产补贴</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30231</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公务用车运行维护费</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0.95</w:t>
            </w:r>
          </w:p>
        </w:tc>
        <w:tc>
          <w:tcPr>
            <w:tcW w:w="694"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39999</w:t>
            </w:r>
          </w:p>
        </w:tc>
        <w:tc>
          <w:tcPr>
            <w:tcW w:w="37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其他支出</w:t>
            </w: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30311</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代缴社会保险费</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30239</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其他交通费用</w:t>
            </w:r>
          </w:p>
        </w:tc>
        <w:tc>
          <w:tcPr>
            <w:tcW w:w="101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94"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3795"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30399</w:t>
            </w:r>
          </w:p>
        </w:tc>
        <w:tc>
          <w:tcPr>
            <w:tcW w:w="31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其他对个人和家庭的补助</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30240</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税金及附加费用</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0.06</w:t>
            </w:r>
          </w:p>
        </w:tc>
        <w:tc>
          <w:tcPr>
            <w:tcW w:w="694"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3795"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708"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3168"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668"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30299</w:t>
            </w:r>
          </w:p>
        </w:tc>
        <w:tc>
          <w:tcPr>
            <w:tcW w:w="2041"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其他商品和服务支出</w:t>
            </w:r>
          </w:p>
        </w:tc>
        <w:tc>
          <w:tcPr>
            <w:tcW w:w="10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3.05</w:t>
            </w:r>
          </w:p>
        </w:tc>
        <w:tc>
          <w:tcPr>
            <w:tcW w:w="694"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3795" w:type="dxa"/>
            <w:tcBorders>
              <w:top w:val="nil"/>
              <w:left w:val="nil"/>
              <w:bottom w:val="single" w:color="000000" w:sz="4" w:space="0"/>
              <w:right w:val="single" w:color="000000" w:sz="4" w:space="0"/>
            </w:tcBorders>
            <w:shd w:val="clear" w:color="FFFFFF" w:fill="FFFFFF"/>
            <w:noWrap/>
            <w:vAlign w:val="center"/>
          </w:tcPr>
          <w:p>
            <w:pPr>
              <w:jc w:val="left"/>
              <w:rPr>
                <w:rFonts w:ascii="宋体" w:hAnsi="宋体" w:cs="宋体"/>
                <w:color w:val="auto"/>
                <w:sz w:val="22"/>
                <w:highlight w:val="none"/>
              </w:rPr>
            </w:pPr>
          </w:p>
        </w:tc>
        <w:tc>
          <w:tcPr>
            <w:tcW w:w="98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3876"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人员经费合计</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3,953.12</w:t>
            </w:r>
          </w:p>
        </w:tc>
        <w:tc>
          <w:tcPr>
            <w:tcW w:w="8213" w:type="dxa"/>
            <w:gridSpan w:val="5"/>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公用经费合计</w:t>
            </w:r>
          </w:p>
        </w:tc>
        <w:tc>
          <w:tcPr>
            <w:tcW w:w="98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155.25</w:t>
            </w:r>
          </w:p>
        </w:tc>
      </w:tr>
      <w:tr>
        <w:tblPrEx>
          <w:tblCellMar>
            <w:top w:w="0" w:type="dxa"/>
            <w:left w:w="108" w:type="dxa"/>
            <w:bottom w:w="0" w:type="dxa"/>
            <w:right w:w="108" w:type="dxa"/>
          </w:tblCellMar>
        </w:tblPrEx>
        <w:trPr>
          <w:trHeight w:val="308" w:hRule="atLeast"/>
        </w:trPr>
        <w:tc>
          <w:tcPr>
            <w:tcW w:w="14260" w:type="dxa"/>
            <w:gridSpan w:val="9"/>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注：本表反映部门本年度一般公共预算财政拨款基本支出明细情况。本表金额转换为万元时，因四舍五入可能存在尾差。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35" w:type="dxa"/>
        <w:tblInd w:w="93" w:type="dxa"/>
        <w:tblLayout w:type="autofit"/>
        <w:tblCellMar>
          <w:top w:w="0" w:type="dxa"/>
          <w:left w:w="108" w:type="dxa"/>
          <w:bottom w:w="0" w:type="dxa"/>
          <w:right w:w="108" w:type="dxa"/>
        </w:tblCellMar>
      </w:tblPr>
      <w:tblGrid>
        <w:gridCol w:w="1410"/>
        <w:gridCol w:w="1230"/>
        <w:gridCol w:w="1035"/>
        <w:gridCol w:w="1110"/>
        <w:gridCol w:w="1050"/>
        <w:gridCol w:w="1095"/>
        <w:gridCol w:w="1140"/>
        <w:gridCol w:w="1140"/>
        <w:gridCol w:w="1035"/>
        <w:gridCol w:w="1170"/>
        <w:gridCol w:w="1110"/>
        <w:gridCol w:w="1410"/>
      </w:tblGrid>
      <w:tr>
        <w:tblPrEx>
          <w:tblCellMar>
            <w:top w:w="0" w:type="dxa"/>
            <w:left w:w="108" w:type="dxa"/>
            <w:bottom w:w="0" w:type="dxa"/>
            <w:right w:w="108" w:type="dxa"/>
          </w:tblCellMar>
        </w:tblPrEx>
        <w:trPr>
          <w:trHeight w:val="540" w:hRule="atLeast"/>
        </w:trPr>
        <w:tc>
          <w:tcPr>
            <w:tcW w:w="13935" w:type="dxa"/>
            <w:gridSpan w:val="12"/>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44"/>
                <w:szCs w:val="44"/>
                <w:highlight w:val="none"/>
              </w:rPr>
            </w:pPr>
            <w:r>
              <w:rPr>
                <w:rFonts w:hint="eastAsia" w:ascii="宋体" w:hAnsi="宋体" w:cs="宋体"/>
                <w:color w:val="auto"/>
                <w:kern w:val="0"/>
                <w:sz w:val="30"/>
                <w:szCs w:val="30"/>
                <w:highlight w:val="none"/>
              </w:rPr>
              <w:t>一般公共预算财政拨款“三公”经费支出决算表</w:t>
            </w:r>
          </w:p>
        </w:tc>
      </w:tr>
      <w:tr>
        <w:tblPrEx>
          <w:tblCellMar>
            <w:top w:w="0" w:type="dxa"/>
            <w:left w:w="108" w:type="dxa"/>
            <w:bottom w:w="0" w:type="dxa"/>
            <w:right w:w="108" w:type="dxa"/>
          </w:tblCellMar>
        </w:tblPrEx>
        <w:trPr>
          <w:trHeight w:val="255" w:hRule="atLeast"/>
        </w:trPr>
        <w:tc>
          <w:tcPr>
            <w:tcW w:w="0" w:type="auto"/>
            <w:gridSpan w:val="1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公开07表</w:t>
            </w:r>
          </w:p>
        </w:tc>
      </w:tr>
      <w:tr>
        <w:tblPrEx>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单位：许昌实验小学</w:t>
            </w:r>
          </w:p>
        </w:tc>
        <w:tc>
          <w:tcPr>
            <w:tcW w:w="0" w:type="auto"/>
            <w:gridSpan w:val="3"/>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93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预算数</w:t>
            </w:r>
          </w:p>
        </w:tc>
        <w:tc>
          <w:tcPr>
            <w:tcW w:w="7005"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决算数</w:t>
            </w:r>
          </w:p>
        </w:tc>
      </w:tr>
      <w:tr>
        <w:tblPrEx>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123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因公出国（境）费</w:t>
            </w:r>
          </w:p>
        </w:tc>
        <w:tc>
          <w:tcPr>
            <w:tcW w:w="3195"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公务用车购置及运行费</w:t>
            </w:r>
          </w:p>
        </w:tc>
        <w:tc>
          <w:tcPr>
            <w:tcW w:w="10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公务接待费</w:t>
            </w:r>
          </w:p>
        </w:tc>
        <w:tc>
          <w:tcPr>
            <w:tcW w:w="114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114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因公出国（境）费</w:t>
            </w:r>
          </w:p>
        </w:tc>
        <w:tc>
          <w:tcPr>
            <w:tcW w:w="3315"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公务用车购置及运行费</w:t>
            </w:r>
          </w:p>
        </w:tc>
        <w:tc>
          <w:tcPr>
            <w:tcW w:w="141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公务接待费</w:t>
            </w:r>
          </w:p>
        </w:tc>
      </w:tr>
      <w:tr>
        <w:tblPrEx>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23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03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小计</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公务用车购置费</w:t>
            </w:r>
          </w:p>
        </w:tc>
        <w:tc>
          <w:tcPr>
            <w:tcW w:w="10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公务用车运行费</w:t>
            </w:r>
          </w:p>
        </w:tc>
        <w:tc>
          <w:tcPr>
            <w:tcW w:w="109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4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14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03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小计</w:t>
            </w:r>
          </w:p>
        </w:tc>
        <w:tc>
          <w:tcPr>
            <w:tcW w:w="11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公务用车购置费</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公务用车运行费</w:t>
            </w:r>
          </w:p>
        </w:tc>
        <w:tc>
          <w:tcPr>
            <w:tcW w:w="141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23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03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05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c>
          <w:tcPr>
            <w:tcW w:w="114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7</w:t>
            </w:r>
          </w:p>
        </w:tc>
        <w:tc>
          <w:tcPr>
            <w:tcW w:w="114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8</w:t>
            </w:r>
          </w:p>
        </w:tc>
        <w:tc>
          <w:tcPr>
            <w:tcW w:w="103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9</w:t>
            </w:r>
          </w:p>
        </w:tc>
        <w:tc>
          <w:tcPr>
            <w:tcW w:w="11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10</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11</w:t>
            </w:r>
          </w:p>
        </w:tc>
        <w:tc>
          <w:tcPr>
            <w:tcW w:w="14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10.32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1.00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9.32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0.95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0.95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0.95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615" w:hRule="atLeast"/>
        </w:trPr>
        <w:tc>
          <w:tcPr>
            <w:tcW w:w="13935" w:type="dxa"/>
            <w:gridSpan w:val="12"/>
            <w:tcBorders>
              <w:top w:val="nil"/>
              <w:left w:val="nil"/>
              <w:bottom w:val="nil"/>
              <w:right w:val="nil"/>
            </w:tcBorders>
            <w:shd w:val="clear" w:color="auto" w:fill="FFFFFF"/>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20" w:type="dxa"/>
        <w:tblInd w:w="93" w:type="dxa"/>
        <w:tblLayout w:type="autofit"/>
        <w:tblCellMar>
          <w:top w:w="0" w:type="dxa"/>
          <w:left w:w="108" w:type="dxa"/>
          <w:bottom w:w="0" w:type="dxa"/>
          <w:right w:w="108" w:type="dxa"/>
        </w:tblCellMar>
      </w:tblPr>
      <w:tblGrid>
        <w:gridCol w:w="1303"/>
        <w:gridCol w:w="2003"/>
        <w:gridCol w:w="1646"/>
        <w:gridCol w:w="1714"/>
        <w:gridCol w:w="1933"/>
        <w:gridCol w:w="1714"/>
        <w:gridCol w:w="1674"/>
        <w:gridCol w:w="1933"/>
      </w:tblGrid>
      <w:tr>
        <w:tblPrEx>
          <w:tblCellMar>
            <w:top w:w="0" w:type="dxa"/>
            <w:left w:w="108" w:type="dxa"/>
            <w:bottom w:w="0" w:type="dxa"/>
            <w:right w:w="108" w:type="dxa"/>
          </w:tblCellMar>
        </w:tblPrEx>
        <w:trPr>
          <w:trHeight w:val="390" w:hRule="atLeast"/>
        </w:trPr>
        <w:tc>
          <w:tcPr>
            <w:tcW w:w="13920" w:type="dxa"/>
            <w:gridSpan w:val="8"/>
            <w:tcBorders>
              <w:top w:val="nil"/>
              <w:left w:val="nil"/>
              <w:bottom w:val="nil"/>
              <w:right w:val="nil"/>
            </w:tcBorders>
            <w:shd w:val="clear" w:color="auto" w:fill="FFFFFF"/>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公开08表</w:t>
            </w:r>
          </w:p>
        </w:tc>
      </w:tr>
      <w:tr>
        <w:tblPrEx>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shd w:val="clear" w:color="auto" w:fill="FFFFFF"/>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单位：许昌实验小学</w:t>
            </w:r>
          </w:p>
        </w:tc>
        <w:tc>
          <w:tcPr>
            <w:tcW w:w="0" w:type="auto"/>
            <w:gridSpan w:val="2"/>
            <w:tcBorders>
              <w:top w:val="nil"/>
              <w:left w:val="nil"/>
              <w:bottom w:val="nil"/>
              <w:right w:val="nil"/>
            </w:tcBorders>
            <w:shd w:val="clear" w:color="auto" w:fill="FFFFFF"/>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136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年初结转和结余</w:t>
            </w:r>
          </w:p>
        </w:tc>
        <w:tc>
          <w:tcPr>
            <w:tcW w:w="144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本年收入</w:t>
            </w:r>
          </w:p>
        </w:tc>
        <w:tc>
          <w:tcPr>
            <w:tcW w:w="4515"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年末结转和结余</w:t>
            </w:r>
          </w:p>
        </w:tc>
      </w:tr>
      <w:tr>
        <w:tblPrEx>
          <w:tblCellMar>
            <w:top w:w="0" w:type="dxa"/>
            <w:left w:w="108" w:type="dxa"/>
            <w:bottom w:w="0" w:type="dxa"/>
            <w:right w:w="108"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13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4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68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小计</w:t>
            </w:r>
          </w:p>
        </w:tc>
        <w:tc>
          <w:tcPr>
            <w:tcW w:w="144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基本支出</w:t>
            </w:r>
          </w:p>
        </w:tc>
        <w:tc>
          <w:tcPr>
            <w:tcW w:w="13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13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4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4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39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ascii="宋体" w:hAnsi="宋体" w:cs="宋体"/>
                <w:color w:val="auto"/>
                <w:sz w:val="22"/>
                <w:highlight w:val="none"/>
              </w:rPr>
            </w:pPr>
          </w:p>
        </w:tc>
        <w:tc>
          <w:tcPr>
            <w:tcW w:w="136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4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440"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395" w:type="dxa"/>
            <w:vMerge w:val="continue"/>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b/>
                <w:bCs/>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FFFFFF"/>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注：本表反映部门本年度政府性基金预算财政拨款收入、支出及结转和结余情况。本表金额转换为万元时，因四舍五入可能存在尾差。</w:t>
            </w:r>
          </w:p>
        </w:tc>
      </w:tr>
    </w:tbl>
    <w:p>
      <w:pPr>
        <w:widowControl/>
        <w:ind w:firstLine="240" w:firstLineChars="100"/>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说明：我单位没有政府性基金收入，也没有使用政府性基金安排的支出，故本表无数据。</w:t>
      </w:r>
    </w:p>
    <w:p>
      <w:pPr>
        <w:widowControl/>
        <w:spacing w:line="590" w:lineRule="exact"/>
        <w:jc w:val="left"/>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2021年度单位决算情况说明</w:t>
      </w:r>
    </w:p>
    <w:p>
      <w:pPr>
        <w:widowControl/>
        <w:jc w:val="left"/>
        <w:rPr>
          <w:rFonts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2021年度收、支总计均为5299.08万元。与上年度相比，收、支总计各减少105.39万元，下降1.95%。主要原因是延时服务未拨付。</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收入合计4173.98万元，其中：财政拨款收入4173.98万元，占100.00%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2021年度支出合计5289.03万元，其中：基本支出4108.37万元，占77.68%；项目支出1180.66万元，占22.32%；上缴上级支出0.00万元，占0.00%；经营支出0.00万元，占0.00%；对附属单位补助支出0.00万元，占0.00%。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2021年度财政拨款收、支总计均为5299.08万元。与上年度相比，财政拨款收、支总计各减少105.39万元，下降1.95%。主要原因是延时服务未拨付。</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 xml:space="preserve">   2021年度一般公共预算财政拨款支出5289.03万元，占支出合计的100.00%。与上年度相比，一般公共预算财政拨款支出增加990.77万元，增长23.05%。主要原因是教育教学投入的增加。</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tabs>
          <w:tab w:val="left" w:pos="679"/>
        </w:tabs>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2021年度一般公共预算财政拨款支出5289.03万元，主要用于以下方面：一般公共服务（类）支出18.55万元，占0.35%；</w:t>
      </w:r>
      <w:r>
        <w:rPr>
          <w:rFonts w:hint="eastAsia" w:ascii="仿宋_GB2312" w:hAnsi="仿宋_GB2312" w:eastAsia="仿宋_GB2312" w:cs="仿宋_GB2312"/>
          <w:color w:val="auto"/>
          <w:sz w:val="32"/>
          <w:szCs w:val="32"/>
          <w:highlight w:val="none"/>
        </w:rPr>
        <w:t>教育（类）支出4569.92万元，占86.41%；社会保障和就业（类）支出591.46万元，占11.18%；卫生健康（类）支出109.10万元，占2.06%。</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2021年度一般公共预算财政拨款支出年初预算为3769.33万元，支出决算为5289.03万元，完成年初预算的140.32%。其中：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rPr>
        <w:t>年初预算为18.55万元，支出决算为18.55万元，完成年初预算100.00%，决算数与年初预算数不存在差异。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2.教育支出（类）普通教育（款）小学教育（项）。</w:t>
      </w:r>
      <w:r>
        <w:rPr>
          <w:rFonts w:hint="eastAsia" w:ascii="仿宋_GB2312" w:hAnsi="仿宋_GB2312" w:eastAsia="仿宋_GB2312" w:cs="仿宋_GB2312"/>
          <w:color w:val="auto"/>
          <w:sz w:val="32"/>
          <w:szCs w:val="32"/>
          <w:highlight w:val="none"/>
        </w:rPr>
        <w:t>年初预算为3084.30万元，支出决算为3548.96万元，完成年初预算的115.07%，决算数与年初预算数存在差异的主要原因是</w:t>
      </w:r>
      <w:r>
        <w:rPr>
          <w:rFonts w:hint="eastAsia" w:ascii="仿宋_GB2312" w:hAnsi="仿宋_GB2312" w:eastAsia="仿宋_GB2312"/>
          <w:color w:val="auto"/>
          <w:sz w:val="32"/>
          <w:szCs w:val="24"/>
          <w:highlight w:val="none"/>
        </w:rPr>
        <w:t>教育教学投入的增加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3.教育支出（类）普通教育（款）其他普通教育（项）。</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年初预算为0.00万元，支出决算为985.92万元，决算数与年初预算数存在差异的主要原因是年初未安排预算数。</w:t>
      </w:r>
    </w:p>
    <w:p>
      <w:pPr>
        <w:widowControl/>
        <w:spacing w:line="590" w:lineRule="exact"/>
        <w:ind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4.教育支出（类）特殊教育（款）特殊学校教育（项）。</w:t>
      </w:r>
      <w:r>
        <w:rPr>
          <w:rFonts w:hint="eastAsia" w:ascii="仿宋_GB2312" w:hAnsi="仿宋_GB2312" w:eastAsia="仿宋_GB2312" w:cs="仿宋_GB2312"/>
          <w:color w:val="auto"/>
          <w:sz w:val="32"/>
          <w:szCs w:val="32"/>
          <w:highlight w:val="none"/>
        </w:rPr>
        <w:t>年初预算为0.00万元，支出决算为2.40万元，决算数与年初预算数存在差异的主要原因是年初未安排预算数。</w:t>
      </w:r>
    </w:p>
    <w:p>
      <w:pPr>
        <w:widowControl/>
        <w:spacing w:line="590" w:lineRule="exact"/>
        <w:ind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5.教育支出（类）其他教育支出（款）其他教育支出（项）。</w:t>
      </w:r>
      <w:r>
        <w:rPr>
          <w:rFonts w:hint="eastAsia" w:ascii="仿宋_GB2312" w:hAnsi="仿宋_GB2312" w:eastAsia="仿宋_GB2312" w:cs="仿宋_GB2312"/>
          <w:color w:val="auto"/>
          <w:sz w:val="32"/>
          <w:szCs w:val="32"/>
          <w:highlight w:val="none"/>
        </w:rPr>
        <w:t>年初预算为0.00万元，支出决算为32.64万元，决算数与年初预算数存在差异的主要原因是</w:t>
      </w:r>
      <w:r>
        <w:rPr>
          <w:rFonts w:hint="eastAsia" w:ascii="仿宋_GB2312" w:hAnsi="仿宋_GB2312" w:eastAsia="仿宋_GB2312"/>
          <w:color w:val="auto"/>
          <w:sz w:val="32"/>
          <w:szCs w:val="24"/>
          <w:highlight w:val="none"/>
        </w:rPr>
        <w:t>教育教学投入的增加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6.社会保障和就业支出（类）行政事业单位养老支出（款）事业单位离退休（项）。</w:t>
      </w:r>
      <w:r>
        <w:rPr>
          <w:rFonts w:hint="eastAsia" w:ascii="仿宋_GB2312" w:hAnsi="仿宋_GB2312" w:eastAsia="仿宋_GB2312" w:cs="仿宋_GB2312"/>
          <w:color w:val="auto"/>
          <w:sz w:val="32"/>
          <w:szCs w:val="32"/>
          <w:highlight w:val="none"/>
        </w:rPr>
        <w:t>年初预算为295.46万元，支出决算为328.97万元，完成年初预算的111.34%，决算数与年初预算数存在差异的主要原因是离退休人员增加。</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7.社会保障和就业支出（类）行政事业单位养老支出（款）机关事业单位基本养老保险缴费支出（项）。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年初预算为266.59万元，支出决算为244.08万元，完成年初预算的91.56%，决算数与年初预算数存在差异的主要原因在职人员转退休</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8.社会保障和就业支出（类）抚恤（款）死亡抚恤（项）。</w:t>
      </w:r>
      <w:r>
        <w:rPr>
          <w:rFonts w:hint="eastAsia" w:ascii="仿宋_GB2312" w:hAnsi="仿宋_GB2312" w:eastAsia="仿宋_GB2312" w:cs="仿宋_GB2312"/>
          <w:color w:val="auto"/>
          <w:sz w:val="32"/>
          <w:szCs w:val="32"/>
          <w:highlight w:val="none"/>
        </w:rPr>
        <w:t>年初预算为0.00万元，支出决算为18.41万元，决算数与年初预算数存在差异的主要原因是当年追加死亡人员抚恤金和丧葬费预算。</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9.卫生健康支出（类）行政事业单位医疗（款）事业单位医疗（项）。</w:t>
      </w:r>
      <w:r>
        <w:rPr>
          <w:rFonts w:hint="eastAsia" w:ascii="仿宋_GB2312" w:hAnsi="仿宋_GB2312" w:eastAsia="仿宋_GB2312" w:cs="仿宋_GB2312"/>
          <w:color w:val="auto"/>
          <w:sz w:val="32"/>
          <w:szCs w:val="32"/>
          <w:highlight w:val="none"/>
        </w:rPr>
        <w:t>年初预算为104.43万元，支出决算为109.10万元，完成年初预算的104.47%，。决算数与年初预算数存在差异的主要原因是在职人员晋级晋档。</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4108.37万元。其中：人员经费3953.12万元，主要包括：基本工资、津贴补贴、奖金、绩效工资、机关事业单位基本养老保险缴费、职工基本医疗保险缴费、其他社会保障缴费、住房公积金、其他工资福利支出、离休费、退休费、抚恤金、生活补助；公用经费155.25万元，主要包括：办公费、咨询费、手续费、水费、电费、邮电费、取暖费、差旅费、维修（护）费、培训费、专用材料费、工会经费、福利费、公务用车运行维护费、税金及附加费用、其他商品和服务支出、办公设备购置、其他资本性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三公</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经费财政拨款支出预算为10.32万元，支出决算为0.95万元，完成预算的</w:t>
      </w:r>
      <w:r>
        <w:rPr>
          <w:rFonts w:hint="eastAsia" w:ascii="仿宋_GB2312" w:hAnsi="仿宋_GB2312" w:eastAsia="仿宋_GB2312"/>
          <w:color w:val="auto"/>
          <w:sz w:val="32"/>
          <w:szCs w:val="24"/>
          <w:highlight w:val="none"/>
          <w:lang w:val="en-US" w:eastAsia="zh-CN"/>
        </w:rPr>
        <w:t>9.20</w:t>
      </w:r>
      <w:r>
        <w:rPr>
          <w:rFonts w:hint="eastAsia" w:ascii="仿宋_GB2312" w:hAnsi="仿宋_GB2312" w:eastAsia="仿宋_GB2312"/>
          <w:color w:val="auto"/>
          <w:sz w:val="32"/>
          <w:szCs w:val="24"/>
          <w:highlight w:val="none"/>
        </w:rPr>
        <w:t>%。2021年度</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三公</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经费支出决算数与预算数存在差异的主要原因是</w:t>
      </w:r>
      <w:r>
        <w:rPr>
          <w:rFonts w:hint="eastAsia" w:ascii="仿宋_GB2312" w:hAnsi="仿宋_GB2312" w:eastAsia="仿宋_GB2312" w:cs="仿宋_GB2312"/>
          <w:color w:val="auto"/>
          <w:sz w:val="32"/>
          <w:szCs w:val="32"/>
          <w:highlight w:val="none"/>
        </w:rPr>
        <w:t>本年度没有发生公务接待费、</w:t>
      </w:r>
      <w:r>
        <w:rPr>
          <w:rFonts w:hint="eastAsia" w:ascii="仿宋_GB2312" w:hAnsi="仿宋_GB2312" w:eastAsia="仿宋_GB2312"/>
          <w:color w:val="auto"/>
          <w:sz w:val="32"/>
          <w:szCs w:val="24"/>
          <w:highlight w:val="none"/>
        </w:rPr>
        <w:t>本年度压缩三公经费支出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三公</w:t>
      </w:r>
      <w:r>
        <w:rPr>
          <w:rFonts w:eastAsia="Times New Roman"/>
          <w:color w:val="auto"/>
          <w:sz w:val="32"/>
          <w:szCs w:val="24"/>
          <w:highlight w:val="none"/>
        </w:rPr>
        <w:t>”</w:t>
      </w:r>
      <w:r>
        <w:rPr>
          <w:rFonts w:hint="eastAsia" w:ascii="仿宋_GB2312" w:hAnsi="仿宋_GB2312" w:eastAsia="仿宋_GB2312"/>
          <w:color w:val="auto"/>
          <w:sz w:val="32"/>
          <w:szCs w:val="24"/>
          <w:highlight w:val="none"/>
        </w:rPr>
        <w:t>经费财政拨款支出决算中，因公出国（境）费支出决算0.00万元；公务用车购置及运行费支出决算0.95万元，完成预算的95.00%，占100%；公务接待费支出决算0.00万元；具体情况如下：</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预算为0.00万元，支出决算为0.00万元。决算数与预算数不存在差异，</w:t>
      </w:r>
      <w:r>
        <w:rPr>
          <w:rFonts w:hint="eastAsia" w:ascii="仿宋_GB2312" w:hAnsi="仿宋_GB2312" w:eastAsia="仿宋_GB2312"/>
          <w:color w:val="auto"/>
          <w:sz w:val="32"/>
          <w:szCs w:val="24"/>
          <w:highlight w:val="none"/>
        </w:rPr>
        <w:t>因公出国（境）团组数0个，因公出国（境）人次数0人。</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olor w:val="auto"/>
          <w:sz w:val="32"/>
          <w:szCs w:val="24"/>
          <w:highlight w:val="none"/>
        </w:rPr>
        <w:t>预算为1.00万元，支出决算为0.95万元，完成年初预算的95.00%，决算数与年初预算数存在差异的主要原因是本年度压缩公务用车维护费支出。其中：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为0.00万元，购置车辆0台。</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0.95万元。主要用于公务用车维护运行相关费用支出。</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年期末，单位开支财政拨款的公务用车保有量为1辆。</w:t>
      </w:r>
    </w:p>
    <w:p>
      <w:pPr>
        <w:widowControl/>
        <w:numPr>
          <w:ilvl w:val="0"/>
          <w:numId w:val="2"/>
        </w:numPr>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公务接待费</w:t>
      </w:r>
      <w:r>
        <w:rPr>
          <w:rFonts w:hint="eastAsia" w:ascii="仿宋_GB2312" w:hAnsi="仿宋_GB2312" w:eastAsia="仿宋_GB2312"/>
          <w:color w:val="auto"/>
          <w:sz w:val="32"/>
          <w:szCs w:val="24"/>
          <w:highlight w:val="none"/>
        </w:rPr>
        <w:t>预算为9.32万元，支出决算为0.00万元。决算数与年初预算数存在差异的主要原因是</w:t>
      </w:r>
      <w:r>
        <w:rPr>
          <w:rFonts w:hint="eastAsia" w:ascii="仿宋_GB2312" w:hAnsi="仿宋_GB2312" w:eastAsia="仿宋_GB2312" w:cs="仿宋_GB2312"/>
          <w:color w:val="auto"/>
          <w:sz w:val="32"/>
          <w:szCs w:val="32"/>
          <w:highlight w:val="none"/>
        </w:rPr>
        <w:t>本年度没有发生公务接待费</w:t>
      </w:r>
      <w:r>
        <w:rPr>
          <w:rFonts w:hint="eastAsia" w:ascii="仿宋_GB2312" w:hAnsi="仿宋_GB2312" w:eastAsia="仿宋_GB2312"/>
          <w:color w:val="auto"/>
          <w:sz w:val="32"/>
          <w:szCs w:val="24"/>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spacing w:line="590" w:lineRule="exact"/>
        <w:ind w:firstLine="640" w:firstLineChars="200"/>
        <w:rPr>
          <w:rFonts w:eastAsia="Times New Roman"/>
          <w:color w:val="auto"/>
          <w:kern w:val="0"/>
          <w:sz w:val="18"/>
          <w:szCs w:val="24"/>
          <w:highlight w:val="none"/>
          <w:lang w:val="zh-CN"/>
        </w:rPr>
      </w:pPr>
      <w:r>
        <w:rPr>
          <w:rFonts w:hint="eastAsia" w:ascii="仿宋_GB2312" w:hAnsi="仿宋_GB2312" w:eastAsia="仿宋_GB2312"/>
          <w:color w:val="auto"/>
          <w:sz w:val="32"/>
          <w:szCs w:val="24"/>
          <w:highlight w:val="none"/>
        </w:rPr>
        <w:t>2021年度政府性基金预算财政拨款支出年初预算为0.00万元，支出决算为0.00万元。不存在项目年末结转和结余资金数额较大，我单位2021年度没有政府性基金收入，也没有使用政府性基金安排的支出。</w:t>
      </w:r>
    </w:p>
    <w:p>
      <w:pPr>
        <w:widowControl/>
        <w:spacing w:line="590" w:lineRule="exact"/>
        <w:ind w:firstLine="640" w:firstLineChars="200"/>
        <w:rPr>
          <w:rFonts w:ascii="仿宋_GB2312" w:hAnsi="仿宋_GB2312" w:eastAsia="仿宋_GB2312" w:cs="仿宋_GB2312"/>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政府采购支出总额418.79万元，其中：政府采购货物支出130.72万元、政府采购工程支出288.07万元、政府采购服务支出0.00万元。授予中小企业合同金额0.00万元，占政府采购支出总额的0.00%,其中：授予小微企业合同金额0.00万元，占政府采购支出总额的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2021年我单位纳入预算绩效管理的支出总额为3769.33万元，其中：基本支出3715.24万元；支出项目1个，支出金额54.09万元。开展项目绩效自评项目1个，自评金额54.09万元。</w:t>
      </w:r>
    </w:p>
    <w:p>
      <w:pPr>
        <w:widowControl/>
        <w:spacing w:line="360" w:lineRule="auto"/>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（二）单位整体和项目绩效自评结果。</w:t>
      </w:r>
    </w:p>
    <w:p>
      <w:pPr>
        <w:ind w:firstLine="640"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2022〕1号）等文件精神，我单位对本单位整体绩效目标和项目支出绩效目标进行了自评。一是单位整体绩效自评情况本年度我单位绩效工作已开展，并参加了由财政局组织的相关培训，整体绩效全年执行率为100.00%，绩效指标得分95分。二是项目绩效自评情况。我单位共有1个项目批复了绩效目标。</w:t>
      </w:r>
      <w:r>
        <w:rPr>
          <w:rFonts w:hint="eastAsia" w:ascii="仿宋_GB2312" w:hAnsi="仿宋_GB2312" w:eastAsia="仿宋_GB2312" w:cs="仿宋_GB2312"/>
          <w:bCs/>
          <w:color w:val="auto"/>
          <w:sz w:val="32"/>
          <w:szCs w:val="32"/>
          <w:highlight w:val="none"/>
        </w:rPr>
        <w:t>2021年我单位项目资金预算主要是校园运行维护费，年初预算54.09万元，全年执行数54.09万元，执行率100.00%。</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94.00分。其中：1个项目评价等级为“优”、0个项目评价等级为“良”、0个项目评价等级为“中”、0个项目评价等级为“差”。</w:t>
      </w:r>
    </w:p>
    <w:p>
      <w:pPr>
        <w:widowControl/>
        <w:spacing w:line="360" w:lineRule="auto"/>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2021年度我单位没有开展重点绩效评价的项目。</w:t>
      </w:r>
    </w:p>
    <w:p>
      <w:pPr>
        <w:widowControl/>
        <w:ind w:firstLine="560" w:firstLineChars="200"/>
        <w:jc w:val="left"/>
        <w:rPr>
          <w:rFonts w:ascii="黑体" w:hAnsi="宋体" w:eastAsia="黑体" w:cs="宋体"/>
          <w:color w:val="auto"/>
          <w:kern w:val="0"/>
          <w:sz w:val="28"/>
          <w:szCs w:val="28"/>
          <w:highlight w:val="none"/>
        </w:rPr>
      </w:pPr>
    </w:p>
    <w:p>
      <w:pPr>
        <w:widowControl/>
        <w:ind w:firstLine="560" w:firstLineChars="200"/>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kNLMwBAACn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l5w5YenBzz9/nH/9Of/+zq6T&#10;PH3AiqoeAtXF4YMfaGnmOFIwsR5asOlLfBjlSdzTRVw1RCbTpdVytSopJSk3O4RfPF4PgPGj8pYl&#10;o+ZAr5dFFcc7jGPpXJK6OX+rjckvaNx/AcIcIyqvwHQ7MRknTlYcdsNEb+ebE7HraQ1q7mjrOTOf&#10;HKmcNmY2YDZ2s3EIoPddXqnUHcP7Q6SR8qSpwwhLDJND75e5TruWFuRfP1c9/l+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QuQ0s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GPHLc8BAACq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tixX&#10;b5JCfcCKCh8Clcbhzg+peoojBRPxoQWbvkSJUZ70PV/1VUNkMl1ar9brklKScrNDOMXj9QAY3ypv&#10;WTJqDvSAWVdxeo9xLJ1LUjfn77UxFBeVcX8FCHOMqLwF0+3EZJw4WXHYDxONvW/OxK6nTai5o8Xn&#10;zLxzJHRamtmA2djPxjGAPnR5q1J3DLfHSCPlSVOHEZYYJoeeMHOd1i3tyJ9+rnr8x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cY8ctzwEAAKoDAAAOAAAAAAAAAAEAIAAAAB4BAABkcnMv&#10;ZTJvRG9jLnhtbFBLBQYAAAAABgAGAFkBAABf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4g6s0BAACnAwAADgAAAGRycy9lMm9Eb2MueG1srVPNjtMwEL4j8Q6W&#10;7zTZI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5xZYejBzz9/nH/9Of/+zt4m&#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A4g6s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13568"/>
    <w:multiLevelType w:val="singleLevel"/>
    <w:tmpl w:val="B6B13568"/>
    <w:lvl w:ilvl="0" w:tentative="0">
      <w:start w:val="3"/>
      <w:numFmt w:val="decimal"/>
      <w:lvlText w:val="%1."/>
      <w:lvlJc w:val="left"/>
      <w:pPr>
        <w:tabs>
          <w:tab w:val="left" w:pos="312"/>
        </w:tabs>
      </w:p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43144"/>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02A10"/>
    <w:rsid w:val="00214AE1"/>
    <w:rsid w:val="00260D70"/>
    <w:rsid w:val="00281114"/>
    <w:rsid w:val="00282C7F"/>
    <w:rsid w:val="00287811"/>
    <w:rsid w:val="00292B4B"/>
    <w:rsid w:val="002A6352"/>
    <w:rsid w:val="002B3F94"/>
    <w:rsid w:val="002C171D"/>
    <w:rsid w:val="002E6A86"/>
    <w:rsid w:val="00304D04"/>
    <w:rsid w:val="00305B88"/>
    <w:rsid w:val="00315FEB"/>
    <w:rsid w:val="003B1BFE"/>
    <w:rsid w:val="003D73C1"/>
    <w:rsid w:val="003E7ADB"/>
    <w:rsid w:val="0041489C"/>
    <w:rsid w:val="0042585F"/>
    <w:rsid w:val="00444309"/>
    <w:rsid w:val="00445CAC"/>
    <w:rsid w:val="00472E19"/>
    <w:rsid w:val="00487869"/>
    <w:rsid w:val="004D5275"/>
    <w:rsid w:val="004F63DB"/>
    <w:rsid w:val="00505190"/>
    <w:rsid w:val="00507364"/>
    <w:rsid w:val="00546F7C"/>
    <w:rsid w:val="005A0C2F"/>
    <w:rsid w:val="005B1AE2"/>
    <w:rsid w:val="005D6F03"/>
    <w:rsid w:val="005E3397"/>
    <w:rsid w:val="00603600"/>
    <w:rsid w:val="00607D67"/>
    <w:rsid w:val="006228C4"/>
    <w:rsid w:val="00636C37"/>
    <w:rsid w:val="006512DD"/>
    <w:rsid w:val="00656BEF"/>
    <w:rsid w:val="00656D75"/>
    <w:rsid w:val="00657E86"/>
    <w:rsid w:val="00673EF7"/>
    <w:rsid w:val="006841E9"/>
    <w:rsid w:val="0069449E"/>
    <w:rsid w:val="006A5681"/>
    <w:rsid w:val="006B79BF"/>
    <w:rsid w:val="006C07F0"/>
    <w:rsid w:val="006C644A"/>
    <w:rsid w:val="006C7D84"/>
    <w:rsid w:val="0070324F"/>
    <w:rsid w:val="007148E8"/>
    <w:rsid w:val="00733DAA"/>
    <w:rsid w:val="00742BA0"/>
    <w:rsid w:val="00753545"/>
    <w:rsid w:val="00764156"/>
    <w:rsid w:val="007706D7"/>
    <w:rsid w:val="007879ED"/>
    <w:rsid w:val="007A48A3"/>
    <w:rsid w:val="007C029F"/>
    <w:rsid w:val="007C7F49"/>
    <w:rsid w:val="007D2A21"/>
    <w:rsid w:val="00843461"/>
    <w:rsid w:val="00853128"/>
    <w:rsid w:val="008651E7"/>
    <w:rsid w:val="00872946"/>
    <w:rsid w:val="0088023A"/>
    <w:rsid w:val="008858FB"/>
    <w:rsid w:val="008877F6"/>
    <w:rsid w:val="00894B41"/>
    <w:rsid w:val="008B5427"/>
    <w:rsid w:val="008C7CD0"/>
    <w:rsid w:val="00903F6B"/>
    <w:rsid w:val="009173F9"/>
    <w:rsid w:val="009308CB"/>
    <w:rsid w:val="00950270"/>
    <w:rsid w:val="00962F58"/>
    <w:rsid w:val="00975A04"/>
    <w:rsid w:val="00987E71"/>
    <w:rsid w:val="009A13B3"/>
    <w:rsid w:val="009F0FBB"/>
    <w:rsid w:val="009F546E"/>
    <w:rsid w:val="00A079F0"/>
    <w:rsid w:val="00A42F43"/>
    <w:rsid w:val="00A51982"/>
    <w:rsid w:val="00A57BF7"/>
    <w:rsid w:val="00A71DC1"/>
    <w:rsid w:val="00A83D8A"/>
    <w:rsid w:val="00A93E7D"/>
    <w:rsid w:val="00AA260E"/>
    <w:rsid w:val="00AA44CB"/>
    <w:rsid w:val="00AA67CD"/>
    <w:rsid w:val="00AD6761"/>
    <w:rsid w:val="00AE2E45"/>
    <w:rsid w:val="00AE2FEA"/>
    <w:rsid w:val="00AE600E"/>
    <w:rsid w:val="00B0083B"/>
    <w:rsid w:val="00B040BC"/>
    <w:rsid w:val="00B209B8"/>
    <w:rsid w:val="00B20BBC"/>
    <w:rsid w:val="00B249F3"/>
    <w:rsid w:val="00B649BE"/>
    <w:rsid w:val="00B653A5"/>
    <w:rsid w:val="00B710DD"/>
    <w:rsid w:val="00B922D4"/>
    <w:rsid w:val="00BE5A85"/>
    <w:rsid w:val="00BF4E6A"/>
    <w:rsid w:val="00BF5718"/>
    <w:rsid w:val="00C13474"/>
    <w:rsid w:val="00C3106E"/>
    <w:rsid w:val="00C3110C"/>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03801"/>
    <w:rsid w:val="00F14C17"/>
    <w:rsid w:val="00F17041"/>
    <w:rsid w:val="00F218CF"/>
    <w:rsid w:val="00F22F9D"/>
    <w:rsid w:val="00F314E5"/>
    <w:rsid w:val="00F43F5D"/>
    <w:rsid w:val="00F44937"/>
    <w:rsid w:val="00F61A47"/>
    <w:rsid w:val="00F84422"/>
    <w:rsid w:val="00F95455"/>
    <w:rsid w:val="00FA297F"/>
    <w:rsid w:val="00FA574D"/>
    <w:rsid w:val="00FC2588"/>
    <w:rsid w:val="00FD2872"/>
    <w:rsid w:val="00FE7AD9"/>
    <w:rsid w:val="01322275"/>
    <w:rsid w:val="01821B74"/>
    <w:rsid w:val="019422A6"/>
    <w:rsid w:val="01B6046E"/>
    <w:rsid w:val="01DC6F05"/>
    <w:rsid w:val="0264611C"/>
    <w:rsid w:val="02A3489A"/>
    <w:rsid w:val="02CA138D"/>
    <w:rsid w:val="033646FC"/>
    <w:rsid w:val="0341020B"/>
    <w:rsid w:val="038500F8"/>
    <w:rsid w:val="03A762C0"/>
    <w:rsid w:val="03C75F80"/>
    <w:rsid w:val="04567CE7"/>
    <w:rsid w:val="04726FC9"/>
    <w:rsid w:val="0478364D"/>
    <w:rsid w:val="048C3B4E"/>
    <w:rsid w:val="04CE1F73"/>
    <w:rsid w:val="04E23328"/>
    <w:rsid w:val="053D4C0D"/>
    <w:rsid w:val="055661F0"/>
    <w:rsid w:val="0557532E"/>
    <w:rsid w:val="057B115B"/>
    <w:rsid w:val="05CC0260"/>
    <w:rsid w:val="05DD22CE"/>
    <w:rsid w:val="0648365F"/>
    <w:rsid w:val="06540256"/>
    <w:rsid w:val="06D030DE"/>
    <w:rsid w:val="070457D8"/>
    <w:rsid w:val="07972AF0"/>
    <w:rsid w:val="0799329C"/>
    <w:rsid w:val="07AD5E6F"/>
    <w:rsid w:val="07D40D35"/>
    <w:rsid w:val="07E04497"/>
    <w:rsid w:val="08397436"/>
    <w:rsid w:val="086F16A7"/>
    <w:rsid w:val="08732C15"/>
    <w:rsid w:val="08A74FB5"/>
    <w:rsid w:val="08E375DA"/>
    <w:rsid w:val="09187C60"/>
    <w:rsid w:val="09C6296F"/>
    <w:rsid w:val="09EA33AB"/>
    <w:rsid w:val="0A0F7225"/>
    <w:rsid w:val="0A24644D"/>
    <w:rsid w:val="0A2B7D82"/>
    <w:rsid w:val="0A4E393A"/>
    <w:rsid w:val="0A9B6A6D"/>
    <w:rsid w:val="0ADC40E9"/>
    <w:rsid w:val="0AE607F4"/>
    <w:rsid w:val="0B077F8D"/>
    <w:rsid w:val="0B386127"/>
    <w:rsid w:val="0B451598"/>
    <w:rsid w:val="0B4B7E79"/>
    <w:rsid w:val="0B4E798E"/>
    <w:rsid w:val="0BB974D9"/>
    <w:rsid w:val="0BEC73F4"/>
    <w:rsid w:val="0BF027CF"/>
    <w:rsid w:val="0BFE4EEC"/>
    <w:rsid w:val="0C392698"/>
    <w:rsid w:val="0C3C2A5B"/>
    <w:rsid w:val="0C5114BF"/>
    <w:rsid w:val="0C7958B5"/>
    <w:rsid w:val="0C917B0E"/>
    <w:rsid w:val="0CC872A8"/>
    <w:rsid w:val="0D157BAE"/>
    <w:rsid w:val="0D89139E"/>
    <w:rsid w:val="0D8B0A01"/>
    <w:rsid w:val="0E76345F"/>
    <w:rsid w:val="0E941B37"/>
    <w:rsid w:val="0EFE3455"/>
    <w:rsid w:val="0F8D660A"/>
    <w:rsid w:val="10030D22"/>
    <w:rsid w:val="10294501"/>
    <w:rsid w:val="10BD36F6"/>
    <w:rsid w:val="110E660B"/>
    <w:rsid w:val="119F59BD"/>
    <w:rsid w:val="11BF0649"/>
    <w:rsid w:val="12351DFD"/>
    <w:rsid w:val="123C676E"/>
    <w:rsid w:val="123E3E08"/>
    <w:rsid w:val="12425795"/>
    <w:rsid w:val="12647A72"/>
    <w:rsid w:val="12850115"/>
    <w:rsid w:val="1295087A"/>
    <w:rsid w:val="13054DB2"/>
    <w:rsid w:val="13230DBA"/>
    <w:rsid w:val="133212F4"/>
    <w:rsid w:val="133E4E86"/>
    <w:rsid w:val="13D22E22"/>
    <w:rsid w:val="14961A2A"/>
    <w:rsid w:val="14F43330"/>
    <w:rsid w:val="151B157A"/>
    <w:rsid w:val="15545B7C"/>
    <w:rsid w:val="156404B5"/>
    <w:rsid w:val="161C2DFF"/>
    <w:rsid w:val="16373578"/>
    <w:rsid w:val="167209B0"/>
    <w:rsid w:val="16866209"/>
    <w:rsid w:val="16D3336B"/>
    <w:rsid w:val="17035AAC"/>
    <w:rsid w:val="17200028"/>
    <w:rsid w:val="17806C36"/>
    <w:rsid w:val="17A74F62"/>
    <w:rsid w:val="17AC7EF2"/>
    <w:rsid w:val="18356139"/>
    <w:rsid w:val="18A47774"/>
    <w:rsid w:val="197B5DCD"/>
    <w:rsid w:val="19B47531"/>
    <w:rsid w:val="1A623059"/>
    <w:rsid w:val="1A8D28EB"/>
    <w:rsid w:val="1A9F2D78"/>
    <w:rsid w:val="1B2C32BB"/>
    <w:rsid w:val="1B2E6FD8"/>
    <w:rsid w:val="1B877D21"/>
    <w:rsid w:val="1C0C301E"/>
    <w:rsid w:val="1C4319A9"/>
    <w:rsid w:val="1C493F61"/>
    <w:rsid w:val="1CBF4223"/>
    <w:rsid w:val="1D3F5364"/>
    <w:rsid w:val="1DAD49C3"/>
    <w:rsid w:val="1E443B4B"/>
    <w:rsid w:val="1E994F4A"/>
    <w:rsid w:val="1EAF0224"/>
    <w:rsid w:val="1F182311"/>
    <w:rsid w:val="1F2230A4"/>
    <w:rsid w:val="1F9A4E2D"/>
    <w:rsid w:val="1FE54021"/>
    <w:rsid w:val="20210932"/>
    <w:rsid w:val="202448E0"/>
    <w:rsid w:val="205E01F7"/>
    <w:rsid w:val="207277FE"/>
    <w:rsid w:val="20784E15"/>
    <w:rsid w:val="20CE712B"/>
    <w:rsid w:val="20F614FE"/>
    <w:rsid w:val="20FB77F4"/>
    <w:rsid w:val="20FF5536"/>
    <w:rsid w:val="21302EEA"/>
    <w:rsid w:val="21486EDD"/>
    <w:rsid w:val="219A098D"/>
    <w:rsid w:val="22376FB5"/>
    <w:rsid w:val="231921B3"/>
    <w:rsid w:val="23256DAA"/>
    <w:rsid w:val="232A616E"/>
    <w:rsid w:val="232C638A"/>
    <w:rsid w:val="232F19D7"/>
    <w:rsid w:val="235D6544"/>
    <w:rsid w:val="23B87C1E"/>
    <w:rsid w:val="23CC71B3"/>
    <w:rsid w:val="23E152D7"/>
    <w:rsid w:val="23EE2489"/>
    <w:rsid w:val="240A66CC"/>
    <w:rsid w:val="243F3E9B"/>
    <w:rsid w:val="24C0322E"/>
    <w:rsid w:val="255D43C8"/>
    <w:rsid w:val="256736AA"/>
    <w:rsid w:val="25F0369F"/>
    <w:rsid w:val="26714EF8"/>
    <w:rsid w:val="26876BDD"/>
    <w:rsid w:val="26CF4A3D"/>
    <w:rsid w:val="2714632A"/>
    <w:rsid w:val="273B077A"/>
    <w:rsid w:val="27541E73"/>
    <w:rsid w:val="27A37350"/>
    <w:rsid w:val="27B0539E"/>
    <w:rsid w:val="27FE6547"/>
    <w:rsid w:val="28043432"/>
    <w:rsid w:val="283B5CC8"/>
    <w:rsid w:val="283D06F2"/>
    <w:rsid w:val="289B1FE8"/>
    <w:rsid w:val="28BB61E6"/>
    <w:rsid w:val="28EB63A0"/>
    <w:rsid w:val="29365CF8"/>
    <w:rsid w:val="299469B3"/>
    <w:rsid w:val="29BF1D06"/>
    <w:rsid w:val="29E347B4"/>
    <w:rsid w:val="2A0C4820"/>
    <w:rsid w:val="2A805789"/>
    <w:rsid w:val="2ADC0D75"/>
    <w:rsid w:val="2B397896"/>
    <w:rsid w:val="2B4A0E52"/>
    <w:rsid w:val="2B88437A"/>
    <w:rsid w:val="2C8E776E"/>
    <w:rsid w:val="2C975890"/>
    <w:rsid w:val="2D8C2F0C"/>
    <w:rsid w:val="2DEF21BB"/>
    <w:rsid w:val="2E4A2F05"/>
    <w:rsid w:val="2ECC1061"/>
    <w:rsid w:val="2EEB70FA"/>
    <w:rsid w:val="2F0401BB"/>
    <w:rsid w:val="2F1F1AC1"/>
    <w:rsid w:val="2F3326A3"/>
    <w:rsid w:val="2F75449A"/>
    <w:rsid w:val="2FA476AD"/>
    <w:rsid w:val="2FD1009E"/>
    <w:rsid w:val="3002648C"/>
    <w:rsid w:val="303F7540"/>
    <w:rsid w:val="30470360"/>
    <w:rsid w:val="30AC1625"/>
    <w:rsid w:val="311566B0"/>
    <w:rsid w:val="31A83080"/>
    <w:rsid w:val="31BB2DB3"/>
    <w:rsid w:val="31BE810A"/>
    <w:rsid w:val="31DD00BF"/>
    <w:rsid w:val="31E56082"/>
    <w:rsid w:val="3273368E"/>
    <w:rsid w:val="328A09D8"/>
    <w:rsid w:val="3293174C"/>
    <w:rsid w:val="32AB72CC"/>
    <w:rsid w:val="32BB38D4"/>
    <w:rsid w:val="32C9376D"/>
    <w:rsid w:val="33492641"/>
    <w:rsid w:val="33780472"/>
    <w:rsid w:val="33AF0905"/>
    <w:rsid w:val="33E800AC"/>
    <w:rsid w:val="33EF143A"/>
    <w:rsid w:val="344A6670"/>
    <w:rsid w:val="3498562E"/>
    <w:rsid w:val="34D86E99"/>
    <w:rsid w:val="34FA0097"/>
    <w:rsid w:val="350D601C"/>
    <w:rsid w:val="355932F4"/>
    <w:rsid w:val="35611882"/>
    <w:rsid w:val="35635364"/>
    <w:rsid w:val="363B355D"/>
    <w:rsid w:val="36581519"/>
    <w:rsid w:val="36746FC3"/>
    <w:rsid w:val="368763AE"/>
    <w:rsid w:val="377834F5"/>
    <w:rsid w:val="37DA79AC"/>
    <w:rsid w:val="37FA1725"/>
    <w:rsid w:val="38507FCD"/>
    <w:rsid w:val="3862667F"/>
    <w:rsid w:val="38996341"/>
    <w:rsid w:val="38DE382B"/>
    <w:rsid w:val="38F372D7"/>
    <w:rsid w:val="39400042"/>
    <w:rsid w:val="395D59E7"/>
    <w:rsid w:val="399A1E48"/>
    <w:rsid w:val="39A93932"/>
    <w:rsid w:val="39DA66B4"/>
    <w:rsid w:val="3A915562"/>
    <w:rsid w:val="3AAA2B43"/>
    <w:rsid w:val="3AC151B3"/>
    <w:rsid w:val="3AC4360F"/>
    <w:rsid w:val="3AF15A98"/>
    <w:rsid w:val="3B2714BA"/>
    <w:rsid w:val="3B645349"/>
    <w:rsid w:val="3B8D4765"/>
    <w:rsid w:val="3BC92571"/>
    <w:rsid w:val="3BDA29D0"/>
    <w:rsid w:val="3C000DBA"/>
    <w:rsid w:val="3C0B4937"/>
    <w:rsid w:val="3C7977E5"/>
    <w:rsid w:val="3D2A3992"/>
    <w:rsid w:val="3D2C1009"/>
    <w:rsid w:val="3DC045D3"/>
    <w:rsid w:val="3E46434D"/>
    <w:rsid w:val="3E504FFB"/>
    <w:rsid w:val="3E615CD0"/>
    <w:rsid w:val="3E9C47F6"/>
    <w:rsid w:val="3F152DF8"/>
    <w:rsid w:val="3F340649"/>
    <w:rsid w:val="3F7FEFEF"/>
    <w:rsid w:val="3F8B0112"/>
    <w:rsid w:val="3FAB3095"/>
    <w:rsid w:val="3FAC4683"/>
    <w:rsid w:val="3FB13A48"/>
    <w:rsid w:val="3FE45947"/>
    <w:rsid w:val="3FF102E8"/>
    <w:rsid w:val="409969B6"/>
    <w:rsid w:val="40F57B0B"/>
    <w:rsid w:val="40F736DC"/>
    <w:rsid w:val="41242965"/>
    <w:rsid w:val="4168282C"/>
    <w:rsid w:val="41764F49"/>
    <w:rsid w:val="424E37D0"/>
    <w:rsid w:val="42D31F27"/>
    <w:rsid w:val="43036368"/>
    <w:rsid w:val="435671EA"/>
    <w:rsid w:val="43601A0D"/>
    <w:rsid w:val="436F1C50"/>
    <w:rsid w:val="440809E9"/>
    <w:rsid w:val="442407A6"/>
    <w:rsid w:val="44805EA1"/>
    <w:rsid w:val="449F47B6"/>
    <w:rsid w:val="45440EBA"/>
    <w:rsid w:val="45710696"/>
    <w:rsid w:val="45DF53C5"/>
    <w:rsid w:val="46142B1B"/>
    <w:rsid w:val="46BB51AC"/>
    <w:rsid w:val="46DC75FC"/>
    <w:rsid w:val="47037A73"/>
    <w:rsid w:val="472D7E58"/>
    <w:rsid w:val="474E6020"/>
    <w:rsid w:val="47721D0E"/>
    <w:rsid w:val="479F062A"/>
    <w:rsid w:val="47B75973"/>
    <w:rsid w:val="47E60DD0"/>
    <w:rsid w:val="4812529F"/>
    <w:rsid w:val="482D3E87"/>
    <w:rsid w:val="48735039"/>
    <w:rsid w:val="48F03833"/>
    <w:rsid w:val="48FF5824"/>
    <w:rsid w:val="492C684B"/>
    <w:rsid w:val="49500594"/>
    <w:rsid w:val="49765266"/>
    <w:rsid w:val="49D7054F"/>
    <w:rsid w:val="49E7604E"/>
    <w:rsid w:val="4A77763C"/>
    <w:rsid w:val="4B06733D"/>
    <w:rsid w:val="4B756271"/>
    <w:rsid w:val="4BF67CDD"/>
    <w:rsid w:val="4C0C0983"/>
    <w:rsid w:val="4CF431C6"/>
    <w:rsid w:val="4CF84A64"/>
    <w:rsid w:val="4D173441"/>
    <w:rsid w:val="4D5B4FF3"/>
    <w:rsid w:val="4D603DD6"/>
    <w:rsid w:val="4D970721"/>
    <w:rsid w:val="4DB072A3"/>
    <w:rsid w:val="4DF72F6D"/>
    <w:rsid w:val="4EBF010F"/>
    <w:rsid w:val="4EDF107B"/>
    <w:rsid w:val="4F3D2C02"/>
    <w:rsid w:val="4F471EB0"/>
    <w:rsid w:val="4F7E3B05"/>
    <w:rsid w:val="4FAA7ED4"/>
    <w:rsid w:val="504B75A0"/>
    <w:rsid w:val="50A63AE7"/>
    <w:rsid w:val="51331326"/>
    <w:rsid w:val="51740A7F"/>
    <w:rsid w:val="51915487"/>
    <w:rsid w:val="51A5541E"/>
    <w:rsid w:val="51C96242"/>
    <w:rsid w:val="51CA43A1"/>
    <w:rsid w:val="525E180D"/>
    <w:rsid w:val="52976ACD"/>
    <w:rsid w:val="52AB7255"/>
    <w:rsid w:val="52B23907"/>
    <w:rsid w:val="53906AE1"/>
    <w:rsid w:val="539574B0"/>
    <w:rsid w:val="53BD6A07"/>
    <w:rsid w:val="54BF230B"/>
    <w:rsid w:val="54F46F60"/>
    <w:rsid w:val="5507618C"/>
    <w:rsid w:val="55A37BEA"/>
    <w:rsid w:val="56362CD2"/>
    <w:rsid w:val="567A298E"/>
    <w:rsid w:val="56E31F89"/>
    <w:rsid w:val="56FB2217"/>
    <w:rsid w:val="57081D47"/>
    <w:rsid w:val="57295971"/>
    <w:rsid w:val="5784687B"/>
    <w:rsid w:val="57846959"/>
    <w:rsid w:val="578E6A87"/>
    <w:rsid w:val="57FA6232"/>
    <w:rsid w:val="58450D79"/>
    <w:rsid w:val="588E2720"/>
    <w:rsid w:val="59391443"/>
    <w:rsid w:val="5A3D0EC9"/>
    <w:rsid w:val="5A5359CF"/>
    <w:rsid w:val="5A8A500D"/>
    <w:rsid w:val="5AB956CA"/>
    <w:rsid w:val="5AC2203A"/>
    <w:rsid w:val="5B6028C0"/>
    <w:rsid w:val="5B991B08"/>
    <w:rsid w:val="5BEA3FEC"/>
    <w:rsid w:val="5C197C99"/>
    <w:rsid w:val="5C643EC4"/>
    <w:rsid w:val="5CBB3334"/>
    <w:rsid w:val="5CE2303B"/>
    <w:rsid w:val="5D115FAF"/>
    <w:rsid w:val="5D7719D5"/>
    <w:rsid w:val="5EB10F16"/>
    <w:rsid w:val="5FCB6008"/>
    <w:rsid w:val="600D6620"/>
    <w:rsid w:val="604C7149"/>
    <w:rsid w:val="60765F74"/>
    <w:rsid w:val="60964868"/>
    <w:rsid w:val="609D5BF6"/>
    <w:rsid w:val="60CF38D6"/>
    <w:rsid w:val="611C6575"/>
    <w:rsid w:val="615D36B8"/>
    <w:rsid w:val="623C31ED"/>
    <w:rsid w:val="626764BC"/>
    <w:rsid w:val="62811722"/>
    <w:rsid w:val="62C03E1E"/>
    <w:rsid w:val="62E75A72"/>
    <w:rsid w:val="63352116"/>
    <w:rsid w:val="63C82F8A"/>
    <w:rsid w:val="63E458EA"/>
    <w:rsid w:val="64571880"/>
    <w:rsid w:val="64836EB1"/>
    <w:rsid w:val="649125B6"/>
    <w:rsid w:val="64947310"/>
    <w:rsid w:val="64EF7828"/>
    <w:rsid w:val="652F4C1A"/>
    <w:rsid w:val="65C2639F"/>
    <w:rsid w:val="65CF57E3"/>
    <w:rsid w:val="666D37F1"/>
    <w:rsid w:val="67087D8F"/>
    <w:rsid w:val="671F687E"/>
    <w:rsid w:val="67A91325"/>
    <w:rsid w:val="67C820E5"/>
    <w:rsid w:val="67F415F8"/>
    <w:rsid w:val="682640D1"/>
    <w:rsid w:val="684B73E5"/>
    <w:rsid w:val="68FB170C"/>
    <w:rsid w:val="69831701"/>
    <w:rsid w:val="69E2696D"/>
    <w:rsid w:val="69EB1906"/>
    <w:rsid w:val="6A047A2A"/>
    <w:rsid w:val="6A5D139E"/>
    <w:rsid w:val="6AB10892"/>
    <w:rsid w:val="6AE71EDB"/>
    <w:rsid w:val="6B361121"/>
    <w:rsid w:val="6B631BEA"/>
    <w:rsid w:val="6B8E0C3D"/>
    <w:rsid w:val="6BB838E4"/>
    <w:rsid w:val="6BDF3567"/>
    <w:rsid w:val="6D3F0BBB"/>
    <w:rsid w:val="6D5B6C1D"/>
    <w:rsid w:val="6E146265"/>
    <w:rsid w:val="6E657628"/>
    <w:rsid w:val="6EA91C0A"/>
    <w:rsid w:val="6EE4631B"/>
    <w:rsid w:val="6EFB7548"/>
    <w:rsid w:val="6F0D3F47"/>
    <w:rsid w:val="6F3326BD"/>
    <w:rsid w:val="6F3831C3"/>
    <w:rsid w:val="6F8B71C1"/>
    <w:rsid w:val="6FE078AE"/>
    <w:rsid w:val="70753482"/>
    <w:rsid w:val="707B522A"/>
    <w:rsid w:val="71B903B6"/>
    <w:rsid w:val="71F65166"/>
    <w:rsid w:val="71F8619A"/>
    <w:rsid w:val="73194D05"/>
    <w:rsid w:val="73A83B0E"/>
    <w:rsid w:val="73D03795"/>
    <w:rsid w:val="744D3EF9"/>
    <w:rsid w:val="7471744F"/>
    <w:rsid w:val="74794411"/>
    <w:rsid w:val="74A4534E"/>
    <w:rsid w:val="74BB2B21"/>
    <w:rsid w:val="750E6C6B"/>
    <w:rsid w:val="754028AA"/>
    <w:rsid w:val="75735347"/>
    <w:rsid w:val="757A7E5C"/>
    <w:rsid w:val="75867C40"/>
    <w:rsid w:val="75910012"/>
    <w:rsid w:val="75B10B26"/>
    <w:rsid w:val="75B82733"/>
    <w:rsid w:val="76432199"/>
    <w:rsid w:val="766D79C1"/>
    <w:rsid w:val="76F44829"/>
    <w:rsid w:val="77767249"/>
    <w:rsid w:val="77843214"/>
    <w:rsid w:val="77A267C0"/>
    <w:rsid w:val="786077DD"/>
    <w:rsid w:val="78882278"/>
    <w:rsid w:val="78B118A6"/>
    <w:rsid w:val="79135044"/>
    <w:rsid w:val="792F268D"/>
    <w:rsid w:val="79963EAD"/>
    <w:rsid w:val="7A574C10"/>
    <w:rsid w:val="7A7D0F99"/>
    <w:rsid w:val="7B2745E3"/>
    <w:rsid w:val="7BFF9CC4"/>
    <w:rsid w:val="7D124E1E"/>
    <w:rsid w:val="7D455504"/>
    <w:rsid w:val="7DB163E5"/>
    <w:rsid w:val="7E45730E"/>
    <w:rsid w:val="7E4A0E7C"/>
    <w:rsid w:val="7EFD449D"/>
    <w:rsid w:val="7F3826D1"/>
    <w:rsid w:val="7F517E80"/>
    <w:rsid w:val="7FB34697"/>
    <w:rsid w:val="DDF5B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8200</Words>
  <Characters>10490</Characters>
  <Lines>90</Lines>
  <Paragraphs>25</Paragraphs>
  <TotalTime>79</TotalTime>
  <ScaleCrop>false</ScaleCrop>
  <LinksUpToDate>false</LinksUpToDate>
  <CharactersWithSpaces>10734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2023-09-17T11:19:09Z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81E912FA3CBA4BE5A9C887FFE8CEB9D7_13</vt:lpwstr>
  </property>
</Properties>
</file>