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jc w:val="center"/>
        <w:rPr>
          <w:rFonts w:hint="eastAsia" w:ascii="黑体" w:hAnsi="黑体" w:eastAsia="黑体" w:cs="黑体"/>
          <w:color w:val="000000"/>
          <w:sz w:val="52"/>
          <w:szCs w:val="52"/>
          <w:highlight w:val="none"/>
        </w:rPr>
      </w:pPr>
      <w:r>
        <w:rPr>
          <w:rFonts w:hint="eastAsia" w:ascii="黑体" w:hAnsi="黑体" w:eastAsia="黑体" w:cs="黑体"/>
          <w:color w:val="000000"/>
          <w:sz w:val="52"/>
          <w:szCs w:val="52"/>
          <w:highlight w:val="none"/>
        </w:rPr>
        <w:t>20</w:t>
      </w:r>
      <w:r>
        <w:rPr>
          <w:rFonts w:ascii="黑体" w:hAnsi="黑体" w:eastAsia="黑体" w:cs="黑体"/>
          <w:color w:val="000000"/>
          <w:sz w:val="52"/>
          <w:szCs w:val="52"/>
          <w:highlight w:val="none"/>
        </w:rPr>
        <w:t>21</w:t>
      </w:r>
      <w:r>
        <w:rPr>
          <w:rFonts w:hint="eastAsia" w:ascii="黑体" w:hAnsi="黑体" w:eastAsia="黑体" w:cs="黑体"/>
          <w:color w:val="000000"/>
          <w:sz w:val="52"/>
          <w:szCs w:val="52"/>
          <w:highlight w:val="none"/>
        </w:rPr>
        <w:t>年度</w:t>
      </w:r>
    </w:p>
    <w:p>
      <w:pPr>
        <w:jc w:val="center"/>
        <w:rPr>
          <w:rFonts w:hint="eastAsia" w:ascii="黑体" w:hAnsi="黑体" w:eastAsia="黑体" w:cs="黑体"/>
          <w:color w:val="000000"/>
          <w:sz w:val="52"/>
          <w:szCs w:val="52"/>
          <w:highlight w:val="none"/>
          <w:lang w:eastAsia="zh-CN"/>
        </w:rPr>
      </w:pPr>
      <w:r>
        <w:rPr>
          <w:rFonts w:hint="eastAsia" w:ascii="黑体" w:hAnsi="黑体" w:eastAsia="黑体" w:cs="黑体"/>
          <w:color w:val="000000"/>
          <w:sz w:val="52"/>
          <w:szCs w:val="52"/>
          <w:highlight w:val="none"/>
          <w:lang w:eastAsia="zh-CN"/>
        </w:rPr>
        <w:t>中国共产党许昌市纪律检查委员会</w:t>
      </w:r>
    </w:p>
    <w:p>
      <w:pPr>
        <w:jc w:val="center"/>
        <w:rPr>
          <w:rFonts w:hint="eastAsia" w:ascii="黑体" w:hAnsi="黑体" w:eastAsia="黑体" w:cs="黑体"/>
          <w:color w:val="000000"/>
          <w:sz w:val="52"/>
          <w:szCs w:val="52"/>
          <w:highlight w:val="none"/>
          <w:lang w:eastAsia="zh-CN"/>
        </w:rPr>
      </w:pPr>
      <w:r>
        <w:rPr>
          <w:rFonts w:hint="eastAsia" w:ascii="黑体" w:hAnsi="黑体" w:eastAsia="黑体" w:cs="黑体"/>
          <w:color w:val="000000"/>
          <w:sz w:val="52"/>
          <w:szCs w:val="52"/>
          <w:highlight w:val="none"/>
          <w:lang w:eastAsia="zh-CN"/>
        </w:rPr>
        <w:t>（本级）单位决算</w:t>
      </w:r>
    </w:p>
    <w:p>
      <w:pPr>
        <w:jc w:val="center"/>
        <w:rPr>
          <w:rFonts w:ascii="黑体" w:hAnsi="黑体" w:eastAsia="黑体" w:cs="黑体"/>
          <w:color w:val="000000"/>
          <w:sz w:val="52"/>
          <w:szCs w:val="52"/>
          <w:highlight w:val="none"/>
        </w:rPr>
      </w:pPr>
    </w:p>
    <w:p>
      <w:pPr>
        <w:jc w:val="center"/>
        <w:rPr>
          <w:rFonts w:hint="eastAsia" w:ascii="黑体" w:hAnsi="黑体" w:eastAsia="黑体" w:cs="黑体"/>
          <w:color w:val="000000"/>
          <w:sz w:val="52"/>
          <w:szCs w:val="52"/>
          <w:highlight w:val="none"/>
        </w:rPr>
      </w:pPr>
    </w:p>
    <w:p>
      <w:pPr>
        <w:jc w:val="center"/>
        <w:rPr>
          <w:rFonts w:hint="eastAsia" w:ascii="黑体" w:hAnsi="黑体" w:eastAsia="黑体" w:cs="黑体"/>
          <w:color w:val="000000"/>
          <w:sz w:val="52"/>
          <w:szCs w:val="52"/>
          <w:highlight w:val="none"/>
        </w:rPr>
      </w:pPr>
    </w:p>
    <w:p>
      <w:pPr>
        <w:jc w:val="center"/>
        <w:rPr>
          <w:rFonts w:hint="eastAsia" w:ascii="黑体" w:hAnsi="黑体" w:eastAsia="黑体" w:cs="黑体"/>
          <w:color w:val="000000"/>
          <w:sz w:val="52"/>
          <w:szCs w:val="52"/>
          <w:highlight w:val="none"/>
        </w:rPr>
      </w:pPr>
    </w:p>
    <w:p>
      <w:pPr>
        <w:jc w:val="center"/>
        <w:rPr>
          <w:rFonts w:hint="eastAsia" w:ascii="黑体" w:hAnsi="黑体" w:eastAsia="黑体" w:cs="黑体"/>
          <w:color w:val="000000"/>
          <w:sz w:val="52"/>
          <w:szCs w:val="52"/>
          <w:highlight w:val="none"/>
        </w:rPr>
      </w:pPr>
    </w:p>
    <w:p>
      <w:pPr>
        <w:jc w:val="center"/>
        <w:rPr>
          <w:rFonts w:hint="eastAsia" w:ascii="黑体" w:hAnsi="黑体" w:eastAsia="黑体" w:cs="黑体"/>
          <w:color w:val="000000"/>
          <w:sz w:val="52"/>
          <w:szCs w:val="52"/>
          <w:highlight w:val="none"/>
        </w:rPr>
      </w:pPr>
    </w:p>
    <w:p>
      <w:pPr>
        <w:jc w:val="center"/>
        <w:rPr>
          <w:rFonts w:hint="eastAsia" w:ascii="黑体" w:hAnsi="黑体" w:eastAsia="黑体" w:cs="黑体"/>
          <w:color w:val="000000"/>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000000"/>
          <w:sz w:val="32"/>
          <w:szCs w:val="32"/>
          <w:highlight w:val="none"/>
        </w:rPr>
        <w:t>二〇二二年</w:t>
      </w:r>
      <w:r>
        <w:rPr>
          <w:rFonts w:hint="eastAsia" w:ascii="黑体" w:hAnsi="黑体" w:eastAsia="黑体" w:cs="黑体"/>
          <w:color w:val="000000"/>
          <w:sz w:val="32"/>
          <w:szCs w:val="32"/>
          <w:highlight w:val="none"/>
          <w:lang w:eastAsia="zh-CN"/>
        </w:rPr>
        <w:t>九</w:t>
      </w:r>
      <w:r>
        <w:rPr>
          <w:rFonts w:hint="eastAsia" w:ascii="黑体" w:hAnsi="黑体" w:eastAsia="黑体" w:cs="黑体"/>
          <w:color w:val="000000"/>
          <w:sz w:val="32"/>
          <w:szCs w:val="32"/>
          <w:highlight w:val="none"/>
        </w:rPr>
        <w:t>月</w:t>
      </w:r>
    </w:p>
    <w:p>
      <w:pPr>
        <w:jc w:val="center"/>
        <w:rPr>
          <w:rFonts w:ascii="黑体" w:hAnsi="黑体" w:eastAsia="黑体" w:cs="黑体"/>
          <w:color w:val="000000"/>
          <w:sz w:val="36"/>
          <w:szCs w:val="36"/>
          <w:highlight w:val="none"/>
        </w:rPr>
      </w:pPr>
      <w:r>
        <w:rPr>
          <w:rFonts w:hint="eastAsia" w:ascii="黑体" w:hAnsi="黑体" w:eastAsia="黑体" w:cs="黑体"/>
          <w:color w:val="000000"/>
          <w:sz w:val="36"/>
          <w:szCs w:val="36"/>
          <w:highlight w:val="none"/>
        </w:rPr>
        <w:t>目　　录</w:t>
      </w:r>
    </w:p>
    <w:p>
      <w:pPr>
        <w:jc w:val="left"/>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第一部分　</w:t>
      </w:r>
      <w:r>
        <w:rPr>
          <w:rFonts w:hint="eastAsia" w:ascii="黑体" w:hAnsi="黑体" w:eastAsia="黑体" w:cs="黑体"/>
          <w:color w:val="000000"/>
          <w:sz w:val="32"/>
          <w:szCs w:val="32"/>
          <w:highlight w:val="none"/>
          <w:lang w:eastAsia="zh-CN"/>
        </w:rPr>
        <w:t>中国共产党许昌市纪律检查委员会（本级）</w:t>
      </w:r>
      <w:r>
        <w:rPr>
          <w:rFonts w:hint="eastAsia" w:ascii="黑体" w:hAnsi="黑体" w:eastAsia="黑体" w:cs="黑体"/>
          <w:color w:val="000000"/>
          <w:sz w:val="32"/>
          <w:szCs w:val="32"/>
          <w:highlight w:val="none"/>
        </w:rPr>
        <w:t>概况</w:t>
      </w:r>
    </w:p>
    <w:p>
      <w:pPr>
        <w:numPr>
          <w:ilvl w:val="0"/>
          <w:numId w:val="1"/>
        </w:numPr>
        <w:ind w:firstLine="640" w:firstLineChars="200"/>
        <w:jc w:val="left"/>
        <w:rPr>
          <w:rFonts w:ascii="宋体" w:hAnsi="宋体" w:cs="宋体"/>
          <w:color w:val="000000"/>
          <w:sz w:val="32"/>
          <w:szCs w:val="32"/>
          <w:highlight w:val="none"/>
        </w:rPr>
      </w:pPr>
      <w:r>
        <w:rPr>
          <w:rFonts w:hint="eastAsia" w:ascii="宋体" w:hAnsi="宋体" w:cs="宋体"/>
          <w:color w:val="000000"/>
          <w:sz w:val="32"/>
          <w:szCs w:val="32"/>
          <w:highlight w:val="none"/>
          <w:lang w:eastAsia="zh-CN"/>
        </w:rPr>
        <w:t>单位</w:t>
      </w:r>
      <w:r>
        <w:rPr>
          <w:rFonts w:hint="eastAsia" w:ascii="宋体" w:hAnsi="宋体" w:cs="宋体"/>
          <w:color w:val="000000"/>
          <w:sz w:val="32"/>
          <w:szCs w:val="32"/>
          <w:highlight w:val="none"/>
        </w:rPr>
        <w:t>职责</w:t>
      </w:r>
    </w:p>
    <w:p>
      <w:pPr>
        <w:numPr>
          <w:ilvl w:val="0"/>
          <w:numId w:val="1"/>
        </w:numPr>
        <w:ind w:firstLine="640" w:firstLineChars="200"/>
        <w:jc w:val="left"/>
        <w:rPr>
          <w:rFonts w:ascii="宋体" w:hAnsi="宋体" w:cs="宋体"/>
          <w:color w:val="000000"/>
          <w:sz w:val="32"/>
          <w:szCs w:val="32"/>
          <w:highlight w:val="none"/>
        </w:rPr>
      </w:pPr>
      <w:r>
        <w:rPr>
          <w:rFonts w:hint="eastAsia" w:ascii="宋体" w:hAnsi="宋体" w:cs="宋体"/>
          <w:color w:val="000000"/>
          <w:sz w:val="32"/>
          <w:szCs w:val="32"/>
          <w:highlight w:val="none"/>
        </w:rPr>
        <w:t>机构设置</w:t>
      </w:r>
    </w:p>
    <w:p>
      <w:pPr>
        <w:jc w:val="left"/>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第二部分  2021年度</w:t>
      </w:r>
      <w:r>
        <w:rPr>
          <w:rFonts w:hint="eastAsia" w:ascii="黑体" w:hAnsi="黑体" w:eastAsia="黑体" w:cs="黑体"/>
          <w:color w:val="000000"/>
          <w:sz w:val="32"/>
          <w:szCs w:val="32"/>
          <w:highlight w:val="none"/>
          <w:lang w:eastAsia="zh-CN"/>
        </w:rPr>
        <w:t>单位决算</w:t>
      </w:r>
      <w:r>
        <w:rPr>
          <w:rFonts w:hint="eastAsia" w:ascii="黑体" w:hAnsi="黑体" w:eastAsia="黑体" w:cs="黑体"/>
          <w:color w:val="000000"/>
          <w:sz w:val="32"/>
          <w:szCs w:val="32"/>
          <w:highlight w:val="none"/>
        </w:rPr>
        <w:t>表</w:t>
      </w:r>
    </w:p>
    <w:p>
      <w:pPr>
        <w:ind w:firstLine="640" w:firstLineChars="200"/>
        <w:jc w:val="left"/>
        <w:rPr>
          <w:rFonts w:hint="eastAsia" w:ascii="宋体" w:hAnsi="宋体" w:cs="黑体"/>
          <w:color w:val="000000"/>
          <w:sz w:val="32"/>
          <w:szCs w:val="32"/>
          <w:highlight w:val="none"/>
        </w:rPr>
      </w:pPr>
      <w:r>
        <w:rPr>
          <w:rFonts w:hint="eastAsia" w:ascii="宋体" w:hAnsi="宋体" w:cs="黑体"/>
          <w:color w:val="000000"/>
          <w:sz w:val="32"/>
          <w:szCs w:val="32"/>
          <w:highlight w:val="none"/>
        </w:rPr>
        <w:t>一、收入支出决算总表</w:t>
      </w:r>
    </w:p>
    <w:p>
      <w:pPr>
        <w:ind w:firstLine="640" w:firstLineChars="200"/>
        <w:jc w:val="left"/>
        <w:rPr>
          <w:rFonts w:hint="eastAsia" w:ascii="宋体" w:hAnsi="宋体" w:cs="黑体"/>
          <w:color w:val="000000"/>
          <w:sz w:val="32"/>
          <w:szCs w:val="32"/>
          <w:highlight w:val="none"/>
        </w:rPr>
      </w:pPr>
      <w:r>
        <w:rPr>
          <w:rFonts w:hint="eastAsia" w:ascii="宋体" w:hAnsi="宋体" w:cs="黑体"/>
          <w:color w:val="000000"/>
          <w:sz w:val="32"/>
          <w:szCs w:val="32"/>
          <w:highlight w:val="none"/>
        </w:rPr>
        <w:t>二、收入决算表</w:t>
      </w:r>
    </w:p>
    <w:p>
      <w:pPr>
        <w:ind w:firstLine="640" w:firstLineChars="200"/>
        <w:jc w:val="left"/>
        <w:rPr>
          <w:rFonts w:hint="eastAsia" w:ascii="宋体" w:hAnsi="宋体" w:cs="黑体"/>
          <w:color w:val="000000"/>
          <w:sz w:val="32"/>
          <w:szCs w:val="32"/>
          <w:highlight w:val="none"/>
        </w:rPr>
      </w:pPr>
      <w:r>
        <w:rPr>
          <w:rFonts w:hint="eastAsia" w:ascii="宋体" w:hAnsi="宋体" w:cs="黑体"/>
          <w:color w:val="000000"/>
          <w:sz w:val="32"/>
          <w:szCs w:val="32"/>
          <w:highlight w:val="none"/>
        </w:rPr>
        <w:t>三、支出决算表</w:t>
      </w:r>
    </w:p>
    <w:p>
      <w:pPr>
        <w:ind w:firstLine="640" w:firstLineChars="200"/>
        <w:jc w:val="left"/>
        <w:rPr>
          <w:rFonts w:ascii="宋体" w:hAnsi="宋体" w:cs="黑体"/>
          <w:color w:val="000000"/>
          <w:sz w:val="32"/>
          <w:szCs w:val="32"/>
          <w:highlight w:val="none"/>
        </w:rPr>
      </w:pPr>
      <w:r>
        <w:rPr>
          <w:rFonts w:hint="eastAsia" w:ascii="宋体" w:hAnsi="宋体" w:cs="黑体"/>
          <w:color w:val="000000"/>
          <w:sz w:val="32"/>
          <w:szCs w:val="32"/>
          <w:highlight w:val="none"/>
        </w:rPr>
        <w:t>四、财政拨款收入支出决算总表</w:t>
      </w:r>
    </w:p>
    <w:p>
      <w:pPr>
        <w:ind w:firstLine="640" w:firstLineChars="200"/>
        <w:jc w:val="left"/>
        <w:rPr>
          <w:rFonts w:hint="eastAsia" w:ascii="宋体" w:hAnsi="宋体" w:cs="黑体"/>
          <w:color w:val="000000"/>
          <w:sz w:val="32"/>
          <w:szCs w:val="32"/>
          <w:highlight w:val="none"/>
        </w:rPr>
      </w:pPr>
      <w:r>
        <w:rPr>
          <w:rFonts w:hint="eastAsia" w:ascii="宋体" w:hAnsi="宋体" w:cs="黑体"/>
          <w:color w:val="000000"/>
          <w:sz w:val="32"/>
          <w:szCs w:val="32"/>
          <w:highlight w:val="none"/>
        </w:rPr>
        <w:t>五、一般公共预算财政拨款支出决算表</w:t>
      </w:r>
    </w:p>
    <w:p>
      <w:pPr>
        <w:ind w:firstLine="640" w:firstLineChars="200"/>
        <w:jc w:val="left"/>
        <w:rPr>
          <w:rFonts w:ascii="宋体" w:hAnsi="宋体" w:cs="黑体"/>
          <w:color w:val="000000"/>
          <w:sz w:val="32"/>
          <w:szCs w:val="32"/>
          <w:highlight w:val="none"/>
        </w:rPr>
      </w:pPr>
      <w:r>
        <w:rPr>
          <w:rFonts w:hint="eastAsia" w:ascii="宋体" w:hAnsi="宋体" w:cs="黑体"/>
          <w:color w:val="000000"/>
          <w:sz w:val="32"/>
          <w:szCs w:val="32"/>
          <w:highlight w:val="none"/>
        </w:rPr>
        <w:t>六、一般公共预算财政拨款基本支出决算明细表</w:t>
      </w:r>
    </w:p>
    <w:p>
      <w:pPr>
        <w:ind w:firstLine="640" w:firstLineChars="200"/>
        <w:jc w:val="left"/>
        <w:rPr>
          <w:rFonts w:hint="eastAsia" w:ascii="宋体" w:hAnsi="宋体" w:cs="黑体"/>
          <w:color w:val="000000"/>
          <w:sz w:val="32"/>
          <w:szCs w:val="32"/>
          <w:highlight w:val="none"/>
        </w:rPr>
      </w:pPr>
      <w:r>
        <w:rPr>
          <w:rFonts w:hint="eastAsia" w:ascii="宋体" w:hAnsi="宋体" w:cs="黑体"/>
          <w:color w:val="000000"/>
          <w:sz w:val="32"/>
          <w:szCs w:val="32"/>
          <w:highlight w:val="none"/>
        </w:rPr>
        <w:t>七、一般公共预算财政拨款“三公”经费支出决算表</w:t>
      </w:r>
    </w:p>
    <w:p>
      <w:pPr>
        <w:ind w:firstLine="640" w:firstLineChars="200"/>
        <w:jc w:val="left"/>
        <w:rPr>
          <w:rFonts w:hint="eastAsia" w:ascii="宋体" w:hAnsi="宋体" w:cs="黑体"/>
          <w:color w:val="000000"/>
          <w:sz w:val="32"/>
          <w:szCs w:val="32"/>
          <w:highlight w:val="none"/>
        </w:rPr>
      </w:pPr>
      <w:r>
        <w:rPr>
          <w:rFonts w:hint="eastAsia" w:ascii="宋体" w:hAnsi="宋体" w:cs="黑体"/>
          <w:color w:val="000000"/>
          <w:sz w:val="32"/>
          <w:szCs w:val="32"/>
          <w:highlight w:val="none"/>
        </w:rPr>
        <w:t>八、政府性基金预算财政拨款收入支出决算表</w:t>
      </w:r>
    </w:p>
    <w:p>
      <w:pPr>
        <w:jc w:val="lef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第三部分　</w:t>
      </w:r>
      <w:r>
        <w:rPr>
          <w:rFonts w:ascii="黑体" w:hAnsi="黑体" w:eastAsia="黑体" w:cs="黑体"/>
          <w:color w:val="000000"/>
          <w:sz w:val="32"/>
          <w:szCs w:val="32"/>
          <w:highlight w:val="none"/>
        </w:rPr>
        <w:t>2021</w:t>
      </w:r>
      <w:r>
        <w:rPr>
          <w:rFonts w:hint="eastAsia" w:ascii="黑体" w:hAnsi="黑体" w:eastAsia="黑体" w:cs="黑体"/>
          <w:color w:val="000000"/>
          <w:sz w:val="32"/>
          <w:szCs w:val="32"/>
          <w:highlight w:val="none"/>
        </w:rPr>
        <w:t>年度</w:t>
      </w:r>
      <w:r>
        <w:rPr>
          <w:rFonts w:hint="eastAsia" w:ascii="黑体" w:hAnsi="黑体" w:eastAsia="黑体" w:cs="黑体"/>
          <w:color w:val="000000"/>
          <w:sz w:val="32"/>
          <w:szCs w:val="32"/>
          <w:highlight w:val="none"/>
          <w:lang w:eastAsia="zh-CN"/>
        </w:rPr>
        <w:t>单位决算</w:t>
      </w:r>
      <w:r>
        <w:rPr>
          <w:rFonts w:hint="eastAsia" w:ascii="黑体" w:hAnsi="黑体" w:eastAsia="黑体" w:cs="黑体"/>
          <w:color w:val="000000"/>
          <w:sz w:val="32"/>
          <w:szCs w:val="32"/>
          <w:highlight w:val="none"/>
        </w:rPr>
        <w:t>情况说明</w:t>
      </w:r>
    </w:p>
    <w:p>
      <w:pPr>
        <w:ind w:firstLine="640" w:firstLineChars="200"/>
        <w:jc w:val="left"/>
        <w:rPr>
          <w:rFonts w:hint="eastAsia" w:ascii="宋体" w:hAnsi="宋体" w:cs="宋体"/>
          <w:color w:val="000000"/>
          <w:sz w:val="32"/>
          <w:szCs w:val="32"/>
          <w:highlight w:val="none"/>
        </w:rPr>
      </w:pPr>
      <w:r>
        <w:rPr>
          <w:rFonts w:hint="eastAsia" w:ascii="宋体" w:hAnsi="宋体" w:cs="宋体"/>
          <w:color w:val="000000"/>
          <w:sz w:val="32"/>
          <w:szCs w:val="32"/>
          <w:highlight w:val="none"/>
        </w:rPr>
        <w:t>一、收入支出决算总体情况说明</w:t>
      </w:r>
    </w:p>
    <w:p>
      <w:pPr>
        <w:ind w:firstLine="640" w:firstLineChars="200"/>
        <w:jc w:val="left"/>
        <w:rPr>
          <w:rFonts w:hint="eastAsia" w:ascii="宋体" w:hAnsi="宋体" w:cs="宋体"/>
          <w:color w:val="000000"/>
          <w:sz w:val="32"/>
          <w:szCs w:val="32"/>
          <w:highlight w:val="none"/>
        </w:rPr>
      </w:pPr>
      <w:r>
        <w:rPr>
          <w:rFonts w:hint="eastAsia" w:ascii="宋体" w:hAnsi="宋体" w:cs="宋体"/>
          <w:color w:val="000000"/>
          <w:sz w:val="32"/>
          <w:szCs w:val="32"/>
          <w:highlight w:val="none"/>
        </w:rPr>
        <w:t>二、收入决算情况说明</w:t>
      </w:r>
    </w:p>
    <w:p>
      <w:pPr>
        <w:ind w:firstLine="640" w:firstLineChars="200"/>
        <w:jc w:val="left"/>
        <w:rPr>
          <w:rFonts w:hint="eastAsia" w:ascii="宋体" w:hAnsi="宋体" w:cs="宋体"/>
          <w:color w:val="000000"/>
          <w:sz w:val="32"/>
          <w:szCs w:val="32"/>
          <w:highlight w:val="none"/>
        </w:rPr>
      </w:pPr>
      <w:r>
        <w:rPr>
          <w:rFonts w:hint="eastAsia" w:ascii="宋体" w:hAnsi="宋体" w:cs="宋体"/>
          <w:color w:val="000000"/>
          <w:sz w:val="32"/>
          <w:szCs w:val="32"/>
          <w:highlight w:val="none"/>
        </w:rPr>
        <w:t>三、支出决算情况说明</w:t>
      </w:r>
    </w:p>
    <w:p>
      <w:pPr>
        <w:ind w:firstLine="640" w:firstLineChars="200"/>
        <w:jc w:val="left"/>
        <w:rPr>
          <w:rFonts w:hint="eastAsia" w:ascii="宋体" w:hAnsi="宋体" w:cs="宋体"/>
          <w:color w:val="000000"/>
          <w:sz w:val="32"/>
          <w:szCs w:val="32"/>
          <w:highlight w:val="none"/>
        </w:rPr>
      </w:pPr>
      <w:r>
        <w:rPr>
          <w:rFonts w:hint="eastAsia" w:ascii="宋体" w:hAnsi="宋体" w:cs="宋体"/>
          <w:color w:val="000000"/>
          <w:sz w:val="32"/>
          <w:szCs w:val="32"/>
          <w:highlight w:val="none"/>
        </w:rPr>
        <w:t>四、财政拨款收入支出决算总体情况说明</w:t>
      </w:r>
    </w:p>
    <w:p>
      <w:pPr>
        <w:ind w:firstLine="640" w:firstLineChars="200"/>
        <w:jc w:val="left"/>
        <w:rPr>
          <w:rFonts w:hint="eastAsia" w:ascii="宋体" w:hAnsi="宋体" w:cs="宋体"/>
          <w:color w:val="000000"/>
          <w:sz w:val="32"/>
          <w:szCs w:val="32"/>
          <w:highlight w:val="none"/>
        </w:rPr>
      </w:pPr>
      <w:r>
        <w:rPr>
          <w:rFonts w:hint="eastAsia" w:ascii="宋体" w:hAnsi="宋体" w:cs="宋体"/>
          <w:color w:val="000000"/>
          <w:sz w:val="32"/>
          <w:szCs w:val="32"/>
          <w:highlight w:val="none"/>
        </w:rPr>
        <w:t>五、一般公共预算财政拨款支出决算情况说明</w:t>
      </w:r>
    </w:p>
    <w:p>
      <w:pPr>
        <w:ind w:firstLine="640" w:firstLineChars="200"/>
        <w:jc w:val="left"/>
        <w:rPr>
          <w:rFonts w:hint="eastAsia" w:ascii="宋体" w:hAnsi="宋体" w:cs="宋体"/>
          <w:color w:val="000000"/>
          <w:sz w:val="32"/>
          <w:szCs w:val="32"/>
          <w:highlight w:val="none"/>
        </w:rPr>
      </w:pPr>
      <w:r>
        <w:rPr>
          <w:rFonts w:hint="eastAsia" w:ascii="宋体" w:hAnsi="宋体" w:cs="宋体"/>
          <w:color w:val="000000"/>
          <w:sz w:val="32"/>
          <w:szCs w:val="32"/>
          <w:highlight w:val="none"/>
        </w:rPr>
        <w:t>六、一般公共预算财政拨款基本支出决算情况说明</w:t>
      </w:r>
    </w:p>
    <w:p>
      <w:pPr>
        <w:ind w:firstLine="640" w:firstLineChars="200"/>
        <w:jc w:val="left"/>
        <w:rPr>
          <w:rFonts w:hint="eastAsia" w:ascii="宋体" w:hAnsi="宋体" w:cs="宋体"/>
          <w:color w:val="000000"/>
          <w:sz w:val="32"/>
          <w:szCs w:val="32"/>
          <w:highlight w:val="none"/>
        </w:rPr>
      </w:pPr>
      <w:r>
        <w:rPr>
          <w:rFonts w:hint="eastAsia" w:ascii="宋体" w:hAnsi="宋体" w:cs="宋体"/>
          <w:color w:val="000000"/>
          <w:sz w:val="32"/>
          <w:szCs w:val="32"/>
          <w:highlight w:val="none"/>
        </w:rPr>
        <w:t>七、一般公共预算财政拨款“三公”经费支出决算情况说明</w:t>
      </w:r>
    </w:p>
    <w:p>
      <w:pPr>
        <w:ind w:firstLine="640" w:firstLineChars="200"/>
        <w:jc w:val="left"/>
        <w:rPr>
          <w:rFonts w:ascii="宋体" w:hAnsi="宋体" w:cs="宋体"/>
          <w:color w:val="000000"/>
          <w:sz w:val="32"/>
          <w:szCs w:val="32"/>
          <w:highlight w:val="none"/>
        </w:rPr>
      </w:pPr>
      <w:r>
        <w:rPr>
          <w:rFonts w:hint="eastAsia" w:ascii="宋体" w:hAnsi="宋体" w:cs="宋体"/>
          <w:color w:val="000000"/>
          <w:sz w:val="32"/>
          <w:szCs w:val="32"/>
          <w:highlight w:val="none"/>
        </w:rPr>
        <w:t>八、政府性基金预算财政拨款支出决算情况说明</w:t>
      </w:r>
    </w:p>
    <w:p>
      <w:pPr>
        <w:ind w:firstLine="640" w:firstLineChars="200"/>
        <w:jc w:val="left"/>
        <w:rPr>
          <w:rFonts w:hint="eastAsia" w:ascii="宋体" w:hAnsi="宋体" w:cs="宋体"/>
          <w:color w:val="000000"/>
          <w:sz w:val="32"/>
          <w:szCs w:val="32"/>
          <w:highlight w:val="none"/>
        </w:rPr>
      </w:pPr>
      <w:r>
        <w:rPr>
          <w:rFonts w:hint="eastAsia" w:ascii="宋体" w:hAnsi="宋体" w:cs="宋体"/>
          <w:color w:val="000000"/>
          <w:sz w:val="32"/>
          <w:szCs w:val="32"/>
          <w:highlight w:val="none"/>
        </w:rPr>
        <w:t>九、机关运行经费支出情况说明</w:t>
      </w:r>
    </w:p>
    <w:p>
      <w:pPr>
        <w:ind w:firstLine="640" w:firstLineChars="200"/>
        <w:jc w:val="left"/>
        <w:rPr>
          <w:rFonts w:hint="eastAsia" w:ascii="宋体" w:hAnsi="宋体" w:cs="宋体"/>
          <w:color w:val="000000"/>
          <w:sz w:val="32"/>
          <w:szCs w:val="32"/>
          <w:highlight w:val="none"/>
        </w:rPr>
      </w:pPr>
      <w:r>
        <w:rPr>
          <w:rFonts w:hint="eastAsia" w:ascii="宋体" w:hAnsi="宋体" w:cs="宋体"/>
          <w:color w:val="000000"/>
          <w:sz w:val="32"/>
          <w:szCs w:val="32"/>
          <w:highlight w:val="none"/>
        </w:rPr>
        <w:t>十、政府采购支出情况说明</w:t>
      </w:r>
    </w:p>
    <w:p>
      <w:pPr>
        <w:ind w:firstLine="640" w:firstLineChars="200"/>
        <w:jc w:val="left"/>
        <w:rPr>
          <w:rFonts w:ascii="宋体" w:hAnsi="宋体" w:cs="宋体"/>
          <w:color w:val="000000"/>
          <w:sz w:val="32"/>
          <w:szCs w:val="32"/>
          <w:highlight w:val="none"/>
        </w:rPr>
      </w:pPr>
      <w:r>
        <w:rPr>
          <w:rFonts w:hint="eastAsia" w:ascii="宋体" w:hAnsi="宋体" w:cs="宋体"/>
          <w:color w:val="000000"/>
          <w:sz w:val="32"/>
          <w:szCs w:val="32"/>
          <w:highlight w:val="none"/>
        </w:rPr>
        <w:t>十一、国有资产占用情况说明</w:t>
      </w:r>
    </w:p>
    <w:p>
      <w:pPr>
        <w:ind w:firstLine="640" w:firstLineChars="200"/>
        <w:jc w:val="left"/>
        <w:rPr>
          <w:rFonts w:hint="eastAsia" w:ascii="宋体" w:hAnsi="宋体" w:cs="宋体"/>
          <w:color w:val="000000"/>
          <w:sz w:val="32"/>
          <w:szCs w:val="32"/>
          <w:highlight w:val="none"/>
        </w:rPr>
      </w:pPr>
      <w:r>
        <w:rPr>
          <w:rFonts w:hint="eastAsia" w:ascii="宋体" w:hAnsi="宋体" w:cs="宋体"/>
          <w:color w:val="000000"/>
          <w:sz w:val="32"/>
          <w:szCs w:val="32"/>
          <w:highlight w:val="none"/>
        </w:rPr>
        <w:t>十二、预算绩效情况说明</w:t>
      </w:r>
    </w:p>
    <w:p>
      <w:pPr>
        <w:jc w:val="lef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第四部分　　名词解释</w:t>
      </w: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both"/>
        <w:outlineLvl w:val="0"/>
        <w:rPr>
          <w:rFonts w:hint="eastAsia" w:ascii="黑体" w:hAnsi="黑体" w:eastAsia="黑体" w:cs="黑体"/>
          <w:color w:val="000000"/>
          <w:sz w:val="48"/>
          <w:szCs w:val="48"/>
          <w:highlight w:val="none"/>
        </w:rPr>
      </w:pPr>
    </w:p>
    <w:p>
      <w:pPr>
        <w:widowControl/>
        <w:jc w:val="center"/>
        <w:outlineLvl w:val="0"/>
        <w:rPr>
          <w:rFonts w:hint="eastAsia" w:ascii="黑体" w:hAnsi="黑体" w:eastAsia="黑体" w:cs="黑体"/>
          <w:color w:val="000000"/>
          <w:sz w:val="48"/>
          <w:szCs w:val="48"/>
          <w:highlight w:val="none"/>
        </w:rPr>
      </w:pPr>
    </w:p>
    <w:p>
      <w:pPr>
        <w:widowControl/>
        <w:jc w:val="center"/>
        <w:outlineLvl w:val="0"/>
        <w:rPr>
          <w:rFonts w:hint="eastAsia" w:ascii="黑体" w:hAnsi="黑体" w:eastAsia="黑体" w:cs="黑体"/>
          <w:color w:val="000000"/>
          <w:sz w:val="48"/>
          <w:szCs w:val="48"/>
          <w:highlight w:val="none"/>
        </w:rPr>
      </w:pPr>
    </w:p>
    <w:p>
      <w:pPr>
        <w:widowControl/>
        <w:jc w:val="center"/>
        <w:outlineLvl w:val="0"/>
        <w:rPr>
          <w:rFonts w:hint="eastAsia" w:ascii="黑体" w:hAnsi="黑体" w:eastAsia="黑体" w:cs="黑体"/>
          <w:color w:val="000000"/>
          <w:sz w:val="48"/>
          <w:szCs w:val="48"/>
          <w:highlight w:val="none"/>
        </w:rPr>
      </w:pPr>
    </w:p>
    <w:p>
      <w:pPr>
        <w:widowControl/>
        <w:jc w:val="center"/>
        <w:outlineLvl w:val="0"/>
        <w:rPr>
          <w:rFonts w:hint="eastAsia" w:ascii="黑体" w:hAnsi="黑体" w:eastAsia="黑体" w:cs="黑体"/>
          <w:color w:val="000000"/>
          <w:sz w:val="48"/>
          <w:szCs w:val="48"/>
          <w:highlight w:val="none"/>
        </w:rPr>
      </w:pPr>
    </w:p>
    <w:p>
      <w:pPr>
        <w:widowControl/>
        <w:jc w:val="center"/>
        <w:outlineLvl w:val="0"/>
        <w:rPr>
          <w:rFonts w:hint="eastAsia" w:ascii="黑体" w:hAnsi="黑体" w:eastAsia="黑体" w:cs="黑体"/>
          <w:color w:val="000000"/>
          <w:sz w:val="48"/>
          <w:szCs w:val="48"/>
          <w:highlight w:val="none"/>
        </w:rPr>
      </w:pPr>
    </w:p>
    <w:p>
      <w:pPr>
        <w:widowControl/>
        <w:jc w:val="center"/>
        <w:outlineLvl w:val="0"/>
        <w:rPr>
          <w:rFonts w:hint="eastAsia" w:ascii="黑体" w:hAnsi="宋体" w:eastAsia="黑体" w:cs="宋体"/>
          <w:color w:val="000000"/>
          <w:kern w:val="0"/>
          <w:sz w:val="28"/>
          <w:szCs w:val="28"/>
          <w:highlight w:val="none"/>
        </w:rPr>
      </w:pPr>
      <w:r>
        <w:rPr>
          <w:rFonts w:hint="eastAsia" w:ascii="黑体" w:hAnsi="黑体" w:eastAsia="黑体" w:cs="黑体"/>
          <w:color w:val="000000"/>
          <w:sz w:val="48"/>
          <w:szCs w:val="48"/>
          <w:highlight w:val="none"/>
        </w:rPr>
        <w:t xml:space="preserve">第一部分  </w:t>
      </w:r>
      <w:r>
        <w:rPr>
          <w:rFonts w:hint="eastAsia" w:ascii="黑体" w:hAnsi="黑体" w:eastAsia="黑体" w:cs="黑体"/>
          <w:color w:val="000000"/>
          <w:sz w:val="48"/>
          <w:szCs w:val="48"/>
          <w:highlight w:val="none"/>
          <w:lang w:eastAsia="zh-CN"/>
        </w:rPr>
        <w:t>中国共产党许昌市纪律检查委员会（本级）</w:t>
      </w:r>
      <w:r>
        <w:rPr>
          <w:rFonts w:hint="eastAsia" w:ascii="黑体" w:hAnsi="黑体" w:eastAsia="黑体" w:cs="黑体"/>
          <w:color w:val="000000"/>
          <w:sz w:val="48"/>
          <w:szCs w:val="48"/>
          <w:highlight w:val="none"/>
        </w:rPr>
        <w:t>概况</w:t>
      </w: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ascii="黑体" w:hAnsi="黑体" w:eastAsia="黑体" w:cs="黑体"/>
          <w:color w:val="000000"/>
          <w:kern w:val="0"/>
          <w:sz w:val="32"/>
          <w:szCs w:val="32"/>
          <w:highlight w:val="none"/>
        </w:rPr>
      </w:pPr>
    </w:p>
    <w:p>
      <w:pPr>
        <w:widowControl/>
        <w:ind w:firstLine="640" w:firstLineChars="200"/>
        <w:jc w:val="left"/>
        <w:outlineLvl w:val="1"/>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一、</w:t>
      </w:r>
      <w:r>
        <w:rPr>
          <w:rFonts w:hint="eastAsia" w:ascii="黑体" w:hAnsi="黑体" w:eastAsia="黑体" w:cs="黑体"/>
          <w:color w:val="000000"/>
          <w:kern w:val="0"/>
          <w:sz w:val="32"/>
          <w:szCs w:val="32"/>
          <w:highlight w:val="none"/>
          <w:lang w:eastAsia="zh-CN"/>
        </w:rPr>
        <w:t>单位</w:t>
      </w:r>
      <w:r>
        <w:rPr>
          <w:rFonts w:hint="eastAsia" w:ascii="黑体" w:hAnsi="黑体" w:eastAsia="黑体" w:cs="黑体"/>
          <w:bCs/>
          <w:color w:val="000000"/>
          <w:sz w:val="32"/>
          <w:szCs w:val="32"/>
          <w:highlight w:val="none"/>
        </w:rPr>
        <w:t>职责</w:t>
      </w:r>
    </w:p>
    <w:p>
      <w:pPr>
        <w:keepNext w:val="0"/>
        <w:keepLines w:val="0"/>
        <w:pageBreakBefore w:val="0"/>
        <w:widowControl/>
        <w:kinsoku/>
        <w:wordWrap/>
        <w:overflowPunct/>
        <w:topLinePunct w:val="0"/>
        <w:autoSpaceDE/>
        <w:autoSpaceDN/>
        <w:bidi w:val="0"/>
        <w:adjustRightInd w:val="0"/>
        <w:snapToGrid w:val="0"/>
        <w:spacing w:before="156" w:beforeLines="50" w:after="156" w:afterLines="50" w:line="580" w:lineRule="exact"/>
        <w:ind w:firstLine="640" w:firstLineChars="200"/>
        <w:jc w:val="both"/>
        <w:textAlignment w:val="auto"/>
        <w:outlineLvl w:val="9"/>
        <w:rPr>
          <w:rFonts w:hint="default" w:ascii="黑体" w:hAnsi="黑体" w:eastAsia="黑体" w:cs="黑体"/>
          <w:bCs/>
          <w:color w:val="000000"/>
          <w:sz w:val="32"/>
          <w:szCs w:val="32"/>
          <w:highlight w:val="none"/>
          <w:lang w:val="en-US" w:eastAsia="zh-CN"/>
        </w:rPr>
      </w:pPr>
      <w:r>
        <w:rPr>
          <w:rFonts w:hint="eastAsia" w:ascii="仿宋_GB2312" w:hAnsi="仿宋" w:eastAsia="仿宋_GB2312"/>
          <w:color w:val="000000"/>
          <w:sz w:val="32"/>
          <w:szCs w:val="32"/>
          <w:lang w:val="en-US" w:eastAsia="zh-CN"/>
        </w:rPr>
        <w:t>涉及国家机密，不予公开。</w:t>
      </w:r>
    </w:p>
    <w:p>
      <w:pPr>
        <w:widowControl/>
        <w:ind w:firstLine="640" w:firstLineChars="200"/>
        <w:jc w:val="left"/>
        <w:outlineLvl w:val="1"/>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i w:val="0"/>
          <w:iCs w:val="0"/>
          <w:color w:val="000000"/>
          <w:kern w:val="0"/>
          <w:sz w:val="28"/>
          <w:szCs w:val="28"/>
          <w:highlight w:val="none"/>
          <w:u w:val="none"/>
          <w:lang w:val="en-US" w:eastAsia="zh-CN" w:bidi="ar-SA"/>
        </w:rPr>
      </w:pPr>
      <w:r>
        <w:rPr>
          <w:rFonts w:hint="eastAsia" w:ascii="仿宋_GB2312" w:hAnsi="仿宋_GB2312" w:eastAsia="仿宋_GB2312" w:cs="仿宋_GB2312"/>
          <w:color w:val="000000"/>
          <w:kern w:val="0"/>
          <w:sz w:val="32"/>
          <w:szCs w:val="32"/>
          <w:highlight w:val="none"/>
          <w:lang w:val="en-US" w:eastAsia="zh-CN"/>
        </w:rPr>
        <w:t>中国共产党许昌市纪律检查委员会内设机构22个，包括：</w:t>
      </w:r>
      <w:r>
        <w:rPr>
          <w:rFonts w:hint="eastAsia" w:ascii="仿宋_GB2312" w:hAnsi="仿宋_GB2312" w:eastAsia="仿宋_GB2312" w:cs="仿宋_GB2312"/>
          <w:color w:val="000000"/>
          <w:sz w:val="32"/>
          <w:szCs w:val="32"/>
          <w:lang w:val="en-US" w:eastAsia="zh-CN"/>
        </w:rPr>
        <w:t>办公室、组织部、宣传部、调研法规室、党风政风监督室、信访室、案管室、监督一室、监督二室、监督三室、监督四室、监督五室、监督六室、审查一室、审查二室、审查三室、审查四室、审查五室、审查六室、审理室、干部监督室、信息室</w:t>
      </w:r>
      <w:r>
        <w:rPr>
          <w:rFonts w:hint="eastAsia" w:ascii="仿宋_GB2312" w:hAnsi="仿宋_GB2312" w:eastAsia="仿宋_GB2312" w:cs="仿宋_GB2312"/>
          <w:color w:val="000000"/>
          <w:kern w:val="0"/>
          <w:sz w:val="32"/>
          <w:szCs w:val="32"/>
          <w:highlight w:val="none"/>
          <w:lang w:val="en-US" w:eastAsia="zh-CN"/>
        </w:rPr>
        <w:t>。另设有</w:t>
      </w:r>
      <w:r>
        <w:rPr>
          <w:rFonts w:hint="eastAsia" w:ascii="仿宋_GB2312" w:hAnsi="仿宋_GB2312" w:eastAsia="仿宋_GB2312" w:cs="仿宋_GB2312"/>
          <w:color w:val="000000"/>
          <w:sz w:val="32"/>
          <w:szCs w:val="32"/>
          <w:lang w:val="en-US" w:eastAsia="zh-CN"/>
        </w:rPr>
        <w:t>机关党委1个</w:t>
      </w:r>
      <w:r>
        <w:rPr>
          <w:rFonts w:hint="eastAsia" w:ascii="仿宋_GB2312" w:hAnsi="仿宋_GB2312" w:eastAsia="仿宋_GB2312" w:cs="仿宋_GB2312"/>
          <w:color w:val="000000"/>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rPr>
        <w:t>从决算单位构成看，</w:t>
      </w:r>
      <w:r>
        <w:rPr>
          <w:rFonts w:hint="eastAsia" w:ascii="仿宋_GB2312" w:hAnsi="仿宋_GB2312" w:eastAsia="仿宋_GB2312" w:cs="仿宋_GB2312"/>
          <w:color w:val="000000"/>
          <w:kern w:val="0"/>
          <w:sz w:val="32"/>
          <w:szCs w:val="32"/>
          <w:highlight w:val="none"/>
          <w:lang w:val="en-US" w:eastAsia="zh-CN"/>
        </w:rPr>
        <w:t>中国共产党许昌市纪律检查委员会单位决算包括：本级决算（1个）。</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纳入2021年度单位决算编制范围的单位共1个，具体是：</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lang w:val="en-US" w:eastAsia="zh-CN"/>
        </w:rPr>
        <w:t>1.</w:t>
      </w:r>
      <w:bookmarkStart w:id="0" w:name="_GoBack"/>
      <w:bookmarkEnd w:id="0"/>
      <w:r>
        <w:rPr>
          <w:rFonts w:hint="eastAsia" w:ascii="仿宋_GB2312" w:hAnsi="仿宋_GB2312" w:eastAsia="仿宋_GB2312" w:cs="仿宋_GB2312"/>
          <w:color w:val="000000"/>
          <w:kern w:val="0"/>
          <w:sz w:val="32"/>
          <w:szCs w:val="32"/>
          <w:highlight w:val="none"/>
          <w:lang w:eastAsia="zh-CN"/>
        </w:rPr>
        <w:t>中国共产党许昌市纪律检查委员会（</w:t>
      </w:r>
      <w:r>
        <w:rPr>
          <w:rFonts w:hint="eastAsia" w:ascii="仿宋_GB2312" w:hAnsi="仿宋_GB2312" w:eastAsia="仿宋_GB2312" w:cs="仿宋_GB2312"/>
          <w:color w:val="000000"/>
          <w:kern w:val="0"/>
          <w:sz w:val="32"/>
          <w:szCs w:val="32"/>
          <w:highlight w:val="none"/>
        </w:rPr>
        <w:t>本级</w:t>
      </w:r>
      <w:r>
        <w:rPr>
          <w:rFonts w:hint="eastAsia" w:ascii="仿宋_GB2312" w:hAnsi="仿宋_GB2312" w:eastAsia="仿宋_GB2312" w:cs="仿宋_GB2312"/>
          <w:color w:val="000000"/>
          <w:kern w:val="0"/>
          <w:sz w:val="32"/>
          <w:szCs w:val="32"/>
          <w:highlight w:val="none"/>
          <w:lang w:eastAsia="zh-CN"/>
        </w:rPr>
        <w:t>）</w:t>
      </w:r>
    </w:p>
    <w:p>
      <w:pPr>
        <w:widowControl/>
        <w:jc w:val="left"/>
        <w:rPr>
          <w:rFonts w:hint="eastAsia" w:ascii="黑体" w:hAnsi="宋体" w:eastAsia="黑体" w:cs="宋体"/>
          <w:color w:val="000000"/>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jc w:val="center"/>
        <w:outlineLvl w:val="0"/>
        <w:rPr>
          <w:rFonts w:hint="eastAsia" w:ascii="黑体" w:hAnsi="黑体" w:eastAsia="黑体" w:cs="黑体"/>
          <w:color w:val="000000"/>
          <w:sz w:val="48"/>
          <w:szCs w:val="48"/>
          <w:highlight w:val="none"/>
        </w:rPr>
      </w:pPr>
      <w:r>
        <w:rPr>
          <w:rFonts w:hint="eastAsia" w:ascii="黑体" w:hAnsi="黑体" w:eastAsia="黑体" w:cs="黑体"/>
          <w:color w:val="000000"/>
          <w:sz w:val="48"/>
          <w:szCs w:val="48"/>
          <w:highlight w:val="none"/>
        </w:rPr>
        <w:t>第二部分  2021年度</w:t>
      </w:r>
      <w:r>
        <w:rPr>
          <w:rFonts w:hint="eastAsia" w:ascii="黑体" w:hAnsi="黑体" w:eastAsia="黑体" w:cs="黑体"/>
          <w:color w:val="000000"/>
          <w:sz w:val="48"/>
          <w:szCs w:val="48"/>
          <w:highlight w:val="none"/>
          <w:lang w:eastAsia="zh-CN"/>
        </w:rPr>
        <w:t>单位决算</w:t>
      </w:r>
      <w:r>
        <w:rPr>
          <w:rFonts w:hint="eastAsia" w:ascii="黑体" w:hAnsi="黑体" w:eastAsia="黑体" w:cs="黑体"/>
          <w:color w:val="000000"/>
          <w:sz w:val="48"/>
          <w:szCs w:val="48"/>
          <w:highlight w:val="none"/>
        </w:rPr>
        <w:t>表</w:t>
      </w: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收入支出决算总表</w:t>
            </w:r>
          </w:p>
        </w:tc>
      </w:tr>
      <w:tr>
        <w:tblPrEx>
          <w:tblCellMar>
            <w:top w:w="0" w:type="dxa"/>
            <w:left w:w="0" w:type="dxa"/>
            <w:bottom w:w="0" w:type="dxa"/>
            <w:right w:w="0" w:type="dxa"/>
          </w:tblCellMar>
        </w:tblPrEx>
        <w:trPr>
          <w:trHeight w:val="90"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5104" w:type="dxa"/>
            <w:gridSpan w:val="2"/>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：中国共产党许昌市纪律检查委员会（本级）</w:t>
            </w: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3114.38</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3119.61</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w:t>
            </w:r>
            <w:r>
              <w:rPr>
                <w:rFonts w:ascii="宋体" w:hAnsi="宋体" w:cs="宋体"/>
                <w:color w:val="000000"/>
                <w:kern w:val="0"/>
                <w:sz w:val="20"/>
                <w:szCs w:val="20"/>
                <w:highlight w:val="none"/>
                <w:lang w:bidi="ar"/>
              </w:rPr>
              <w:t>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三、国有资本</w:t>
            </w:r>
            <w:r>
              <w:rPr>
                <w:rFonts w:ascii="宋体" w:hAnsi="宋体" w:cs="宋体"/>
                <w:color w:val="000000"/>
                <w:kern w:val="0"/>
                <w:sz w:val="20"/>
                <w:szCs w:val="20"/>
                <w:highlight w:val="none"/>
                <w:lang w:bidi="ar"/>
              </w:rPr>
              <w:t>经营预算财政拨款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21</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22</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abs>
                <w:tab w:val="left" w:pos="599"/>
              </w:tabs>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23</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258.36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124.17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5</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3114.38</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6</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b/>
                <w:color w:val="000000"/>
                <w:sz w:val="20"/>
                <w:szCs w:val="20"/>
                <w:highlight w:val="none"/>
                <w:lang w:val="en-US" w:eastAsia="zh-CN"/>
              </w:rPr>
            </w:pPr>
            <w:r>
              <w:rPr>
                <w:rFonts w:hint="eastAsia" w:ascii="宋体" w:hAnsi="宋体" w:cs="宋体"/>
                <w:b w:val="0"/>
                <w:bCs/>
                <w:color w:val="000000"/>
                <w:sz w:val="20"/>
                <w:szCs w:val="20"/>
                <w:highlight w:val="none"/>
                <w:lang w:val="en-US" w:eastAsia="zh-CN"/>
              </w:rPr>
              <w:t>3502.14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使用非</w:t>
            </w:r>
            <w:r>
              <w:rPr>
                <w:rFonts w:ascii="宋体" w:hAnsi="宋体" w:cs="宋体"/>
                <w:color w:val="000000"/>
                <w:kern w:val="0"/>
                <w:sz w:val="20"/>
                <w:szCs w:val="20"/>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7</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w:t>
            </w: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387.76</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8</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4</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9</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5</w:t>
            </w:r>
          </w:p>
        </w:tc>
        <w:tc>
          <w:tcPr>
            <w:tcW w:w="176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3502.14</w:t>
            </w:r>
          </w:p>
        </w:tc>
        <w:tc>
          <w:tcPr>
            <w:tcW w:w="4671"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b w:val="0"/>
                <w:bCs w:val="0"/>
                <w:color w:val="000000"/>
                <w:sz w:val="20"/>
                <w:szCs w:val="20"/>
                <w:highlight w:val="none"/>
                <w:lang w:val="en-US" w:eastAsia="zh-CN"/>
              </w:rPr>
            </w:pPr>
            <w:r>
              <w:rPr>
                <w:rFonts w:hint="eastAsia" w:ascii="宋体" w:hAnsi="宋体" w:cs="宋体"/>
                <w:b w:val="0"/>
                <w:bCs w:val="0"/>
                <w:color w:val="000000"/>
                <w:kern w:val="0"/>
                <w:sz w:val="20"/>
                <w:szCs w:val="20"/>
                <w:highlight w:val="none"/>
                <w:lang w:val="en-US" w:eastAsia="zh-CN" w:bidi="ar"/>
              </w:rPr>
              <w:t>30</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b w:val="0"/>
                <w:bCs w:val="0"/>
                <w:color w:val="000000"/>
                <w:sz w:val="20"/>
                <w:szCs w:val="20"/>
                <w:highlight w:val="none"/>
                <w:lang w:val="en-US" w:eastAsia="zh-CN"/>
              </w:rPr>
            </w:pPr>
            <w:r>
              <w:rPr>
                <w:rFonts w:hint="eastAsia" w:ascii="宋体" w:hAnsi="宋体" w:cs="宋体"/>
                <w:b w:val="0"/>
                <w:bCs w:val="0"/>
                <w:color w:val="000000"/>
                <w:sz w:val="20"/>
                <w:szCs w:val="20"/>
                <w:highlight w:val="none"/>
                <w:lang w:val="en-US" w:eastAsia="zh-CN"/>
              </w:rPr>
              <w:t>3502.14</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本年度的总收支和年末结转结余情况。本表金额转换为万元时，因四舍五入可能存在尾差。</w:t>
            </w:r>
          </w:p>
        </w:tc>
      </w:tr>
    </w:tbl>
    <w:p>
      <w:pPr>
        <w:rPr>
          <w:rFonts w:hint="eastAsia" w:ascii="仿宋_GB2312" w:hAnsi="仿宋_GB2312" w:eastAsia="仿宋_GB2312" w:cs="仿宋_GB2312"/>
          <w:color w:val="000000"/>
          <w:sz w:val="32"/>
          <w:szCs w:val="32"/>
          <w:highlight w:val="none"/>
        </w:rPr>
      </w:pPr>
    </w:p>
    <w:p>
      <w:pPr>
        <w:rPr>
          <w:rFonts w:hint="eastAsia" w:ascii="仿宋_GB2312" w:hAnsi="仿宋_GB2312" w:eastAsia="仿宋_GB2312" w:cs="仿宋_GB2312"/>
          <w:color w:val="000000"/>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70" w:type="dxa"/>
        <w:tblInd w:w="0" w:type="dxa"/>
        <w:tblLayout w:type="fixed"/>
        <w:tblCellMar>
          <w:top w:w="0" w:type="dxa"/>
          <w:left w:w="0" w:type="dxa"/>
          <w:bottom w:w="0" w:type="dxa"/>
          <w:right w:w="0" w:type="dxa"/>
        </w:tblCellMar>
      </w:tblPr>
      <w:tblGrid>
        <w:gridCol w:w="1027"/>
        <w:gridCol w:w="240"/>
        <w:gridCol w:w="3530"/>
        <w:gridCol w:w="405"/>
        <w:gridCol w:w="1020"/>
        <w:gridCol w:w="1395"/>
        <w:gridCol w:w="615"/>
        <w:gridCol w:w="90"/>
        <w:gridCol w:w="720"/>
        <w:gridCol w:w="1185"/>
        <w:gridCol w:w="239"/>
        <w:gridCol w:w="962"/>
        <w:gridCol w:w="1274"/>
        <w:gridCol w:w="1143"/>
        <w:gridCol w:w="125"/>
      </w:tblGrid>
      <w:tr>
        <w:tblPrEx>
          <w:tblCellMar>
            <w:top w:w="0" w:type="dxa"/>
            <w:left w:w="0" w:type="dxa"/>
            <w:bottom w:w="0" w:type="dxa"/>
            <w:right w:w="0" w:type="dxa"/>
          </w:tblCellMar>
        </w:tblPrEx>
        <w:trPr>
          <w:trHeight w:val="435" w:hRule="atLeast"/>
        </w:trPr>
        <w:tc>
          <w:tcPr>
            <w:tcW w:w="13970"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收入决算表</w:t>
            </w:r>
          </w:p>
        </w:tc>
      </w:tr>
      <w:tr>
        <w:tblPrEx>
          <w:tblCellMar>
            <w:top w:w="0" w:type="dxa"/>
            <w:left w:w="0" w:type="dxa"/>
            <w:bottom w:w="0" w:type="dxa"/>
            <w:right w:w="0" w:type="dxa"/>
          </w:tblCellMar>
        </w:tblPrEx>
        <w:trPr>
          <w:gridAfter w:val="1"/>
          <w:wAfter w:w="125" w:type="dxa"/>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53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0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30" w:type="dxa"/>
            <w:gridSpan w:val="3"/>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44" w:type="dxa"/>
            <w:gridSpan w:val="3"/>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62"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nil"/>
              <w:left w:val="nil"/>
              <w:bottom w:val="nil"/>
              <w:right w:val="nil"/>
            </w:tcBorders>
            <w:shd w:val="clear" w:color="auto" w:fill="FFFFFF"/>
            <w:tcMar>
              <w:top w:w="15" w:type="dxa"/>
              <w:left w:w="15" w:type="dxa"/>
              <w:right w:w="15" w:type="dxa"/>
            </w:tcMar>
            <w:vAlign w:val="center"/>
          </w:tcPr>
          <w:p>
            <w:pPr>
              <w:widowControl/>
              <w:jc w:val="both"/>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公开02表</w:t>
            </w:r>
          </w:p>
        </w:tc>
      </w:tr>
      <w:tr>
        <w:tblPrEx>
          <w:tblCellMar>
            <w:top w:w="0" w:type="dxa"/>
            <w:left w:w="0" w:type="dxa"/>
            <w:bottom w:w="0" w:type="dxa"/>
            <w:right w:w="0" w:type="dxa"/>
          </w:tblCellMar>
        </w:tblPrEx>
        <w:trPr>
          <w:gridAfter w:val="1"/>
          <w:wAfter w:w="125" w:type="dxa"/>
          <w:trHeight w:val="300" w:hRule="atLeast"/>
        </w:trPr>
        <w:tc>
          <w:tcPr>
            <w:tcW w:w="4797" w:type="dxa"/>
            <w:gridSpan w:val="3"/>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：中国共产党许昌市纪律检查委员会（本级）</w:t>
            </w:r>
          </w:p>
        </w:tc>
        <w:tc>
          <w:tcPr>
            <w:tcW w:w="40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30" w:type="dxa"/>
            <w:gridSpan w:val="3"/>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144" w:type="dxa"/>
            <w:gridSpan w:val="3"/>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62"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17"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125" w:type="dxa"/>
          <w:trHeight w:val="450" w:hRule="atLeast"/>
        </w:trPr>
        <w:tc>
          <w:tcPr>
            <w:tcW w:w="479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42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本年收入合计</w:t>
            </w:r>
          </w:p>
        </w:tc>
        <w:tc>
          <w:tcPr>
            <w:tcW w:w="1395"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财政拨款收入</w:t>
            </w:r>
          </w:p>
        </w:tc>
        <w:tc>
          <w:tcPr>
            <w:tcW w:w="1425"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上级补助收入</w:t>
            </w:r>
          </w:p>
        </w:tc>
        <w:tc>
          <w:tcPr>
            <w:tcW w:w="1185"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事业收入</w:t>
            </w:r>
          </w:p>
        </w:tc>
        <w:tc>
          <w:tcPr>
            <w:tcW w:w="120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经营收入</w:t>
            </w:r>
          </w:p>
        </w:tc>
        <w:tc>
          <w:tcPr>
            <w:tcW w:w="1274"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附属单位上缴收入</w:t>
            </w:r>
          </w:p>
        </w:tc>
        <w:tc>
          <w:tcPr>
            <w:tcW w:w="1143"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其他收入</w:t>
            </w:r>
          </w:p>
        </w:tc>
      </w:tr>
      <w:tr>
        <w:tblPrEx>
          <w:tblCellMar>
            <w:top w:w="0" w:type="dxa"/>
            <w:left w:w="0" w:type="dxa"/>
            <w:bottom w:w="0" w:type="dxa"/>
            <w:right w:w="0" w:type="dxa"/>
          </w:tblCellMar>
        </w:tblPrEx>
        <w:trPr>
          <w:gridAfter w:val="1"/>
          <w:wAfter w:w="125" w:type="dxa"/>
          <w:trHeight w:val="450" w:hRule="atLeast"/>
        </w:trPr>
        <w:tc>
          <w:tcPr>
            <w:tcW w:w="1267"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35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42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95"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2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8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3"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5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2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95"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2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8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3"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4797"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4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r>
      <w:tr>
        <w:tblPrEx>
          <w:tblCellMar>
            <w:top w:w="0" w:type="dxa"/>
            <w:left w:w="0" w:type="dxa"/>
            <w:bottom w:w="0" w:type="dxa"/>
            <w:right w:w="0" w:type="dxa"/>
          </w:tblCellMar>
        </w:tblPrEx>
        <w:trPr>
          <w:gridAfter w:val="1"/>
          <w:wAfter w:w="125" w:type="dxa"/>
          <w:trHeight w:val="450" w:hRule="atLeast"/>
        </w:trPr>
        <w:tc>
          <w:tcPr>
            <w:tcW w:w="4797"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bCs/>
                <w:color w:val="000000"/>
                <w:sz w:val="20"/>
                <w:szCs w:val="20"/>
                <w:highlight w:val="none"/>
                <w:lang w:val="en-US" w:eastAsia="zh-CN"/>
              </w:rPr>
            </w:pPr>
            <w:r>
              <w:rPr>
                <w:rFonts w:hint="eastAsia" w:ascii="宋体" w:hAnsi="宋体" w:eastAsia="宋体" w:cs="宋体"/>
                <w:b/>
                <w:bCs/>
                <w:color w:val="000000"/>
                <w:sz w:val="20"/>
                <w:szCs w:val="20"/>
                <w:highlight w:val="none"/>
                <w:lang w:val="en-US" w:eastAsia="zh-CN"/>
              </w:rPr>
              <w:t>3114.38</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bCs/>
                <w:color w:val="000000"/>
                <w:sz w:val="20"/>
                <w:szCs w:val="20"/>
                <w:highlight w:val="none"/>
                <w:lang w:val="en-US" w:eastAsia="zh-CN"/>
              </w:rPr>
            </w:pPr>
            <w:r>
              <w:rPr>
                <w:rFonts w:hint="eastAsia" w:ascii="宋体" w:hAnsi="宋体" w:eastAsia="宋体" w:cs="宋体"/>
                <w:b/>
                <w:bCs/>
                <w:color w:val="000000"/>
                <w:sz w:val="20"/>
                <w:szCs w:val="20"/>
                <w:highlight w:val="none"/>
                <w:lang w:val="en-US" w:eastAsia="zh-CN"/>
              </w:rPr>
              <w:t>3114.38</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一般公共服务支出</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2768.08</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2768.08</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20111</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纪检监察事务</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2756.90</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2756.90</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2011101</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行政运行</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2181.09</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2181.09</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2011102</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一般行政管理事务</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575.81</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575.81</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20129</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群众团体事务</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11.18</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11.18</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2012906</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工会事务</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11.18</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11.18</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社会保障和就业支出</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244.96</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244.96</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行政事业单位养老支出</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220.90</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220.90</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2080501</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行政单位离退休</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115.17</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115.17</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2080505</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机关事业单位基本养老保险缴费支出</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105.73</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105.73</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20808</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抚恤</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23.22</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23.22</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2080801</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死亡抚恤</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23.22</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23.22</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20820</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临时救助</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0.84</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0.84</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2082001</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临时救助支出</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0.84</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0.84</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卫生健康支出</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101.34</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101.34</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行政事业单位医疗</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101.34</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101.34</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2101101</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行政单位医疗</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55.27</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55.27</w:t>
            </w:r>
          </w:p>
        </w:tc>
        <w:tc>
          <w:tcPr>
            <w:tcW w:w="1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125" w:type="dxa"/>
          <w:trHeight w:val="450" w:hRule="atLeast"/>
        </w:trPr>
        <w:tc>
          <w:tcPr>
            <w:tcW w:w="1267"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2101103</w:t>
            </w:r>
          </w:p>
        </w:tc>
        <w:tc>
          <w:tcPr>
            <w:tcW w:w="3530"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公务员医疗补助</w:t>
            </w:r>
          </w:p>
        </w:tc>
        <w:tc>
          <w:tcPr>
            <w:tcW w:w="142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46.07</w:t>
            </w:r>
          </w:p>
        </w:tc>
        <w:tc>
          <w:tcPr>
            <w:tcW w:w="139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46.07</w:t>
            </w:r>
          </w:p>
        </w:tc>
        <w:tc>
          <w:tcPr>
            <w:tcW w:w="1425"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4"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bl>
    <w:p>
      <w:pPr>
        <w:rPr>
          <w:rFonts w:hint="eastAsia" w:ascii="仿宋_GB2312" w:hAnsi="仿宋_GB2312" w:eastAsia="仿宋_GB2312" w:cs="仿宋_GB2312"/>
          <w:color w:val="000000"/>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本年度取得的各项收入情况。本表金额转换为万元时，因四舍五入可能存在尾差。</w:t>
      </w:r>
    </w:p>
    <w:tbl>
      <w:tblPr>
        <w:tblStyle w:val="6"/>
        <w:tblW w:w="13988" w:type="dxa"/>
        <w:tblInd w:w="0" w:type="dxa"/>
        <w:tblLayout w:type="fixed"/>
        <w:tblCellMar>
          <w:top w:w="0" w:type="dxa"/>
          <w:left w:w="0" w:type="dxa"/>
          <w:bottom w:w="0" w:type="dxa"/>
          <w:right w:w="0" w:type="dxa"/>
        </w:tblCellMar>
      </w:tblPr>
      <w:tblGrid>
        <w:gridCol w:w="1120"/>
        <w:gridCol w:w="63"/>
        <w:gridCol w:w="27"/>
        <w:gridCol w:w="3587"/>
        <w:gridCol w:w="90"/>
        <w:gridCol w:w="1350"/>
        <w:gridCol w:w="452"/>
        <w:gridCol w:w="943"/>
        <w:gridCol w:w="858"/>
        <w:gridCol w:w="642"/>
        <w:gridCol w:w="1160"/>
        <w:gridCol w:w="355"/>
        <w:gridCol w:w="1432"/>
        <w:gridCol w:w="14"/>
        <w:gridCol w:w="1895"/>
      </w:tblGrid>
      <w:tr>
        <w:tblPrEx>
          <w:tblCellMar>
            <w:top w:w="0" w:type="dxa"/>
            <w:left w:w="0" w:type="dxa"/>
            <w:bottom w:w="0" w:type="dxa"/>
            <w:right w:w="0" w:type="dxa"/>
          </w:tblCellMar>
        </w:tblPrEx>
        <w:trPr>
          <w:trHeight w:val="623" w:hRule="atLeast"/>
        </w:trPr>
        <w:tc>
          <w:tcPr>
            <w:tcW w:w="13988"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58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3"/>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95" w:type="dxa"/>
            <w:tcBorders>
              <w:top w:val="nil"/>
              <w:left w:val="nil"/>
              <w:bottom w:val="nil"/>
              <w:right w:val="nil"/>
            </w:tcBorders>
            <w:shd w:val="clear" w:color="auto" w:fill="FFFFFF"/>
            <w:tcMar>
              <w:top w:w="15" w:type="dxa"/>
              <w:left w:w="15" w:type="dxa"/>
              <w:right w:w="15" w:type="dxa"/>
            </w:tcMar>
            <w:vAlign w:val="center"/>
          </w:tcPr>
          <w:p>
            <w:pPr>
              <w:widowControl/>
              <w:jc w:val="both"/>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 xml:space="preserve">      </w:t>
            </w:r>
            <w:r>
              <w:rPr>
                <w:rFonts w:hint="eastAsia" w:ascii="宋体" w:hAnsi="宋体" w:cs="宋体"/>
                <w:color w:val="000000"/>
                <w:kern w:val="0"/>
                <w:sz w:val="20"/>
                <w:szCs w:val="20"/>
                <w:highlight w:val="none"/>
                <w:lang w:bidi="ar"/>
              </w:rPr>
              <w:t>公开03表</w:t>
            </w:r>
          </w:p>
        </w:tc>
      </w:tr>
      <w:tr>
        <w:tblPrEx>
          <w:tblCellMar>
            <w:top w:w="0" w:type="dxa"/>
            <w:left w:w="0" w:type="dxa"/>
            <w:bottom w:w="0" w:type="dxa"/>
            <w:right w:w="0" w:type="dxa"/>
          </w:tblCellMar>
        </w:tblPrEx>
        <w:trPr>
          <w:trHeight w:val="300" w:hRule="atLeast"/>
        </w:trPr>
        <w:tc>
          <w:tcPr>
            <w:tcW w:w="4887" w:type="dxa"/>
            <w:gridSpan w:val="5"/>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：中国共产党许昌市纪律检查委员会（本级）</w:t>
            </w: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696" w:type="dxa"/>
            <w:gridSpan w:val="4"/>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 xml:space="preserve">      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4797"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44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本年支出合计</w:t>
            </w:r>
          </w:p>
        </w:tc>
        <w:tc>
          <w:tcPr>
            <w:tcW w:w="139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50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51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上缴上级支出</w:t>
            </w:r>
          </w:p>
        </w:tc>
        <w:tc>
          <w:tcPr>
            <w:tcW w:w="1432"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经营支出</w:t>
            </w:r>
          </w:p>
        </w:tc>
        <w:tc>
          <w:tcPr>
            <w:tcW w:w="1909"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361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44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9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1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32"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61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4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9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1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32"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4797"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09"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trHeight w:val="450" w:hRule="atLeast"/>
        </w:trPr>
        <w:tc>
          <w:tcPr>
            <w:tcW w:w="4797"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b/>
                <w:bCs/>
                <w:color w:val="000000"/>
                <w:sz w:val="20"/>
                <w:szCs w:val="20"/>
                <w:highlight w:val="none"/>
                <w:lang w:val="en-US" w:eastAsia="zh-CN"/>
              </w:rPr>
              <w:t>3502.14</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2,746.18</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755.96</w:t>
            </w: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一般公共服务支出</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3,119.61</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2,364.50</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755.12</w:t>
            </w: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20111</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纪检监察事务</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3,098.43</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2,343.32</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755.12</w:t>
            </w: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2011101</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行政运行</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2,343.32</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2,343.32</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2011102</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一般行政管理事务</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748.74</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748.74</w:t>
            </w: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2011199</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其他纪检监察事务支出</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6.38</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6.38</w:t>
            </w: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20129</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群众团体事务</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11.18</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11.18</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2012906</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工会事务</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11.18</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11.18</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20199</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其他一般公共服务支出</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10.00</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2019999</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其他一般公共服务支出</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10.00</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社会保障和就业支出</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258.36</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257.52</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行政事业单位养老支出</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234.30</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234.30</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2080501</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行政单位离退休</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117.12</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117.12</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2080505</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机关事业单位基本养老保险缴费支出</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117.17</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117.17</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20808</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抚恤</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2080801</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死亡抚恤</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20820</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临时救助</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2082001</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临时救助支出</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卫生健康支出</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124.17</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124.17</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行政事业单位医疗</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124.17</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124.17</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2101101</w:t>
            </w:r>
          </w:p>
        </w:tc>
        <w:tc>
          <w:tcPr>
            <w:tcW w:w="3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行政单位医疗</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63.02</w:t>
            </w:r>
          </w:p>
        </w:tc>
        <w:tc>
          <w:tcPr>
            <w:tcW w:w="1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63.02</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2101103</w:t>
            </w:r>
          </w:p>
        </w:tc>
        <w:tc>
          <w:tcPr>
            <w:tcW w:w="3614"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公务员医疗补助</w:t>
            </w:r>
          </w:p>
        </w:tc>
        <w:tc>
          <w:tcPr>
            <w:tcW w:w="144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61.15</w:t>
            </w:r>
          </w:p>
        </w:tc>
        <w:tc>
          <w:tcPr>
            <w:tcW w:w="13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61.15</w:t>
            </w:r>
          </w:p>
        </w:tc>
        <w:tc>
          <w:tcPr>
            <w:tcW w:w="150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1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本年度各项支出情况。本表金额转换为万元时，因四舍五入可能存在尾差。</w:t>
            </w:r>
          </w:p>
        </w:tc>
      </w:tr>
    </w:tbl>
    <w:p>
      <w:pPr>
        <w:rPr>
          <w:rFonts w:hint="eastAsia" w:ascii="仿宋_GB2312" w:hAnsi="仿宋_GB2312" w:eastAsia="仿宋_GB2312" w:cs="仿宋_GB2312"/>
          <w:color w:val="000000"/>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73" w:type="dxa"/>
        <w:tblInd w:w="0" w:type="dxa"/>
        <w:tblLayout w:type="fixed"/>
        <w:tblCellMar>
          <w:top w:w="0" w:type="dxa"/>
          <w:left w:w="0" w:type="dxa"/>
          <w:bottom w:w="0" w:type="dxa"/>
          <w:right w:w="0" w:type="dxa"/>
        </w:tblCellMar>
      </w:tblPr>
      <w:tblGrid>
        <w:gridCol w:w="3088"/>
        <w:gridCol w:w="510"/>
        <w:gridCol w:w="1425"/>
        <w:gridCol w:w="2880"/>
        <w:gridCol w:w="555"/>
        <w:gridCol w:w="1440"/>
        <w:gridCol w:w="1470"/>
        <w:gridCol w:w="604"/>
        <w:gridCol w:w="656"/>
        <w:gridCol w:w="1345"/>
      </w:tblGrid>
      <w:tr>
        <w:tblPrEx>
          <w:tblCellMar>
            <w:top w:w="0" w:type="dxa"/>
            <w:left w:w="0" w:type="dxa"/>
            <w:bottom w:w="0" w:type="dxa"/>
            <w:right w:w="0" w:type="dxa"/>
          </w:tblCellMar>
        </w:tblPrEx>
        <w:trPr>
          <w:trHeight w:val="623" w:hRule="atLeast"/>
        </w:trPr>
        <w:tc>
          <w:tcPr>
            <w:tcW w:w="1262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财政拨款收入支出决算总表</w:t>
            </w:r>
          </w:p>
        </w:tc>
        <w:tc>
          <w:tcPr>
            <w:tcW w:w="1345" w:type="dxa"/>
            <w:tcBorders>
              <w:top w:val="nil"/>
              <w:left w:val="nil"/>
              <w:bottom w:val="nil"/>
              <w:right w:val="nil"/>
            </w:tcBorders>
            <w:vAlign w:val="top"/>
          </w:tcPr>
          <w:p>
            <w:pPr>
              <w:widowControl/>
              <w:jc w:val="center"/>
              <w:textAlignment w:val="center"/>
              <w:rPr>
                <w:rFonts w:hint="eastAsia" w:ascii="华文中宋" w:hAnsi="华文中宋" w:eastAsia="华文中宋" w:cs="华文中宋"/>
                <w:color w:val="000000"/>
                <w:kern w:val="0"/>
                <w:sz w:val="32"/>
                <w:szCs w:val="32"/>
                <w:highlight w:val="none"/>
                <w:lang w:bidi="ar"/>
              </w:rPr>
            </w:pPr>
          </w:p>
        </w:tc>
      </w:tr>
      <w:tr>
        <w:tblPrEx>
          <w:tblCellMar>
            <w:top w:w="0" w:type="dxa"/>
            <w:left w:w="0" w:type="dxa"/>
            <w:bottom w:w="0" w:type="dxa"/>
            <w:right w:w="0" w:type="dxa"/>
          </w:tblCellMar>
        </w:tblPrEx>
        <w:trPr>
          <w:trHeight w:val="90" w:hRule="atLeast"/>
        </w:trPr>
        <w:tc>
          <w:tcPr>
            <w:tcW w:w="3088"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1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8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5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4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74" w:type="dxa"/>
            <w:gridSpan w:val="2"/>
            <w:tcBorders>
              <w:top w:val="nil"/>
              <w:left w:val="nil"/>
              <w:bottom w:val="nil"/>
              <w:right w:val="nil"/>
            </w:tcBorders>
            <w:shd w:val="clear" w:color="auto" w:fill="FFFFFF"/>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656"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345" w:type="dxa"/>
            <w:tcBorders>
              <w:top w:val="nil"/>
              <w:left w:val="nil"/>
              <w:bottom w:val="nil"/>
              <w:right w:val="nil"/>
            </w:tcBorders>
            <w:shd w:val="clear" w:color="auto" w:fill="FFFFFF"/>
            <w:vAlign w:val="center"/>
          </w:tcPr>
          <w:p>
            <w:pPr>
              <w:widowControl/>
              <w:jc w:val="both"/>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en-US" w:eastAsia="zh-CN" w:bidi="ar"/>
              </w:rPr>
              <w:t xml:space="preserve">  </w:t>
            </w:r>
            <w:r>
              <w:rPr>
                <w:rFonts w:hint="eastAsia" w:ascii="宋体" w:hAnsi="宋体" w:cs="宋体"/>
                <w:color w:val="000000"/>
                <w:kern w:val="0"/>
                <w:sz w:val="20"/>
                <w:szCs w:val="20"/>
                <w:highlight w:val="none"/>
                <w:lang w:bidi="ar"/>
              </w:rPr>
              <w:t>公开04表</w:t>
            </w:r>
          </w:p>
        </w:tc>
      </w:tr>
      <w:tr>
        <w:tblPrEx>
          <w:tblCellMar>
            <w:top w:w="0" w:type="dxa"/>
            <w:left w:w="0" w:type="dxa"/>
            <w:bottom w:w="0" w:type="dxa"/>
            <w:right w:w="0" w:type="dxa"/>
          </w:tblCellMar>
        </w:tblPrEx>
        <w:trPr>
          <w:trHeight w:val="300" w:hRule="atLeast"/>
        </w:trPr>
        <w:tc>
          <w:tcPr>
            <w:tcW w:w="5023" w:type="dxa"/>
            <w:gridSpan w:val="3"/>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：中国共产党许昌市纪律检查委员会（本级）</w:t>
            </w:r>
          </w:p>
        </w:tc>
        <w:tc>
          <w:tcPr>
            <w:tcW w:w="288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5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4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74"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0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02" w:hRule="atLeast"/>
        </w:trPr>
        <w:tc>
          <w:tcPr>
            <w:tcW w:w="5023"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8950" w:type="dxa"/>
            <w:gridSpan w:val="7"/>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trHeight w:val="630" w:hRule="atLeast"/>
        </w:trPr>
        <w:tc>
          <w:tcPr>
            <w:tcW w:w="308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金额</w:t>
            </w: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12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1345" w:type="dxa"/>
            <w:tcBorders>
              <w:top w:val="single" w:color="000000" w:sz="4" w:space="0"/>
              <w:left w:val="single" w:color="000000" w:sz="4" w:space="0"/>
              <w:bottom w:val="single" w:color="000000" w:sz="4" w:space="0"/>
              <w:right w:val="single" w:color="000000" w:sz="8" w:space="0"/>
            </w:tcBorders>
            <w:vAlign w:val="top"/>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sz w:val="20"/>
                <w:szCs w:val="20"/>
                <w:highlight w:val="none"/>
              </w:rPr>
              <w:t>国有资本经营预算财政拨款</w:t>
            </w: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260"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345" w:type="dxa"/>
            <w:tcBorders>
              <w:top w:val="single" w:color="000000" w:sz="4" w:space="0"/>
              <w:left w:val="single" w:color="000000" w:sz="4" w:space="0"/>
              <w:bottom w:val="single" w:color="000000" w:sz="4" w:space="0"/>
              <w:right w:val="single" w:color="000000" w:sz="8" w:space="0"/>
            </w:tcBorders>
            <w:shd w:val="clear" w:color="auto" w:fill="FFFFFF"/>
            <w:vAlign w:val="top"/>
          </w:tcPr>
          <w:p>
            <w:pPr>
              <w:widowControl/>
              <w:jc w:val="center"/>
              <w:textAlignment w:val="center"/>
              <w:rPr>
                <w:rFonts w:hint="eastAsia"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5</w:t>
            </w: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3114.38</w:t>
            </w: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7</w:t>
            </w:r>
          </w:p>
        </w:tc>
        <w:tc>
          <w:tcPr>
            <w:tcW w:w="144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3119.61</w:t>
            </w:r>
          </w:p>
        </w:tc>
        <w:tc>
          <w:tcPr>
            <w:tcW w:w="14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3,119.61</w:t>
            </w:r>
          </w:p>
        </w:tc>
        <w:tc>
          <w:tcPr>
            <w:tcW w:w="12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p>
        </w:tc>
        <w:tc>
          <w:tcPr>
            <w:tcW w:w="1345"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8</w:t>
            </w:r>
          </w:p>
        </w:tc>
        <w:tc>
          <w:tcPr>
            <w:tcW w:w="144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5"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9</w:t>
            </w:r>
          </w:p>
        </w:tc>
        <w:tc>
          <w:tcPr>
            <w:tcW w:w="144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5"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四、公共安全支出</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20</w:t>
            </w:r>
          </w:p>
        </w:tc>
        <w:tc>
          <w:tcPr>
            <w:tcW w:w="144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5"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21</w:t>
            </w:r>
          </w:p>
        </w:tc>
        <w:tc>
          <w:tcPr>
            <w:tcW w:w="144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5"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2</w:t>
            </w:r>
          </w:p>
        </w:tc>
        <w:tc>
          <w:tcPr>
            <w:tcW w:w="144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5"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七、文化旅游体育与传媒支出</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3</w:t>
            </w:r>
          </w:p>
        </w:tc>
        <w:tc>
          <w:tcPr>
            <w:tcW w:w="144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5"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28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八、社会保障和就业支出</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24</w:t>
            </w:r>
          </w:p>
        </w:tc>
        <w:tc>
          <w:tcPr>
            <w:tcW w:w="144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258.36</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258.36</w:t>
            </w:r>
          </w:p>
        </w:tc>
        <w:tc>
          <w:tcPr>
            <w:tcW w:w="12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p>
        </w:tc>
        <w:tc>
          <w:tcPr>
            <w:tcW w:w="1345" w:type="dxa"/>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28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九、卫生健康支出</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25</w:t>
            </w:r>
          </w:p>
        </w:tc>
        <w:tc>
          <w:tcPr>
            <w:tcW w:w="144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124.17</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124.17</w:t>
            </w:r>
          </w:p>
        </w:tc>
        <w:tc>
          <w:tcPr>
            <w:tcW w:w="12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p>
        </w:tc>
        <w:tc>
          <w:tcPr>
            <w:tcW w:w="1345" w:type="dxa"/>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28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6</w:t>
            </w:r>
          </w:p>
        </w:tc>
        <w:tc>
          <w:tcPr>
            <w:tcW w:w="144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45" w:type="dxa"/>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3114.38</w:t>
            </w:r>
          </w:p>
        </w:tc>
        <w:tc>
          <w:tcPr>
            <w:tcW w:w="28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7</w:t>
            </w:r>
          </w:p>
        </w:tc>
        <w:tc>
          <w:tcPr>
            <w:tcW w:w="144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3502.14</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3,502.14</w:t>
            </w:r>
          </w:p>
        </w:tc>
        <w:tc>
          <w:tcPr>
            <w:tcW w:w="12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color w:val="000000"/>
                <w:sz w:val="20"/>
                <w:szCs w:val="20"/>
                <w:highlight w:val="none"/>
              </w:rPr>
            </w:pPr>
          </w:p>
        </w:tc>
        <w:tc>
          <w:tcPr>
            <w:tcW w:w="1345" w:type="dxa"/>
            <w:tcBorders>
              <w:top w:val="single" w:color="000000" w:sz="4" w:space="0"/>
              <w:left w:val="nil"/>
              <w:bottom w:val="single" w:color="000000" w:sz="4" w:space="0"/>
              <w:right w:val="single" w:color="000000" w:sz="8" w:space="0"/>
            </w:tcBorders>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both"/>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财政拨款结转和结余</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387.76</w:t>
            </w:r>
          </w:p>
        </w:tc>
        <w:tc>
          <w:tcPr>
            <w:tcW w:w="28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年末财政拨款结转和结余</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8</w:t>
            </w:r>
          </w:p>
        </w:tc>
        <w:tc>
          <w:tcPr>
            <w:tcW w:w="144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5" w:type="dxa"/>
            <w:tcBorders>
              <w:top w:val="single" w:color="000000" w:sz="4" w:space="0"/>
              <w:left w:val="nil"/>
              <w:bottom w:val="single" w:color="000000" w:sz="4" w:space="0"/>
              <w:right w:val="single" w:color="000000" w:sz="8" w:space="0"/>
            </w:tcBorders>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600" w:firstLineChars="300"/>
              <w:jc w:val="both"/>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387.76</w:t>
            </w:r>
          </w:p>
        </w:tc>
        <w:tc>
          <w:tcPr>
            <w:tcW w:w="28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2</w:t>
            </w:r>
            <w:r>
              <w:rPr>
                <w:rFonts w:hint="eastAsia" w:ascii="宋体" w:hAnsi="宋体" w:cs="宋体"/>
                <w:color w:val="000000"/>
                <w:kern w:val="0"/>
                <w:sz w:val="20"/>
                <w:szCs w:val="20"/>
                <w:highlight w:val="none"/>
                <w:lang w:val="en-US" w:eastAsia="zh-CN" w:bidi="ar"/>
              </w:rPr>
              <w:t>9</w:t>
            </w:r>
          </w:p>
        </w:tc>
        <w:tc>
          <w:tcPr>
            <w:tcW w:w="144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5" w:type="dxa"/>
            <w:tcBorders>
              <w:top w:val="single" w:color="000000" w:sz="4" w:space="0"/>
              <w:left w:val="nil"/>
              <w:bottom w:val="single" w:color="000000" w:sz="4" w:space="0"/>
              <w:right w:val="single" w:color="000000" w:sz="8" w:space="0"/>
            </w:tcBorders>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widowControl/>
              <w:ind w:firstLine="600" w:firstLineChars="300"/>
              <w:jc w:val="both"/>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4</w:t>
            </w:r>
          </w:p>
        </w:tc>
        <w:tc>
          <w:tcPr>
            <w:tcW w:w="14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80"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30</w:t>
            </w:r>
          </w:p>
        </w:tc>
        <w:tc>
          <w:tcPr>
            <w:tcW w:w="144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0" w:type="dxa"/>
            <w:gridSpan w:val="2"/>
            <w:tcBorders>
              <w:top w:val="single" w:color="000000" w:sz="4" w:space="0"/>
              <w:left w:val="nil"/>
              <w:bottom w:val="nil"/>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5" w:type="dxa"/>
            <w:tcBorders>
              <w:top w:val="single" w:color="000000" w:sz="4" w:space="0"/>
              <w:left w:val="nil"/>
              <w:bottom w:val="nil"/>
              <w:right w:val="single" w:color="000000" w:sz="8" w:space="0"/>
            </w:tcBorders>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ind w:firstLine="600" w:firstLineChars="300"/>
              <w:jc w:val="both"/>
              <w:rPr>
                <w:rFonts w:hint="eastAsia" w:ascii="宋体" w:hAnsi="宋体" w:cs="宋体"/>
                <w:color w:val="000000"/>
                <w:sz w:val="20"/>
                <w:szCs w:val="20"/>
                <w:highlight w:val="none"/>
              </w:rPr>
            </w:pPr>
            <w:r>
              <w:rPr>
                <w:rFonts w:hint="eastAsia" w:ascii="宋体" w:hAnsi="宋体" w:cs="宋体"/>
                <w:color w:val="000000"/>
                <w:sz w:val="20"/>
                <w:szCs w:val="20"/>
                <w:highlight w:val="none"/>
              </w:rPr>
              <w:t>国有资本经营预算财政拨款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5</w:t>
            </w:r>
          </w:p>
        </w:tc>
        <w:tc>
          <w:tcPr>
            <w:tcW w:w="14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80"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31</w:t>
            </w:r>
          </w:p>
        </w:tc>
        <w:tc>
          <w:tcPr>
            <w:tcW w:w="1440"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0" w:type="dxa"/>
            <w:gridSpan w:val="2"/>
            <w:tcBorders>
              <w:top w:val="single" w:color="000000" w:sz="4" w:space="0"/>
              <w:left w:val="nil"/>
              <w:bottom w:val="nil"/>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5" w:type="dxa"/>
            <w:tcBorders>
              <w:top w:val="single" w:color="000000" w:sz="4" w:space="0"/>
              <w:left w:val="nil"/>
              <w:bottom w:val="nil"/>
              <w:right w:val="single" w:color="000000" w:sz="8" w:space="0"/>
            </w:tcBorders>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088"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6</w:t>
            </w:r>
          </w:p>
        </w:tc>
        <w:tc>
          <w:tcPr>
            <w:tcW w:w="142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3,502.14</w:t>
            </w:r>
          </w:p>
        </w:tc>
        <w:tc>
          <w:tcPr>
            <w:tcW w:w="2880"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32</w:t>
            </w:r>
          </w:p>
        </w:tc>
        <w:tc>
          <w:tcPr>
            <w:tcW w:w="1440" w:type="dxa"/>
            <w:tcBorders>
              <w:top w:val="single" w:color="000000" w:sz="4" w:space="0"/>
              <w:left w:val="nil"/>
              <w:bottom w:val="nil"/>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3502.14</w:t>
            </w:r>
          </w:p>
        </w:tc>
        <w:tc>
          <w:tcPr>
            <w:tcW w:w="1470"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3,502.14</w:t>
            </w:r>
          </w:p>
        </w:tc>
        <w:tc>
          <w:tcPr>
            <w:tcW w:w="1260" w:type="dxa"/>
            <w:gridSpan w:val="2"/>
            <w:tcBorders>
              <w:top w:val="single" w:color="000000" w:sz="4" w:space="0"/>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color w:val="000000"/>
                <w:sz w:val="20"/>
                <w:szCs w:val="20"/>
                <w:highlight w:val="none"/>
              </w:rPr>
            </w:pPr>
          </w:p>
        </w:tc>
        <w:tc>
          <w:tcPr>
            <w:tcW w:w="1345" w:type="dxa"/>
            <w:tcBorders>
              <w:top w:val="single" w:color="000000" w:sz="4" w:space="0"/>
              <w:left w:val="nil"/>
              <w:bottom w:val="single" w:color="000000" w:sz="8" w:space="0"/>
              <w:right w:val="single" w:color="000000" w:sz="8" w:space="0"/>
            </w:tcBorders>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585" w:hRule="atLeast"/>
        </w:trPr>
        <w:tc>
          <w:tcPr>
            <w:tcW w:w="1262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本年度一般公共预算财政拨款、政府性基金预算财政拨款和国有资本经营预算财政拨款的总收支和年末结转结余情况。本表金额转换为万元时，因四舍五入可能存在尾差。</w:t>
            </w:r>
          </w:p>
        </w:tc>
        <w:tc>
          <w:tcPr>
            <w:tcW w:w="1345" w:type="dxa"/>
            <w:tcBorders>
              <w:top w:val="single" w:color="000000" w:sz="8" w:space="0"/>
              <w:left w:val="nil"/>
              <w:bottom w:val="nil"/>
              <w:right w:val="nil"/>
            </w:tcBorders>
            <w:vAlign w:val="top"/>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color w:val="000000"/>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726"/>
        <w:gridCol w:w="688"/>
        <w:gridCol w:w="3849"/>
        <w:gridCol w:w="2970"/>
        <w:gridCol w:w="2880"/>
        <w:gridCol w:w="2875"/>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297"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849"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9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88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875"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w:t>
            </w:r>
            <w:r>
              <w:rPr>
                <w:rStyle w:val="14"/>
                <w:rFonts w:hint="default"/>
                <w:color w:val="000000"/>
                <w:highlight w:val="none"/>
                <w:lang w:bidi="ar"/>
              </w:rPr>
              <w:t>5表</w:t>
            </w:r>
          </w:p>
        </w:tc>
      </w:tr>
      <w:tr>
        <w:tblPrEx>
          <w:tblCellMar>
            <w:top w:w="0" w:type="dxa"/>
            <w:left w:w="0" w:type="dxa"/>
            <w:bottom w:w="0" w:type="dxa"/>
            <w:right w:w="0" w:type="dxa"/>
          </w:tblCellMar>
        </w:tblPrEx>
        <w:trPr>
          <w:trHeight w:val="300" w:hRule="atLeast"/>
        </w:trPr>
        <w:tc>
          <w:tcPr>
            <w:tcW w:w="5263" w:type="dxa"/>
            <w:gridSpan w:val="3"/>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：中国共产党许昌市纪律检查委员会（本级）</w:t>
            </w:r>
          </w:p>
        </w:tc>
        <w:tc>
          <w:tcPr>
            <w:tcW w:w="29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88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875"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05" w:hRule="atLeast"/>
        </w:trPr>
        <w:tc>
          <w:tcPr>
            <w:tcW w:w="5263"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项 </w:t>
            </w:r>
            <w:r>
              <w:rPr>
                <w:rStyle w:val="15"/>
                <w:rFonts w:hint="default"/>
                <w:color w:val="000000"/>
                <w:sz w:val="20"/>
                <w:szCs w:val="20"/>
                <w:highlight w:val="none"/>
                <w:lang w:bidi="ar"/>
              </w:rPr>
              <w:t xml:space="preserve">   </w:t>
            </w:r>
            <w:r>
              <w:rPr>
                <w:rStyle w:val="16"/>
                <w:rFonts w:hint="default"/>
                <w:color w:val="000000"/>
                <w:sz w:val="20"/>
                <w:szCs w:val="20"/>
                <w:highlight w:val="none"/>
                <w:lang w:bidi="ar"/>
              </w:rPr>
              <w:t>目</w:t>
            </w:r>
          </w:p>
        </w:tc>
        <w:tc>
          <w:tcPr>
            <w:tcW w:w="8725"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38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297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288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2875"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8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97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88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875"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8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97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88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875"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5263"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r>
      <w:tr>
        <w:tblPrEx>
          <w:tblCellMar>
            <w:top w:w="0" w:type="dxa"/>
            <w:left w:w="0" w:type="dxa"/>
            <w:bottom w:w="0" w:type="dxa"/>
            <w:right w:w="0" w:type="dxa"/>
          </w:tblCellMar>
        </w:tblPrEx>
        <w:trPr>
          <w:trHeight w:val="450" w:hRule="atLeast"/>
        </w:trPr>
        <w:tc>
          <w:tcPr>
            <w:tcW w:w="5263"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3,502.14</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2,746.18</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755.96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3,119.61</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2,364.50</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755.12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3,098.43</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2,343.32</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755.12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2011101</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2,343.32</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2,343.32</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2011102</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748.74</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748.74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2011199</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其他纪检监察事务支出</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6.38</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6.38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20129</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11.18</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11.18</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2012906</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11.18</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11.18</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20199</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2019999</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258.36</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257.52</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234.30</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234.30</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2080501</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117.12</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117.12</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2080505</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117.17</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117.17</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20808</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抚恤</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2080801</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20820</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临时救助</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2082001</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临时救助支出</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124.17</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124.17</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124.17</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124.17</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2101101</w:t>
            </w:r>
          </w:p>
        </w:tc>
        <w:tc>
          <w:tcPr>
            <w:tcW w:w="3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2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63.02</w:t>
            </w:r>
          </w:p>
        </w:tc>
        <w:tc>
          <w:tcPr>
            <w:tcW w:w="2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63.02</w:t>
            </w:r>
          </w:p>
        </w:tc>
        <w:tc>
          <w:tcPr>
            <w:tcW w:w="28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2101103</w:t>
            </w:r>
          </w:p>
        </w:tc>
        <w:tc>
          <w:tcPr>
            <w:tcW w:w="38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297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61.15</w:t>
            </w:r>
          </w:p>
        </w:tc>
        <w:tc>
          <w:tcPr>
            <w:tcW w:w="288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61.15</w:t>
            </w:r>
          </w:p>
        </w:tc>
        <w:tc>
          <w:tcPr>
            <w:tcW w:w="287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本年度一般公共预算财政拨款支出情况。本表金额转换为万元时，因四舍五入可能存在尾差。</w:t>
            </w:r>
          </w:p>
        </w:tc>
      </w:tr>
    </w:tbl>
    <w:p>
      <w:pPr>
        <w:rPr>
          <w:rFonts w:hint="eastAsia" w:ascii="仿宋_GB2312" w:hAnsi="仿宋_GB2312" w:eastAsia="仿宋_GB2312" w:cs="仿宋_GB2312"/>
          <w:color w:val="000000"/>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1008"/>
        <w:gridCol w:w="2440"/>
        <w:gridCol w:w="1155"/>
        <w:gridCol w:w="998"/>
        <w:gridCol w:w="2066"/>
        <w:gridCol w:w="1181"/>
        <w:gridCol w:w="930"/>
        <w:gridCol w:w="3272"/>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4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9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8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93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272"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5601" w:type="dxa"/>
            <w:gridSpan w:val="4"/>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color w:val="000000"/>
                <w:kern w:val="0"/>
                <w:sz w:val="20"/>
                <w:szCs w:val="20"/>
                <w:highlight w:val="none"/>
                <w:lang w:eastAsia="zh-CN" w:bidi="ar"/>
              </w:rPr>
              <w:t>单位</w:t>
            </w:r>
            <w:r>
              <w:rPr>
                <w:rFonts w:ascii="Arial" w:hAnsi="Arial" w:cs="Arial"/>
                <w:color w:val="000000"/>
                <w:kern w:val="0"/>
                <w:sz w:val="20"/>
                <w:szCs w:val="20"/>
                <w:highlight w:val="none"/>
                <w:lang w:bidi="ar"/>
              </w:rPr>
              <w:t>：</w:t>
            </w:r>
            <w:r>
              <w:rPr>
                <w:rFonts w:hint="eastAsia" w:ascii="Arial" w:hAnsi="Arial" w:cs="Arial"/>
                <w:color w:val="000000"/>
                <w:kern w:val="0"/>
                <w:sz w:val="20"/>
                <w:szCs w:val="20"/>
                <w:highlight w:val="none"/>
                <w:lang w:bidi="ar"/>
              </w:rPr>
              <w:t>中国共产党许昌市纪律检查委员会（本级）</w:t>
            </w:r>
          </w:p>
        </w:tc>
        <w:tc>
          <w:tcPr>
            <w:tcW w:w="2066"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1181"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93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4210"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440"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15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99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18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93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3272"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工资福利支出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2,154.83</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商品和服务支出</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405.64</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39.49</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30101</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基本工资</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523.94</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31.01</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31001</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30102</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津贴补贴</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895.68</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印刷费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15.68</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31002</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30103</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奖金</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307.68</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咨询费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31003</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30106</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伙食补助费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手续费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31005</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30107</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绩效工资</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水费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31006</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30108</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机关事业单位基本养老保险费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126.24</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电费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31007</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30109</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职业年金缴费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邮电费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5.46</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31008</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30110</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职工基本医疗保险缴费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64.21</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取暖费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31009</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30111</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公务员医疗补助缴费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61.15</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物业管理费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31010</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30112</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其他社会保障缴费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1.99</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差旅费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66.09</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31011</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30113</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住房公积金</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132.82</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因公出国（境）费用</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31012</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30114</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维修（护）费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29.80</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31013</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39.49</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30199</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其他工资福利支出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41.12</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租赁费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36.14</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31019</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对个人和家庭的补助</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146.22</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会议费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1.32</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31021</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30301</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离休费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22.34</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培训费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3.46</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31022</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30302</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退休费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78.24</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公务招待费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2.44</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31099</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30303</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退职（役）费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专用材料费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30304</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抚恤金</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被装购置费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31201</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30305</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生活补助</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2.77</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专用燃料费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31203</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30306</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救济费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劳务费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33.52</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31204</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30307</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医疗费补助</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16.42</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委托业务费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0.01</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31205</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30308</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助学金</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工会经费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11.18</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31299</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30309</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奖励金</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福利费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14.37</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30310</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个人农业生产补贴</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公务用车运行维护费</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50.43</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31302</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bidi="ar"/>
              </w:rPr>
              <w:t>303</w:t>
            </w:r>
            <w:r>
              <w:rPr>
                <w:rFonts w:hint="eastAsia" w:ascii="宋体" w:hAnsi="宋体" w:cs="宋体"/>
                <w:color w:val="000000"/>
                <w:kern w:val="0"/>
                <w:sz w:val="20"/>
                <w:szCs w:val="20"/>
                <w:highlight w:val="none"/>
                <w:lang w:val="en-US" w:eastAsia="zh-CN" w:bidi="ar"/>
              </w:rPr>
              <w:t>11</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代缴社会保险费</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其他交通费用</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102.48</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31303</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30399</w:t>
            </w: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 xml:space="preserve">  对其他个人和家庭的补助支出</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3.23</w:t>
            </w: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税金及附加费用</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其他商品和服务支出</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2.26</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39906</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债务利息及费用支出</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39907</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国内债务付息</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39908</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国外债务付息</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39999</w:t>
            </w: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国内债务发行费用</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4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国外债务发行费用</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18"/>
                <w:szCs w:val="18"/>
                <w:highlight w:val="none"/>
              </w:rPr>
            </w:pPr>
          </w:p>
        </w:tc>
        <w:tc>
          <w:tcPr>
            <w:tcW w:w="3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4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人员经费合计</w:t>
            </w:r>
          </w:p>
        </w:tc>
        <w:tc>
          <w:tcPr>
            <w:tcW w:w="11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2301.05</w:t>
            </w:r>
          </w:p>
        </w:tc>
        <w:tc>
          <w:tcPr>
            <w:tcW w:w="8447"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445.13</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000000"/>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6901" w:type="dxa"/>
            <w:gridSpan w:val="6"/>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：中国共产党许昌市纪律检查委员会（本级）</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302"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94.92</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89.92</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39.49</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50.43</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92.36</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89.92</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39.49</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50.43</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2.44</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000000"/>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18" w:type="dxa"/>
        <w:tblInd w:w="0" w:type="dxa"/>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6306" w:type="dxa"/>
            <w:gridSpan w:val="6"/>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：中国共产党许昌市纪律检查委员会（本级）</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本年度政府性基金预算财政拨款收入、支出及结转和结余情况。</w:t>
            </w:r>
          </w:p>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w:t>
            </w:r>
            <w:r>
              <w:rPr>
                <w:rFonts w:hint="eastAsia" w:ascii="宋体" w:hAnsi="宋体" w:cs="宋体"/>
                <w:color w:val="000000"/>
                <w:sz w:val="24"/>
                <w:szCs w:val="24"/>
                <w:highlight w:val="none"/>
                <w:lang w:eastAsia="zh-CN"/>
              </w:rPr>
              <w:t>单位</w:t>
            </w:r>
            <w:r>
              <w:rPr>
                <w:rFonts w:hint="eastAsia" w:ascii="宋体" w:hAnsi="宋体" w:cs="宋体"/>
                <w:color w:val="000000"/>
                <w:sz w:val="24"/>
                <w:szCs w:val="24"/>
                <w:highlight w:val="none"/>
              </w:rPr>
              <w:t>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color w:val="000000"/>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jc w:val="center"/>
        <w:outlineLvl w:val="0"/>
        <w:rPr>
          <w:rFonts w:hint="eastAsia" w:ascii="黑体" w:hAnsi="黑体" w:eastAsia="黑体" w:cs="黑体"/>
          <w:color w:val="000000"/>
          <w:sz w:val="48"/>
          <w:szCs w:val="48"/>
          <w:highlight w:val="none"/>
        </w:rPr>
      </w:pPr>
      <w:r>
        <w:rPr>
          <w:rFonts w:hint="eastAsia" w:ascii="黑体" w:hAnsi="黑体" w:eastAsia="黑体" w:cs="黑体"/>
          <w:color w:val="000000"/>
          <w:sz w:val="48"/>
          <w:szCs w:val="48"/>
          <w:highlight w:val="none"/>
        </w:rPr>
        <w:t>第三部分 2021年度</w:t>
      </w:r>
      <w:r>
        <w:rPr>
          <w:rFonts w:hint="eastAsia" w:ascii="黑体" w:hAnsi="黑体" w:eastAsia="黑体" w:cs="黑体"/>
          <w:color w:val="000000"/>
          <w:sz w:val="48"/>
          <w:szCs w:val="48"/>
          <w:highlight w:val="none"/>
          <w:lang w:eastAsia="zh-CN"/>
        </w:rPr>
        <w:t>单位决算</w:t>
      </w:r>
      <w:r>
        <w:rPr>
          <w:rFonts w:hint="eastAsia" w:ascii="黑体" w:hAnsi="黑体" w:eastAsia="黑体" w:cs="黑体"/>
          <w:color w:val="000000"/>
          <w:sz w:val="48"/>
          <w:szCs w:val="48"/>
          <w:highlight w:val="none"/>
        </w:rPr>
        <w:t>情况说明</w:t>
      </w:r>
    </w:p>
    <w:p>
      <w:pPr>
        <w:widowControl/>
        <w:jc w:val="left"/>
        <w:rPr>
          <w:rFonts w:hint="eastAsia" w:ascii="黑体" w:hAnsi="黑体" w:eastAsia="黑体" w:cs="黑体"/>
          <w:color w:val="000000"/>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000000"/>
          <w:sz w:val="32"/>
          <w:szCs w:val="32"/>
          <w:highlight w:val="none"/>
        </w:rPr>
      </w:pPr>
      <w:r>
        <w:rPr>
          <w:rFonts w:ascii="仿宋_GB2312" w:hAnsi="仿宋_GB2312" w:eastAsia="仿宋_GB2312" w:cs="仿宋_GB2312"/>
          <w:color w:val="000000"/>
          <w:sz w:val="32"/>
          <w:szCs w:val="32"/>
          <w:highlight w:val="none"/>
        </w:rPr>
        <w:t>2021</w:t>
      </w:r>
      <w:r>
        <w:rPr>
          <w:rFonts w:hint="eastAsia" w:ascii="仿宋_GB2312" w:hAnsi="仿宋_GB2312" w:eastAsia="仿宋_GB2312" w:cs="仿宋_GB2312"/>
          <w:color w:val="000000"/>
          <w:sz w:val="32"/>
          <w:szCs w:val="32"/>
          <w:highlight w:val="none"/>
        </w:rPr>
        <w:t>年度收、支总计均为</w:t>
      </w:r>
      <w:r>
        <w:rPr>
          <w:rFonts w:hint="eastAsia" w:ascii="仿宋_GB2312" w:hAnsi="仿宋_GB2312" w:eastAsia="仿宋_GB2312" w:cs="仿宋_GB2312"/>
          <w:color w:val="000000"/>
          <w:sz w:val="32"/>
          <w:szCs w:val="32"/>
          <w:highlight w:val="none"/>
          <w:lang w:val="en-US" w:eastAsia="zh-CN"/>
        </w:rPr>
        <w:t>3502.14</w:t>
      </w:r>
      <w:r>
        <w:rPr>
          <w:rFonts w:hint="eastAsia" w:ascii="仿宋_GB2312" w:hAnsi="仿宋_GB2312" w:eastAsia="仿宋_GB2312" w:cs="仿宋_GB2312"/>
          <w:color w:val="000000"/>
          <w:sz w:val="32"/>
          <w:szCs w:val="32"/>
          <w:highlight w:val="none"/>
        </w:rPr>
        <w:t>万元。与上年度相比，收、支总计各减少</w:t>
      </w:r>
      <w:r>
        <w:rPr>
          <w:rFonts w:hint="eastAsia" w:ascii="仿宋_GB2312" w:hAnsi="仿宋_GB2312" w:eastAsia="仿宋_GB2312" w:cs="仿宋_GB2312"/>
          <w:color w:val="000000"/>
          <w:sz w:val="32"/>
          <w:szCs w:val="32"/>
          <w:highlight w:val="none"/>
          <w:lang w:val="en-US" w:eastAsia="zh-CN"/>
        </w:rPr>
        <w:t>178.95</w:t>
      </w:r>
      <w:r>
        <w:rPr>
          <w:rFonts w:hint="eastAsia" w:ascii="仿宋_GB2312" w:hAnsi="仿宋_GB2312" w:eastAsia="仿宋_GB2312" w:cs="仿宋_GB2312"/>
          <w:color w:val="000000"/>
          <w:sz w:val="32"/>
          <w:szCs w:val="32"/>
          <w:highlight w:val="none"/>
        </w:rPr>
        <w:t>万元，下降</w:t>
      </w:r>
      <w:r>
        <w:rPr>
          <w:rFonts w:hint="eastAsia" w:ascii="仿宋_GB2312" w:hAnsi="仿宋_GB2312" w:eastAsia="仿宋_GB2312" w:cs="仿宋_GB2312"/>
          <w:color w:val="000000"/>
          <w:sz w:val="32"/>
          <w:szCs w:val="32"/>
          <w:highlight w:val="none"/>
          <w:lang w:val="en-US" w:eastAsia="zh-CN"/>
        </w:rPr>
        <w:t>4.86</w:t>
      </w:r>
      <w:r>
        <w:rPr>
          <w:rFonts w:hint="eastAsia" w:ascii="仿宋_GB2312" w:hAnsi="仿宋_GB2312" w:eastAsia="仿宋_GB2312" w:cs="仿宋_GB2312"/>
          <w:color w:val="000000"/>
          <w:sz w:val="32"/>
          <w:szCs w:val="32"/>
          <w:highlight w:val="none"/>
        </w:rPr>
        <w:t>%。主要原因是</w:t>
      </w:r>
      <w:r>
        <w:rPr>
          <w:rFonts w:hint="eastAsia" w:ascii="仿宋_GB2312" w:hAnsi="仿宋_GB2312" w:eastAsia="仿宋_GB2312" w:cs="仿宋_GB2312"/>
          <w:sz w:val="32"/>
          <w:szCs w:val="32"/>
          <w:highlight w:val="none"/>
          <w:lang w:eastAsia="zh-CN"/>
        </w:rPr>
        <w:t>上年度项目建设经费支出较多</w:t>
      </w:r>
      <w:r>
        <w:rPr>
          <w:rFonts w:hint="eastAsia" w:ascii="仿宋_GB2312" w:hAnsi="仿宋_GB2312" w:eastAsia="仿宋_GB2312" w:cs="仿宋_GB2312"/>
          <w:color w:val="000000"/>
          <w:sz w:val="32"/>
          <w:szCs w:val="32"/>
          <w:highlight w:val="none"/>
        </w:rPr>
        <w:t>。</w:t>
      </w:r>
    </w:p>
    <w:p>
      <w:pPr>
        <w:widowControl/>
        <w:spacing w:line="590" w:lineRule="exact"/>
        <w:ind w:firstLine="640" w:firstLineChars="200"/>
        <w:outlineLvl w:val="1"/>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二、收入决算情况说明</w:t>
      </w:r>
    </w:p>
    <w:p>
      <w:pPr>
        <w:widowControl/>
        <w:spacing w:line="590" w:lineRule="exact"/>
        <w:ind w:firstLine="640" w:firstLineChars="200"/>
        <w:rPr>
          <w:rFonts w:hint="eastAsia" w:ascii="黑体" w:hAnsi="黑体" w:eastAsia="黑体" w:cs="黑体"/>
          <w:color w:val="000000"/>
          <w:sz w:val="32"/>
          <w:szCs w:val="32"/>
          <w:highlight w:val="none"/>
        </w:rPr>
      </w:pPr>
      <w:r>
        <w:rPr>
          <w:rFonts w:ascii="仿宋_GB2312" w:hAnsi="仿宋_GB2312" w:eastAsia="仿宋_GB2312" w:cs="仿宋_GB2312"/>
          <w:color w:val="000000"/>
          <w:sz w:val="32"/>
          <w:szCs w:val="32"/>
          <w:highlight w:val="none"/>
        </w:rPr>
        <w:t>2021</w:t>
      </w:r>
      <w:r>
        <w:rPr>
          <w:rFonts w:hint="eastAsia" w:ascii="仿宋_GB2312" w:hAnsi="仿宋_GB2312" w:eastAsia="仿宋_GB2312" w:cs="仿宋_GB2312"/>
          <w:color w:val="000000"/>
          <w:sz w:val="32"/>
          <w:szCs w:val="32"/>
          <w:highlight w:val="none"/>
        </w:rPr>
        <w:t>年度收入合计</w:t>
      </w:r>
      <w:r>
        <w:rPr>
          <w:rFonts w:hint="eastAsia" w:ascii="仿宋_GB2312" w:hAnsi="仿宋_GB2312" w:eastAsia="仿宋_GB2312" w:cs="仿宋_GB2312"/>
          <w:color w:val="000000"/>
          <w:sz w:val="32"/>
          <w:szCs w:val="32"/>
          <w:highlight w:val="none"/>
          <w:lang w:val="en-US" w:eastAsia="zh-CN"/>
        </w:rPr>
        <w:t>3114.38</w:t>
      </w:r>
      <w:r>
        <w:rPr>
          <w:rFonts w:hint="eastAsia" w:ascii="仿宋_GB2312" w:hAnsi="仿宋_GB2312" w:eastAsia="仿宋_GB2312" w:cs="仿宋_GB2312"/>
          <w:color w:val="000000"/>
          <w:sz w:val="32"/>
          <w:szCs w:val="32"/>
          <w:highlight w:val="none"/>
        </w:rPr>
        <w:t>万元，其中：财政拨款收入</w:t>
      </w:r>
      <w:r>
        <w:rPr>
          <w:rFonts w:hint="eastAsia" w:ascii="仿宋_GB2312" w:hAnsi="仿宋_GB2312" w:eastAsia="仿宋_GB2312" w:cs="仿宋_GB2312"/>
          <w:color w:val="000000"/>
          <w:sz w:val="32"/>
          <w:szCs w:val="32"/>
          <w:highlight w:val="none"/>
          <w:lang w:val="en-US" w:eastAsia="zh-CN"/>
        </w:rPr>
        <w:t>3114.38</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100.00</w:t>
      </w:r>
      <w:r>
        <w:rPr>
          <w:rFonts w:hint="eastAsia" w:ascii="仿宋_GB2312" w:hAnsi="仿宋_GB2312" w:eastAsia="仿宋_GB2312" w:cs="仿宋_GB2312"/>
          <w:color w:val="000000"/>
          <w:sz w:val="32"/>
          <w:szCs w:val="32"/>
          <w:highlight w:val="none"/>
        </w:rPr>
        <w:t>%；上级补助收入</w:t>
      </w:r>
      <w:r>
        <w:rPr>
          <w:rFonts w:hint="eastAsia" w:ascii="仿宋_GB2312" w:hAnsi="仿宋_GB2312" w:eastAsia="仿宋_GB2312" w:cs="仿宋_GB2312"/>
          <w:color w:val="000000"/>
          <w:sz w:val="32"/>
          <w:szCs w:val="32"/>
          <w:highlight w:val="none"/>
          <w:lang w:val="en-US" w:eastAsia="zh-CN"/>
        </w:rPr>
        <w:t>0.00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占0.00%</w:t>
      </w:r>
      <w:r>
        <w:rPr>
          <w:rFonts w:hint="eastAsia" w:ascii="仿宋_GB2312" w:hAnsi="仿宋_GB2312" w:eastAsia="仿宋_GB2312" w:cs="仿宋_GB2312"/>
          <w:color w:val="000000"/>
          <w:sz w:val="32"/>
          <w:szCs w:val="32"/>
          <w:highlight w:val="none"/>
        </w:rPr>
        <w:t>；事业收入</w:t>
      </w:r>
      <w:r>
        <w:rPr>
          <w:rFonts w:hint="eastAsia" w:ascii="仿宋_GB2312" w:hAnsi="仿宋_GB2312" w:eastAsia="仿宋_GB2312" w:cs="仿宋_GB2312"/>
          <w:color w:val="000000"/>
          <w:sz w:val="32"/>
          <w:szCs w:val="32"/>
          <w:highlight w:val="none"/>
          <w:lang w:val="en-US" w:eastAsia="zh-CN"/>
        </w:rPr>
        <w:t>0.00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占0.00%</w:t>
      </w:r>
      <w:r>
        <w:rPr>
          <w:rFonts w:hint="eastAsia" w:ascii="仿宋_GB2312" w:hAnsi="仿宋_GB2312" w:eastAsia="仿宋_GB2312" w:cs="仿宋_GB2312"/>
          <w:color w:val="000000"/>
          <w:sz w:val="32"/>
          <w:szCs w:val="32"/>
          <w:highlight w:val="none"/>
        </w:rPr>
        <w:t>；经营收入</w:t>
      </w:r>
      <w:r>
        <w:rPr>
          <w:rFonts w:hint="eastAsia" w:ascii="仿宋_GB2312" w:hAnsi="仿宋_GB2312" w:eastAsia="仿宋_GB2312" w:cs="仿宋_GB2312"/>
          <w:color w:val="000000"/>
          <w:sz w:val="32"/>
          <w:szCs w:val="32"/>
          <w:highlight w:val="none"/>
          <w:lang w:val="en-US" w:eastAsia="zh-CN"/>
        </w:rPr>
        <w:t>0.00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占0.00%</w:t>
      </w:r>
      <w:r>
        <w:rPr>
          <w:rFonts w:hint="eastAsia" w:ascii="仿宋_GB2312" w:hAnsi="仿宋_GB2312" w:eastAsia="仿宋_GB2312" w:cs="仿宋_GB2312"/>
          <w:color w:val="000000"/>
          <w:sz w:val="32"/>
          <w:szCs w:val="32"/>
          <w:highlight w:val="none"/>
        </w:rPr>
        <w:t>；附属单位上缴收入</w:t>
      </w:r>
      <w:r>
        <w:rPr>
          <w:rFonts w:hint="eastAsia" w:ascii="仿宋_GB2312" w:hAnsi="仿宋_GB2312" w:eastAsia="仿宋_GB2312" w:cs="仿宋_GB2312"/>
          <w:color w:val="000000"/>
          <w:sz w:val="32"/>
          <w:szCs w:val="32"/>
          <w:highlight w:val="none"/>
          <w:lang w:val="en-US" w:eastAsia="zh-CN"/>
        </w:rPr>
        <w:t>0.00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占0.00%</w:t>
      </w:r>
      <w:r>
        <w:rPr>
          <w:rFonts w:hint="eastAsia" w:ascii="仿宋_GB2312" w:hAnsi="仿宋_GB2312" w:eastAsia="仿宋_GB2312" w:cs="仿宋_GB2312"/>
          <w:color w:val="000000"/>
          <w:sz w:val="32"/>
          <w:szCs w:val="32"/>
          <w:highlight w:val="none"/>
        </w:rPr>
        <w:t>；其他收入</w:t>
      </w:r>
      <w:r>
        <w:rPr>
          <w:rFonts w:hint="eastAsia" w:ascii="仿宋_GB2312" w:hAnsi="仿宋_GB2312" w:eastAsia="仿宋_GB2312" w:cs="仿宋_GB2312"/>
          <w:color w:val="000000"/>
          <w:sz w:val="32"/>
          <w:szCs w:val="32"/>
          <w:highlight w:val="none"/>
          <w:lang w:val="en-US" w:eastAsia="zh-CN"/>
        </w:rPr>
        <w:t>0.00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占0.00%</w:t>
      </w:r>
      <w:r>
        <w:rPr>
          <w:rFonts w:hint="eastAsia" w:ascii="仿宋_GB2312" w:hAnsi="仿宋_GB2312" w:eastAsia="仿宋_GB2312" w:cs="仿宋_GB2312"/>
          <w:color w:val="000000"/>
          <w:sz w:val="32"/>
          <w:szCs w:val="32"/>
          <w:highlight w:val="none"/>
        </w:rPr>
        <w:t>。</w:t>
      </w:r>
    </w:p>
    <w:p>
      <w:pPr>
        <w:widowControl/>
        <w:spacing w:line="590" w:lineRule="exact"/>
        <w:ind w:firstLine="640" w:firstLineChars="200"/>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rPr>
        <w:t>三、支出决算情况说明</w:t>
      </w:r>
      <w:r>
        <w:rPr>
          <w:rFonts w:hint="eastAsia" w:ascii="黑体" w:hAnsi="黑体" w:eastAsia="黑体" w:cs="黑体"/>
          <w:color w:val="000000"/>
          <w:sz w:val="32"/>
          <w:szCs w:val="32"/>
          <w:highlight w:val="none"/>
          <w:lang w:val="en-US" w:eastAsia="zh-CN"/>
        </w:rPr>
        <w:t xml:space="preserve"> </w:t>
      </w:r>
    </w:p>
    <w:p>
      <w:pPr>
        <w:widowControl/>
        <w:spacing w:line="590" w:lineRule="exact"/>
        <w:ind w:firstLine="640" w:firstLineChars="200"/>
        <w:rPr>
          <w:rFonts w:hint="eastAsia"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2021</w:t>
      </w:r>
      <w:r>
        <w:rPr>
          <w:rFonts w:hint="eastAsia" w:ascii="仿宋_GB2312" w:hAnsi="仿宋_GB2312" w:eastAsia="仿宋_GB2312" w:cs="仿宋_GB2312"/>
          <w:color w:val="000000"/>
          <w:sz w:val="32"/>
          <w:szCs w:val="32"/>
          <w:highlight w:val="none"/>
        </w:rPr>
        <w:t>年度支出合计</w:t>
      </w:r>
      <w:r>
        <w:rPr>
          <w:rFonts w:hint="eastAsia" w:ascii="仿宋_GB2312" w:hAnsi="仿宋_GB2312" w:eastAsia="仿宋_GB2312" w:cs="仿宋_GB2312"/>
          <w:color w:val="000000"/>
          <w:sz w:val="32"/>
          <w:szCs w:val="32"/>
          <w:highlight w:val="none"/>
          <w:lang w:val="en-US" w:eastAsia="zh-CN"/>
        </w:rPr>
        <w:t>3502.14</w:t>
      </w:r>
      <w:r>
        <w:rPr>
          <w:rFonts w:hint="eastAsia" w:ascii="仿宋_GB2312" w:hAnsi="仿宋_GB2312" w:eastAsia="仿宋_GB2312" w:cs="仿宋_GB2312"/>
          <w:color w:val="000000"/>
          <w:sz w:val="32"/>
          <w:szCs w:val="32"/>
          <w:highlight w:val="none"/>
        </w:rPr>
        <w:t>万元，其中：基本支出</w:t>
      </w:r>
      <w:r>
        <w:rPr>
          <w:rFonts w:hint="eastAsia" w:ascii="仿宋_GB2312" w:hAnsi="仿宋_GB2312" w:eastAsia="仿宋_GB2312" w:cs="仿宋_GB2312"/>
          <w:color w:val="000000"/>
          <w:sz w:val="32"/>
          <w:szCs w:val="32"/>
          <w:highlight w:val="none"/>
          <w:lang w:val="en-US" w:eastAsia="zh-CN"/>
        </w:rPr>
        <w:t>2746.18</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78.41</w:t>
      </w:r>
      <w:r>
        <w:rPr>
          <w:rFonts w:hint="eastAsia" w:ascii="仿宋_GB2312" w:hAnsi="仿宋_GB2312" w:eastAsia="仿宋_GB2312" w:cs="仿宋_GB2312"/>
          <w:color w:val="000000"/>
          <w:sz w:val="32"/>
          <w:szCs w:val="32"/>
          <w:highlight w:val="none"/>
        </w:rPr>
        <w:t>%；项目支出</w:t>
      </w:r>
      <w:r>
        <w:rPr>
          <w:rFonts w:hint="eastAsia" w:ascii="仿宋_GB2312" w:hAnsi="仿宋_GB2312" w:eastAsia="仿宋_GB2312" w:cs="仿宋_GB2312"/>
          <w:color w:val="000000"/>
          <w:sz w:val="32"/>
          <w:szCs w:val="32"/>
          <w:highlight w:val="none"/>
          <w:lang w:val="en-US" w:eastAsia="zh-CN"/>
        </w:rPr>
        <w:t>755.96</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21.59</w:t>
      </w:r>
      <w:r>
        <w:rPr>
          <w:rFonts w:hint="eastAsia" w:ascii="仿宋_GB2312" w:hAnsi="仿宋_GB2312" w:eastAsia="仿宋_GB2312" w:cs="仿宋_GB2312"/>
          <w:color w:val="000000"/>
          <w:sz w:val="32"/>
          <w:szCs w:val="32"/>
          <w:highlight w:val="none"/>
        </w:rPr>
        <w:t>%；上缴上级支出</w:t>
      </w:r>
      <w:r>
        <w:rPr>
          <w:rFonts w:hint="eastAsia" w:ascii="仿宋_GB2312" w:hAnsi="仿宋_GB2312" w:eastAsia="仿宋_GB2312" w:cs="仿宋_GB2312"/>
          <w:color w:val="000000"/>
          <w:sz w:val="32"/>
          <w:szCs w:val="32"/>
          <w:highlight w:val="none"/>
          <w:lang w:val="en-US" w:eastAsia="zh-CN"/>
        </w:rPr>
        <w:t>0.00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占0.00%</w:t>
      </w:r>
      <w:r>
        <w:rPr>
          <w:rFonts w:hint="eastAsia" w:ascii="仿宋_GB2312" w:hAnsi="仿宋_GB2312" w:eastAsia="仿宋_GB2312" w:cs="仿宋_GB2312"/>
          <w:color w:val="000000"/>
          <w:sz w:val="32"/>
          <w:szCs w:val="32"/>
          <w:highlight w:val="none"/>
        </w:rPr>
        <w:t>；经营支出</w:t>
      </w:r>
      <w:r>
        <w:rPr>
          <w:rFonts w:hint="eastAsia" w:ascii="仿宋_GB2312" w:hAnsi="仿宋_GB2312" w:eastAsia="仿宋_GB2312" w:cs="仿宋_GB2312"/>
          <w:color w:val="000000"/>
          <w:sz w:val="32"/>
          <w:szCs w:val="32"/>
          <w:highlight w:val="none"/>
          <w:lang w:val="en-US" w:eastAsia="zh-CN"/>
        </w:rPr>
        <w:t>0.00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占0.00%</w:t>
      </w:r>
      <w:r>
        <w:rPr>
          <w:rFonts w:hint="eastAsia" w:ascii="仿宋_GB2312" w:hAnsi="仿宋_GB2312" w:eastAsia="仿宋_GB2312" w:cs="仿宋_GB2312"/>
          <w:color w:val="000000"/>
          <w:sz w:val="32"/>
          <w:szCs w:val="32"/>
          <w:highlight w:val="none"/>
        </w:rPr>
        <w:t>；对附属单位补助支出</w:t>
      </w:r>
      <w:r>
        <w:rPr>
          <w:rFonts w:hint="eastAsia" w:ascii="仿宋_GB2312" w:hAnsi="仿宋_GB2312" w:eastAsia="仿宋_GB2312" w:cs="仿宋_GB2312"/>
          <w:color w:val="000000"/>
          <w:sz w:val="32"/>
          <w:szCs w:val="32"/>
          <w:highlight w:val="none"/>
          <w:lang w:val="en-US" w:eastAsia="zh-CN"/>
        </w:rPr>
        <w:t>0.00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占0.00%</w:t>
      </w:r>
      <w:r>
        <w:rPr>
          <w:rFonts w:hint="eastAsia" w:ascii="仿宋_GB2312" w:hAnsi="仿宋_GB2312" w:eastAsia="仿宋_GB2312" w:cs="仿宋_GB2312"/>
          <w:color w:val="000000"/>
          <w:sz w:val="32"/>
          <w:szCs w:val="32"/>
          <w:highlight w:val="none"/>
        </w:rPr>
        <w:t>。</w:t>
      </w:r>
    </w:p>
    <w:p>
      <w:pPr>
        <w:widowControl/>
        <w:spacing w:line="590" w:lineRule="exact"/>
        <w:ind w:firstLine="640" w:firstLineChars="200"/>
        <w:outlineLvl w:val="1"/>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2021</w:t>
      </w:r>
      <w:r>
        <w:rPr>
          <w:rFonts w:hint="eastAsia" w:ascii="仿宋_GB2312" w:hAnsi="仿宋_GB2312" w:eastAsia="仿宋_GB2312" w:cs="仿宋_GB2312"/>
          <w:color w:val="000000"/>
          <w:sz w:val="32"/>
          <w:szCs w:val="32"/>
          <w:highlight w:val="none"/>
        </w:rPr>
        <w:t>年度财政拨款收、支总计均为</w:t>
      </w:r>
      <w:r>
        <w:rPr>
          <w:rFonts w:hint="eastAsia" w:ascii="仿宋_GB2312" w:hAnsi="仿宋_GB2312" w:eastAsia="仿宋_GB2312" w:cs="仿宋_GB2312"/>
          <w:color w:val="000000"/>
          <w:sz w:val="32"/>
          <w:szCs w:val="32"/>
          <w:highlight w:val="none"/>
          <w:lang w:val="en-US" w:eastAsia="zh-CN"/>
        </w:rPr>
        <w:t>3502.14</w:t>
      </w:r>
      <w:r>
        <w:rPr>
          <w:rFonts w:hint="eastAsia" w:ascii="仿宋_GB2312" w:hAnsi="仿宋_GB2312" w:eastAsia="仿宋_GB2312" w:cs="仿宋_GB2312"/>
          <w:color w:val="000000"/>
          <w:sz w:val="32"/>
          <w:szCs w:val="32"/>
          <w:highlight w:val="none"/>
        </w:rPr>
        <w:t>万元。与上年度相比，财政拨款收、支总计各减少</w:t>
      </w:r>
      <w:r>
        <w:rPr>
          <w:rFonts w:hint="eastAsia" w:ascii="仿宋_GB2312" w:hAnsi="仿宋_GB2312" w:eastAsia="仿宋_GB2312" w:cs="仿宋_GB2312"/>
          <w:color w:val="000000"/>
          <w:sz w:val="32"/>
          <w:szCs w:val="32"/>
          <w:highlight w:val="none"/>
          <w:lang w:val="en-US" w:eastAsia="zh-CN"/>
        </w:rPr>
        <w:t>178.95</w:t>
      </w:r>
      <w:r>
        <w:rPr>
          <w:rFonts w:hint="eastAsia" w:ascii="仿宋_GB2312" w:hAnsi="仿宋_GB2312" w:eastAsia="仿宋_GB2312" w:cs="仿宋_GB2312"/>
          <w:color w:val="000000"/>
          <w:sz w:val="32"/>
          <w:szCs w:val="32"/>
          <w:highlight w:val="none"/>
        </w:rPr>
        <w:t>万元，下降</w:t>
      </w:r>
      <w:r>
        <w:rPr>
          <w:rFonts w:hint="eastAsia" w:ascii="仿宋_GB2312" w:hAnsi="仿宋_GB2312" w:eastAsia="仿宋_GB2312" w:cs="仿宋_GB2312"/>
          <w:color w:val="000000"/>
          <w:sz w:val="32"/>
          <w:szCs w:val="32"/>
          <w:highlight w:val="none"/>
          <w:lang w:val="en-US" w:eastAsia="zh-CN"/>
        </w:rPr>
        <w:t>4.86</w:t>
      </w:r>
      <w:r>
        <w:rPr>
          <w:rFonts w:hint="eastAsia" w:ascii="仿宋_GB2312" w:hAnsi="仿宋_GB2312" w:eastAsia="仿宋_GB2312" w:cs="仿宋_GB2312"/>
          <w:color w:val="000000"/>
          <w:sz w:val="32"/>
          <w:szCs w:val="32"/>
          <w:highlight w:val="none"/>
        </w:rPr>
        <w:t>%。主要原因是</w:t>
      </w:r>
      <w:r>
        <w:rPr>
          <w:rFonts w:hint="eastAsia" w:ascii="仿宋_GB2312" w:hAnsi="仿宋_GB2312" w:eastAsia="仿宋_GB2312" w:cs="仿宋_GB2312"/>
          <w:sz w:val="32"/>
          <w:szCs w:val="32"/>
          <w:highlight w:val="none"/>
          <w:lang w:eastAsia="zh-CN"/>
        </w:rPr>
        <w:t>上年度项目建设经费支出较多</w:t>
      </w:r>
      <w:r>
        <w:rPr>
          <w:rFonts w:hint="eastAsia" w:ascii="仿宋_GB2312" w:hAnsi="仿宋_GB2312" w:eastAsia="仿宋_GB2312" w:cs="仿宋_GB2312"/>
          <w:color w:val="000000"/>
          <w:sz w:val="32"/>
          <w:szCs w:val="32"/>
          <w:highlight w:val="none"/>
        </w:rPr>
        <w:t>。</w:t>
      </w:r>
    </w:p>
    <w:p>
      <w:pPr>
        <w:widowControl/>
        <w:spacing w:line="590" w:lineRule="exact"/>
        <w:ind w:firstLine="640" w:firstLineChars="200"/>
        <w:outlineLvl w:val="1"/>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000000"/>
          <w:sz w:val="32"/>
          <w:szCs w:val="32"/>
          <w:highlight w:val="none"/>
        </w:rPr>
      </w:pPr>
      <w:r>
        <w:rPr>
          <w:rFonts w:hint="eastAsia" w:ascii="楷体_GB2312" w:hAnsi="楷体_GB2312" w:eastAsia="楷体_GB2312" w:cs="楷体_GB2312"/>
          <w:b/>
          <w:bCs/>
          <w:color w:val="000000"/>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2021</w:t>
      </w:r>
      <w:r>
        <w:rPr>
          <w:rFonts w:hint="eastAsia" w:ascii="仿宋_GB2312" w:hAnsi="仿宋_GB2312" w:eastAsia="仿宋_GB2312" w:cs="仿宋_GB2312"/>
          <w:color w:val="000000"/>
          <w:sz w:val="32"/>
          <w:szCs w:val="32"/>
          <w:highlight w:val="none"/>
        </w:rPr>
        <w:t>年度一般公共预算财政拨款支出</w:t>
      </w:r>
      <w:r>
        <w:rPr>
          <w:rFonts w:hint="eastAsia" w:ascii="仿宋_GB2312" w:hAnsi="仿宋_GB2312" w:eastAsia="仿宋_GB2312" w:cs="仿宋_GB2312"/>
          <w:color w:val="000000"/>
          <w:sz w:val="32"/>
          <w:szCs w:val="32"/>
          <w:highlight w:val="none"/>
          <w:lang w:val="en-US" w:eastAsia="zh-CN"/>
        </w:rPr>
        <w:t>3502.14</w:t>
      </w:r>
      <w:r>
        <w:rPr>
          <w:rFonts w:hint="eastAsia" w:ascii="仿宋_GB2312" w:hAnsi="仿宋_GB2312" w:eastAsia="仿宋_GB2312" w:cs="仿宋_GB2312"/>
          <w:color w:val="000000"/>
          <w:sz w:val="32"/>
          <w:szCs w:val="32"/>
          <w:highlight w:val="none"/>
        </w:rPr>
        <w:t>万元，占支出合计的</w:t>
      </w:r>
      <w:r>
        <w:rPr>
          <w:rFonts w:hint="eastAsia" w:ascii="仿宋_GB2312" w:hAnsi="仿宋_GB2312" w:eastAsia="仿宋_GB2312" w:cs="仿宋_GB2312"/>
          <w:color w:val="000000"/>
          <w:sz w:val="32"/>
          <w:szCs w:val="32"/>
          <w:highlight w:val="none"/>
          <w:lang w:val="en-US" w:eastAsia="zh-CN"/>
        </w:rPr>
        <w:t>100.00</w:t>
      </w:r>
      <w:r>
        <w:rPr>
          <w:rFonts w:hint="eastAsia" w:ascii="仿宋_GB2312" w:hAnsi="仿宋_GB2312" w:eastAsia="仿宋_GB2312" w:cs="仿宋_GB2312"/>
          <w:color w:val="000000"/>
          <w:sz w:val="32"/>
          <w:szCs w:val="32"/>
          <w:highlight w:val="none"/>
        </w:rPr>
        <w:t>%。与上年度相比，一般公共预算财政拨款支出增加</w:t>
      </w:r>
      <w:r>
        <w:rPr>
          <w:rFonts w:hint="eastAsia" w:ascii="仿宋_GB2312" w:hAnsi="仿宋_GB2312" w:eastAsia="仿宋_GB2312" w:cs="仿宋_GB2312"/>
          <w:color w:val="000000"/>
          <w:sz w:val="32"/>
          <w:szCs w:val="32"/>
          <w:highlight w:val="none"/>
          <w:lang w:val="en-US" w:eastAsia="zh-CN"/>
        </w:rPr>
        <w:t>269.97</w:t>
      </w:r>
      <w:r>
        <w:rPr>
          <w:rFonts w:hint="eastAsia" w:ascii="仿宋_GB2312" w:hAnsi="仿宋_GB2312" w:eastAsia="仿宋_GB2312" w:cs="仿宋_GB2312"/>
          <w:color w:val="000000"/>
          <w:sz w:val="32"/>
          <w:szCs w:val="32"/>
          <w:highlight w:val="none"/>
        </w:rPr>
        <w:t>万元，增长</w:t>
      </w:r>
      <w:r>
        <w:rPr>
          <w:rFonts w:hint="eastAsia" w:ascii="仿宋_GB2312" w:hAnsi="仿宋_GB2312" w:eastAsia="仿宋_GB2312" w:cs="仿宋_GB2312"/>
          <w:color w:val="000000"/>
          <w:sz w:val="32"/>
          <w:szCs w:val="32"/>
          <w:highlight w:val="none"/>
          <w:lang w:val="en-US" w:eastAsia="zh-CN"/>
        </w:rPr>
        <w:t>8.35</w:t>
      </w:r>
      <w:r>
        <w:rPr>
          <w:rFonts w:hint="eastAsia" w:ascii="仿宋_GB2312" w:hAnsi="仿宋_GB2312" w:eastAsia="仿宋_GB2312" w:cs="仿宋_GB2312"/>
          <w:color w:val="000000"/>
          <w:sz w:val="32"/>
          <w:szCs w:val="32"/>
          <w:highlight w:val="none"/>
        </w:rPr>
        <w:t>%。主要原因</w:t>
      </w:r>
      <w:r>
        <w:rPr>
          <w:rFonts w:hint="eastAsia" w:ascii="仿宋_GB2312" w:hAnsi="仿宋_GB2312" w:eastAsia="仿宋_GB2312" w:cs="仿宋_GB2312"/>
          <w:color w:val="000000"/>
          <w:sz w:val="32"/>
          <w:szCs w:val="32"/>
          <w:highlight w:val="none"/>
          <w:lang w:eastAsia="zh-CN"/>
        </w:rPr>
        <w:t>是</w:t>
      </w:r>
      <w:r>
        <w:rPr>
          <w:rFonts w:hint="eastAsia" w:ascii="仿宋_GB2312" w:hAnsi="仿宋_GB2312" w:eastAsia="仿宋_GB2312" w:cs="仿宋_GB2312"/>
          <w:color w:val="auto"/>
          <w:sz w:val="32"/>
          <w:szCs w:val="32"/>
          <w:highlight w:val="none"/>
          <w:lang w:eastAsia="zh-CN"/>
        </w:rPr>
        <w:t>基本支出经费增加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000000"/>
          <w:sz w:val="32"/>
          <w:szCs w:val="32"/>
          <w:highlight w:val="none"/>
        </w:rPr>
      </w:pPr>
      <w:r>
        <w:rPr>
          <w:rFonts w:hint="eastAsia" w:ascii="楷体_GB2312" w:hAnsi="楷体_GB2312" w:eastAsia="楷体_GB2312" w:cs="楷体_GB2312"/>
          <w:b/>
          <w:bCs/>
          <w:color w:val="000000"/>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2021</w:t>
      </w:r>
      <w:r>
        <w:rPr>
          <w:rFonts w:hint="eastAsia" w:ascii="仿宋_GB2312" w:hAnsi="仿宋_GB2312" w:eastAsia="仿宋_GB2312" w:cs="仿宋_GB2312"/>
          <w:color w:val="000000"/>
          <w:sz w:val="32"/>
          <w:szCs w:val="32"/>
          <w:highlight w:val="none"/>
        </w:rPr>
        <w:t>年度一般公共预算财政拨款支出</w:t>
      </w:r>
      <w:r>
        <w:rPr>
          <w:rFonts w:hint="eastAsia" w:ascii="仿宋_GB2312" w:hAnsi="仿宋_GB2312" w:eastAsia="仿宋_GB2312" w:cs="仿宋_GB2312"/>
          <w:color w:val="000000"/>
          <w:sz w:val="32"/>
          <w:szCs w:val="32"/>
          <w:highlight w:val="none"/>
          <w:lang w:val="en-US" w:eastAsia="zh-CN"/>
        </w:rPr>
        <w:t>3502.14</w:t>
      </w:r>
      <w:r>
        <w:rPr>
          <w:rFonts w:hint="eastAsia" w:ascii="仿宋_GB2312" w:hAnsi="仿宋_GB2312" w:eastAsia="仿宋_GB2312" w:cs="仿宋_GB2312"/>
          <w:color w:val="000000"/>
          <w:sz w:val="32"/>
          <w:szCs w:val="32"/>
          <w:highlight w:val="none"/>
        </w:rPr>
        <w:t>万元，主要用于以下方面：一般公共服务（类）支出</w:t>
      </w:r>
      <w:r>
        <w:rPr>
          <w:rFonts w:hint="eastAsia" w:ascii="仿宋_GB2312" w:hAnsi="仿宋_GB2312" w:eastAsia="仿宋_GB2312" w:cs="仿宋_GB2312"/>
          <w:color w:val="000000"/>
          <w:sz w:val="32"/>
          <w:szCs w:val="32"/>
          <w:highlight w:val="none"/>
          <w:lang w:val="en-US" w:eastAsia="zh-CN"/>
        </w:rPr>
        <w:t>3119.61</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89.08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258.36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7.38</w:t>
      </w:r>
      <w:r>
        <w:rPr>
          <w:rFonts w:hint="eastAsia" w:ascii="仿宋_GB2312" w:hAnsi="仿宋_GB2312" w:eastAsia="仿宋_GB2312" w:cs="仿宋_GB2312"/>
          <w:sz w:val="32"/>
          <w:szCs w:val="32"/>
        </w:rPr>
        <w:t>%；卫生健康（类）支出12</w:t>
      </w:r>
      <w:r>
        <w:rPr>
          <w:rFonts w:hint="eastAsia" w:ascii="仿宋_GB2312" w:hAnsi="仿宋_GB2312" w:eastAsia="仿宋_GB2312" w:cs="仿宋_GB2312"/>
          <w:sz w:val="32"/>
          <w:szCs w:val="32"/>
          <w:lang w:val="en-US" w:eastAsia="zh-CN"/>
        </w:rPr>
        <w:t>4.17</w:t>
      </w:r>
      <w:r>
        <w:rPr>
          <w:rFonts w:hint="eastAsia" w:ascii="仿宋_GB2312" w:hAnsi="仿宋_GB2312" w:eastAsia="仿宋_GB2312" w:cs="仿宋_GB2312"/>
          <w:sz w:val="32"/>
          <w:szCs w:val="32"/>
        </w:rPr>
        <w:t>万元，占3.</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color w:val="000000"/>
          <w:sz w:val="32"/>
          <w:szCs w:val="32"/>
          <w:highlight w:val="none"/>
        </w:rPr>
      </w:pPr>
      <w:r>
        <w:rPr>
          <w:rFonts w:hint="eastAsia" w:ascii="楷体_GB2312" w:hAnsi="楷体_GB2312" w:eastAsia="楷体_GB2312" w:cs="楷体_GB2312"/>
          <w:b/>
          <w:bCs/>
          <w:color w:val="000000"/>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2021</w:t>
      </w:r>
      <w:r>
        <w:rPr>
          <w:rFonts w:hint="eastAsia" w:ascii="仿宋_GB2312" w:hAnsi="仿宋_GB2312" w:eastAsia="仿宋_GB2312" w:cs="仿宋_GB2312"/>
          <w:color w:val="000000"/>
          <w:sz w:val="32"/>
          <w:szCs w:val="32"/>
          <w:highlight w:val="none"/>
        </w:rPr>
        <w:t>年度一般公共预算财政拨款支出</w:t>
      </w:r>
      <w:r>
        <w:rPr>
          <w:rFonts w:hint="eastAsia" w:ascii="仿宋_GB2312" w:hAnsi="仿宋_GB2312" w:eastAsia="仿宋_GB2312" w:cs="仿宋_GB2312"/>
          <w:color w:val="000000"/>
          <w:sz w:val="32"/>
          <w:szCs w:val="32"/>
          <w:highlight w:val="none"/>
          <w:lang w:eastAsia="zh-CN"/>
        </w:rPr>
        <w:t>年初</w:t>
      </w:r>
      <w:r>
        <w:rPr>
          <w:rFonts w:hint="eastAsia" w:ascii="仿宋_GB2312" w:hAnsi="仿宋_GB2312" w:eastAsia="仿宋_GB2312" w:cs="仿宋_GB2312"/>
          <w:color w:val="000000"/>
          <w:sz w:val="32"/>
          <w:szCs w:val="32"/>
          <w:highlight w:val="none"/>
        </w:rPr>
        <w:t>预算为</w:t>
      </w:r>
      <w:r>
        <w:rPr>
          <w:rFonts w:hint="eastAsia" w:ascii="仿宋_GB2312" w:hAnsi="仿宋_GB2312" w:eastAsia="仿宋_GB2312" w:cs="仿宋_GB2312"/>
          <w:color w:val="000000"/>
          <w:sz w:val="32"/>
          <w:szCs w:val="32"/>
          <w:highlight w:val="none"/>
          <w:lang w:val="en-US" w:eastAsia="zh-CN"/>
        </w:rPr>
        <w:t>2507.27</w:t>
      </w:r>
      <w:r>
        <w:rPr>
          <w:rFonts w:hint="eastAsia" w:ascii="仿宋_GB2312" w:hAnsi="仿宋_GB2312" w:eastAsia="仿宋_GB2312" w:cs="仿宋_GB2312"/>
          <w:color w:val="000000"/>
          <w:sz w:val="32"/>
          <w:szCs w:val="32"/>
          <w:highlight w:val="none"/>
        </w:rPr>
        <w:t>万元，支出决算为</w:t>
      </w:r>
      <w:r>
        <w:rPr>
          <w:rFonts w:hint="eastAsia" w:ascii="仿宋_GB2312" w:hAnsi="仿宋_GB2312" w:eastAsia="仿宋_GB2312" w:cs="仿宋_GB2312"/>
          <w:color w:val="000000"/>
          <w:sz w:val="32"/>
          <w:szCs w:val="32"/>
          <w:highlight w:val="none"/>
          <w:lang w:val="en-US" w:eastAsia="zh-CN"/>
        </w:rPr>
        <w:t>3502.14</w:t>
      </w:r>
      <w:r>
        <w:rPr>
          <w:rFonts w:hint="eastAsia" w:ascii="仿宋_GB2312" w:hAnsi="仿宋_GB2312" w:eastAsia="仿宋_GB2312" w:cs="仿宋_GB2312"/>
          <w:color w:val="000000"/>
          <w:sz w:val="32"/>
          <w:szCs w:val="32"/>
          <w:highlight w:val="none"/>
        </w:rPr>
        <w:t>万元，完成</w:t>
      </w:r>
      <w:r>
        <w:rPr>
          <w:rFonts w:hint="eastAsia" w:ascii="仿宋_GB2312" w:hAnsi="仿宋_GB2312" w:eastAsia="仿宋_GB2312" w:cs="仿宋_GB2312"/>
          <w:color w:val="000000"/>
          <w:sz w:val="32"/>
          <w:szCs w:val="32"/>
          <w:highlight w:val="none"/>
          <w:lang w:eastAsia="zh-CN"/>
        </w:rPr>
        <w:t>年初</w:t>
      </w:r>
      <w:r>
        <w:rPr>
          <w:rFonts w:hint="eastAsia" w:ascii="仿宋_GB2312" w:hAnsi="仿宋_GB2312" w:eastAsia="仿宋_GB2312" w:cs="仿宋_GB2312"/>
          <w:color w:val="000000"/>
          <w:sz w:val="32"/>
          <w:szCs w:val="32"/>
          <w:highlight w:val="none"/>
        </w:rPr>
        <w:t>预算的</w:t>
      </w:r>
      <w:r>
        <w:rPr>
          <w:rFonts w:hint="eastAsia" w:ascii="仿宋_GB2312" w:hAnsi="仿宋_GB2312" w:eastAsia="仿宋_GB2312" w:cs="仿宋_GB2312"/>
          <w:color w:val="000000"/>
          <w:sz w:val="32"/>
          <w:szCs w:val="32"/>
          <w:highlight w:val="none"/>
          <w:lang w:val="en-US" w:eastAsia="zh-CN"/>
        </w:rPr>
        <w:t>139.68</w:t>
      </w:r>
      <w:r>
        <w:rPr>
          <w:rFonts w:hint="eastAsia" w:ascii="仿宋_GB2312" w:hAnsi="仿宋_GB2312" w:eastAsia="仿宋_GB2312" w:cs="仿宋_GB2312"/>
          <w:color w:val="000000"/>
          <w:sz w:val="32"/>
          <w:szCs w:val="32"/>
          <w:highlight w:val="none"/>
        </w:rPr>
        <w:t>%。其中：</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（类）纪检监察事务（款）行政运行（项）。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highlight w:val="none"/>
          <w:lang w:val="en-US" w:eastAsia="zh-CN"/>
        </w:rPr>
        <w:t>2140.23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2343.32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109.49</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lang w:eastAsia="zh-CN"/>
        </w:rPr>
        <w:t>统筹使用上年结转资金</w:t>
      </w:r>
      <w:r>
        <w:rPr>
          <w:rFonts w:hint="eastAsia" w:ascii="仿宋_GB2312" w:hAnsi="仿宋_GB2312" w:eastAsia="仿宋_GB2312" w:cs="仿宋_GB2312"/>
          <w:color w:val="auto"/>
          <w:sz w:val="32"/>
          <w:szCs w:val="32"/>
        </w:rPr>
        <w:t>。</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2．一般公共服务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（类）纪检监察事务（款）一般行政管理事务（项）。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highlight w:val="none"/>
        </w:rPr>
        <w:t>0.00万元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748.74</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color w:val="auto"/>
          <w:sz w:val="32"/>
          <w:szCs w:val="32"/>
          <w:lang w:eastAsia="zh-CN"/>
        </w:rPr>
        <w:t>年初实行项目经费零基预算</w:t>
      </w:r>
      <w:r>
        <w:rPr>
          <w:rFonts w:hint="eastAsia" w:ascii="仿宋_GB2312" w:hAnsi="仿宋_GB2312" w:eastAsia="仿宋_GB2312" w:cs="仿宋_GB2312"/>
          <w:color w:val="auto"/>
          <w:sz w:val="32"/>
          <w:szCs w:val="32"/>
        </w:rPr>
        <w:t>。</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3．一般公共服务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（类）纪检监察事务（款）其他纪检监察事务支出（项）。</w:t>
      </w:r>
      <w:r>
        <w:rPr>
          <w:rFonts w:hint="eastAsia" w:ascii="仿宋_GB2312" w:hAnsi="仿宋_GB2312" w:eastAsia="仿宋_GB2312" w:cs="仿宋_GB2312"/>
          <w:sz w:val="32"/>
          <w:szCs w:val="32"/>
        </w:rPr>
        <w:t>年初预算为0.00万元，支出决算为</w:t>
      </w:r>
      <w:r>
        <w:rPr>
          <w:rFonts w:hint="eastAsia" w:ascii="仿宋_GB2312" w:hAnsi="仿宋_GB2312" w:eastAsia="仿宋_GB2312" w:cs="仿宋_GB2312"/>
          <w:sz w:val="32"/>
          <w:szCs w:val="32"/>
          <w:lang w:val="en-US" w:eastAsia="zh-CN"/>
        </w:rPr>
        <w:t>6.38</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color w:val="auto"/>
          <w:sz w:val="32"/>
          <w:szCs w:val="32"/>
          <w:lang w:eastAsia="zh-CN"/>
        </w:rPr>
        <w:t>年初实行项目经费零基预算</w:t>
      </w:r>
      <w:r>
        <w:rPr>
          <w:rFonts w:hint="eastAsia" w:ascii="仿宋_GB2312" w:hAnsi="仿宋_GB2312" w:eastAsia="仿宋_GB2312" w:cs="仿宋_GB2312"/>
          <w:color w:val="auto"/>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4．一般公共服务支出（类）群众团体事务（款） 工会事务（项）。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highlight w:val="none"/>
        </w:rPr>
        <w:t>11.</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rPr>
        <w:t>万元，支出决算为11.</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万元，完成年初预算的100.00%。决算数与年初预算数不存在差异。</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5．一般公共服务支出（类）其他一般公共服务支出（款）其他一般公共服务支出（项）。</w:t>
      </w:r>
      <w:r>
        <w:rPr>
          <w:rFonts w:hint="eastAsia" w:ascii="仿宋_GB2312" w:hAnsi="仿宋_GB2312" w:eastAsia="仿宋_GB2312" w:cs="仿宋_GB2312"/>
          <w:sz w:val="32"/>
          <w:szCs w:val="32"/>
        </w:rPr>
        <w:t>年初预算为0.00万元，支出决算为1</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color w:val="auto"/>
          <w:sz w:val="32"/>
          <w:szCs w:val="32"/>
        </w:rPr>
        <w:t>统筹使用以前年度结转资金。</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6．社会保障和就业支出（类）行政事业单位养老支出（款） 行政单位离退休（项）。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highlight w:val="none"/>
        </w:rPr>
        <w:t>9</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rPr>
        <w:t>万元，支出决算为1</w:t>
      </w:r>
      <w:r>
        <w:rPr>
          <w:rFonts w:hint="eastAsia" w:ascii="仿宋_GB2312" w:hAnsi="仿宋_GB2312" w:eastAsia="仿宋_GB2312" w:cs="仿宋_GB2312"/>
          <w:sz w:val="32"/>
          <w:szCs w:val="32"/>
          <w:lang w:val="en-US" w:eastAsia="zh-CN"/>
        </w:rPr>
        <w:t>17.12</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17.5</w:t>
      </w:r>
      <w:r>
        <w:rPr>
          <w:rFonts w:hint="eastAsia" w:ascii="仿宋_GB2312" w:hAnsi="仿宋_GB2312" w:eastAsia="仿宋_GB2312" w:cs="仿宋_GB2312"/>
          <w:sz w:val="32"/>
          <w:szCs w:val="32"/>
        </w:rPr>
        <w:t>2%。决算数与年初预算数存在差异的主要原因是</w:t>
      </w:r>
      <w:r>
        <w:rPr>
          <w:rFonts w:hint="eastAsia" w:ascii="仿宋_GB2312" w:hAnsi="仿宋_GB2312" w:eastAsia="仿宋_GB2312" w:cs="仿宋_GB2312"/>
          <w:color w:val="auto"/>
          <w:sz w:val="32"/>
          <w:szCs w:val="32"/>
          <w:lang w:eastAsia="zh-CN"/>
        </w:rPr>
        <w:t>新增离休人员医疗补助经费等</w:t>
      </w:r>
      <w:r>
        <w:rPr>
          <w:rFonts w:hint="eastAsia" w:ascii="仿宋_GB2312" w:hAnsi="仿宋_GB2312" w:eastAsia="仿宋_GB2312" w:cs="仿宋_GB2312"/>
          <w:sz w:val="32"/>
          <w:szCs w:val="32"/>
        </w:rPr>
        <w:t>。</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7．社会保障和就业支出（类）行政事业单位养老支出（款）机关事业单位基本养老保险缴费支出（项）。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highlight w:val="none"/>
        </w:rPr>
        <w:t>12</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54</w:t>
      </w:r>
      <w:r>
        <w:rPr>
          <w:rFonts w:hint="eastAsia" w:ascii="仿宋_GB2312" w:hAnsi="仿宋_GB2312" w:eastAsia="仿宋_GB2312" w:cs="仿宋_GB2312"/>
          <w:sz w:val="32"/>
          <w:szCs w:val="32"/>
        </w:rPr>
        <w:t>万元，支出决算为11</w:t>
      </w:r>
      <w:r>
        <w:rPr>
          <w:rFonts w:hint="eastAsia" w:ascii="仿宋_GB2312" w:hAnsi="仿宋_GB2312" w:eastAsia="仿宋_GB2312" w:cs="仿宋_GB2312"/>
          <w:sz w:val="32"/>
          <w:szCs w:val="32"/>
          <w:lang w:val="en-US" w:eastAsia="zh-CN"/>
        </w:rPr>
        <w:t>7.17</w:t>
      </w:r>
      <w:r>
        <w:rPr>
          <w:rFonts w:hint="eastAsia" w:ascii="仿宋_GB2312" w:hAnsi="仿宋_GB2312" w:eastAsia="仿宋_GB2312" w:cs="仿宋_GB2312"/>
          <w:sz w:val="32"/>
          <w:szCs w:val="32"/>
        </w:rPr>
        <w:t>万元，完成年初预算的93.3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lang w:eastAsia="zh-CN"/>
        </w:rPr>
        <w:t>财政核减调出人员经费</w:t>
      </w:r>
      <w:r>
        <w:rPr>
          <w:rFonts w:hint="eastAsia" w:ascii="仿宋_GB2312" w:hAnsi="仿宋_GB2312" w:eastAsia="仿宋_GB2312" w:cs="仿宋_GB2312"/>
          <w:color w:val="auto"/>
          <w:sz w:val="32"/>
          <w:szCs w:val="32"/>
        </w:rPr>
        <w:t>。</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8．社会保障和就业支出（类）抚恤（款）死亡抚恤（项）。</w:t>
      </w:r>
      <w:r>
        <w:rPr>
          <w:rFonts w:hint="eastAsia" w:ascii="仿宋_GB2312" w:hAnsi="仿宋_GB2312" w:eastAsia="仿宋_GB2312" w:cs="仿宋_GB2312"/>
          <w:sz w:val="32"/>
          <w:szCs w:val="32"/>
        </w:rPr>
        <w:t>年初预算为0.00万元，支出决算为</w:t>
      </w:r>
      <w:r>
        <w:rPr>
          <w:rFonts w:hint="eastAsia" w:ascii="仿宋_GB2312" w:hAnsi="仿宋_GB2312" w:eastAsia="仿宋_GB2312" w:cs="仿宋_GB2312"/>
          <w:sz w:val="32"/>
          <w:szCs w:val="32"/>
          <w:lang w:val="en-US" w:eastAsia="zh-CN"/>
        </w:rPr>
        <w:t>23.22</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highlight w:val="none"/>
        </w:rPr>
        <w:t>临时追加预算资金</w:t>
      </w:r>
      <w:r>
        <w:rPr>
          <w:rFonts w:hint="eastAsia" w:ascii="仿宋_GB2312" w:hAnsi="仿宋_GB2312" w:eastAsia="仿宋_GB2312" w:cs="仿宋_GB2312"/>
          <w:sz w:val="32"/>
          <w:szCs w:val="32"/>
        </w:rPr>
        <w:t>。</w:t>
      </w:r>
    </w:p>
    <w:p>
      <w:pPr>
        <w:widowControl/>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9．社会保障和就业支出（类）临时救助（款）临时救助支出（项）。</w:t>
      </w:r>
      <w:r>
        <w:rPr>
          <w:rFonts w:hint="eastAsia" w:ascii="仿宋_GB2312" w:hAnsi="仿宋_GB2312" w:eastAsia="仿宋_GB2312" w:cs="仿宋_GB2312"/>
          <w:sz w:val="32"/>
          <w:szCs w:val="32"/>
        </w:rPr>
        <w:t>年初预算为0.00万元，支出决算为0.</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rPr>
        <w:t>万元。决算数与年初预算数存在差异的主要原因是临时拨付资金，未列入年初预算。</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10．卫生健康支出（类）行政事业单位医疗（款）行政单位医疗（项）。</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66.92</w:t>
      </w:r>
      <w:r>
        <w:rPr>
          <w:rFonts w:hint="eastAsia" w:ascii="仿宋_GB2312" w:hAnsi="仿宋_GB2312" w:eastAsia="仿宋_GB2312" w:cs="仿宋_GB2312"/>
          <w:sz w:val="32"/>
          <w:szCs w:val="32"/>
        </w:rPr>
        <w:t>万元，支出决算为6</w:t>
      </w:r>
      <w:r>
        <w:rPr>
          <w:rFonts w:hint="eastAsia" w:ascii="仿宋_GB2312" w:hAnsi="仿宋_GB2312" w:eastAsia="仿宋_GB2312" w:cs="仿宋_GB2312"/>
          <w:sz w:val="32"/>
          <w:szCs w:val="32"/>
          <w:lang w:val="en-US" w:eastAsia="zh-CN"/>
        </w:rPr>
        <w:t>3.02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94.17</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lang w:eastAsia="zh-CN"/>
        </w:rPr>
        <w:t>财政核减调出人员经费</w:t>
      </w:r>
      <w:r>
        <w:rPr>
          <w:rFonts w:hint="eastAsia" w:ascii="仿宋_GB2312" w:hAnsi="仿宋_GB2312" w:eastAsia="仿宋_GB2312" w:cs="仿宋_GB2312"/>
          <w:color w:val="auto"/>
          <w:sz w:val="32"/>
          <w:szCs w:val="32"/>
        </w:rPr>
        <w:t>。</w:t>
      </w:r>
    </w:p>
    <w:p>
      <w:pPr>
        <w:widowControl/>
        <w:spacing w:line="360" w:lineRule="auto"/>
        <w:ind w:firstLine="643" w:firstLineChars="200"/>
        <w:rPr>
          <w:rFonts w:hint="eastAsia" w:ascii="黑体" w:hAnsi="黑体" w:eastAsia="黑体" w:cs="黑体"/>
          <w:i/>
          <w:iCs/>
          <w:color w:val="FF0000"/>
          <w:sz w:val="32"/>
          <w:szCs w:val="32"/>
          <w:highlight w:val="yellow"/>
        </w:rPr>
      </w:pPr>
      <w:r>
        <w:rPr>
          <w:rFonts w:hint="eastAsia" w:ascii="仿宋_GB2312" w:hAnsi="仿宋_GB2312" w:eastAsia="仿宋_GB2312" w:cs="仿宋_GB2312"/>
          <w:b/>
          <w:bCs/>
          <w:sz w:val="32"/>
          <w:szCs w:val="32"/>
        </w:rPr>
        <w:t>11．卫生健康支出（类）行政事业单位医疗（款） 公务员医疗补助（项）。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3.74</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rPr>
        <w:t>元，支出决算为</w:t>
      </w:r>
      <w:r>
        <w:rPr>
          <w:rFonts w:hint="eastAsia" w:ascii="仿宋_GB2312" w:hAnsi="仿宋_GB2312" w:eastAsia="仿宋_GB2312" w:cs="仿宋_GB2312"/>
          <w:sz w:val="32"/>
          <w:szCs w:val="32"/>
          <w:lang w:val="en-US" w:eastAsia="zh-CN"/>
        </w:rPr>
        <w:t>61.15</w:t>
      </w:r>
      <w:r>
        <w:rPr>
          <w:rFonts w:hint="eastAsia" w:ascii="仿宋_GB2312" w:hAnsi="仿宋_GB2312" w:eastAsia="仿宋_GB2312" w:cs="仿宋_GB2312"/>
          <w:sz w:val="32"/>
          <w:szCs w:val="32"/>
        </w:rPr>
        <w:t>万元，完成年初预算的95</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lang w:eastAsia="zh-CN"/>
        </w:rPr>
        <w:t>财政核减调出人员经费</w:t>
      </w:r>
      <w:r>
        <w:rPr>
          <w:rFonts w:hint="eastAsia" w:ascii="仿宋_GB2312" w:hAnsi="仿宋_GB2312" w:eastAsia="仿宋_GB2312" w:cs="仿宋_GB2312"/>
          <w:color w:val="auto"/>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2746.18</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2301.05</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color w:val="auto"/>
          <w:sz w:val="32"/>
          <w:szCs w:val="32"/>
          <w:highlight w:val="none"/>
        </w:rPr>
        <w:t>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eastAsia="zh-CN"/>
        </w:rPr>
        <w:t>职工基本医疗保险缴费、公务员医疗补助缴费、</w:t>
      </w:r>
      <w:r>
        <w:rPr>
          <w:rFonts w:hint="eastAsia" w:ascii="仿宋_GB2312" w:hAnsi="仿宋_GB2312" w:eastAsia="仿宋_GB2312" w:cs="仿宋_GB2312"/>
          <w:color w:val="auto"/>
          <w:sz w:val="32"/>
          <w:szCs w:val="32"/>
          <w:highlight w:val="none"/>
        </w:rPr>
        <w:t>其他社会保障缴费、住房公积金、其他工资福利支出、离休费、退休费、抚恤金、生活补助、</w:t>
      </w:r>
      <w:r>
        <w:rPr>
          <w:rFonts w:hint="eastAsia" w:ascii="仿宋_GB2312" w:hAnsi="仿宋_GB2312" w:eastAsia="仿宋_GB2312" w:cs="仿宋_GB2312"/>
          <w:color w:val="auto"/>
          <w:sz w:val="32"/>
          <w:szCs w:val="32"/>
          <w:highlight w:val="none"/>
          <w:lang w:eastAsia="zh-CN"/>
        </w:rPr>
        <w:t>医疗费补助</w:t>
      </w:r>
      <w:r>
        <w:rPr>
          <w:rFonts w:hint="eastAsia" w:ascii="仿宋_GB2312" w:hAnsi="仿宋_GB2312" w:eastAsia="仿宋_GB2312" w:cs="仿宋_GB2312"/>
          <w:color w:val="auto"/>
          <w:sz w:val="32"/>
          <w:szCs w:val="32"/>
          <w:highlight w:val="none"/>
        </w:rPr>
        <w:t>、其他对个人和家庭的补助支出</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445.13</w:t>
      </w:r>
      <w:r>
        <w:rPr>
          <w:rFonts w:hint="eastAsia" w:ascii="仿宋_GB2312" w:hAnsi="仿宋_GB2312" w:eastAsia="仿宋_GB2312" w:cs="仿宋_GB2312"/>
          <w:sz w:val="32"/>
          <w:szCs w:val="32"/>
          <w:highlight w:val="none"/>
        </w:rPr>
        <w:t>万元，主要包括：办公费、印刷费、邮电费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差旅费、维修（护）费、租赁费、会议费、培训费、公务接待费、劳务费、委托业务费、工会经费、福利费、公务用车运行维护费、其他交通费用、其他商品和服务支出、</w:t>
      </w:r>
      <w:r>
        <w:rPr>
          <w:rFonts w:hint="eastAsia" w:ascii="仿宋_GB2312" w:hAnsi="仿宋_GB2312" w:eastAsia="仿宋_GB2312" w:cs="仿宋_GB2312"/>
          <w:sz w:val="32"/>
          <w:szCs w:val="32"/>
          <w:highlight w:val="none"/>
          <w:lang w:eastAsia="zh-CN"/>
        </w:rPr>
        <w:t>公务用车购置</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94.92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92.36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97.30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eastAsia="zh-CN"/>
        </w:rPr>
        <w:t>按照中央八项规定精神压减“三公”经费支出</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89.92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97.36</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2.44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48.80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2.64</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p>
    <w:p>
      <w:pPr>
        <w:widowControl/>
        <w:numPr>
          <w:ilvl w:val="0"/>
          <w:numId w:val="0"/>
        </w:numPr>
        <w:spacing w:line="59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因公出国（境）团组数0个，</w:t>
      </w:r>
      <w:r>
        <w:rPr>
          <w:rFonts w:hint="eastAsia" w:ascii="仿宋_GB2312" w:hAnsi="仿宋_GB2312" w:eastAsia="仿宋_GB2312" w:cs="仿宋_GB2312"/>
          <w:sz w:val="32"/>
          <w:szCs w:val="32"/>
          <w:highlight w:val="none"/>
          <w:lang w:eastAsia="zh-CN"/>
        </w:rPr>
        <w:t>累计</w:t>
      </w:r>
      <w:r>
        <w:rPr>
          <w:rFonts w:hint="eastAsia" w:ascii="仿宋_GB2312" w:hAnsi="仿宋_GB2312" w:eastAsia="仿宋_GB2312" w:cs="仿宋_GB2312"/>
          <w:sz w:val="32"/>
          <w:szCs w:val="32"/>
          <w:highlight w:val="none"/>
        </w:rPr>
        <w:t>0人</w:t>
      </w:r>
      <w:r>
        <w:rPr>
          <w:rFonts w:hint="eastAsia" w:ascii="仿宋_GB2312" w:hAnsi="仿宋_GB2312" w:eastAsia="仿宋_GB2312" w:cs="仿宋_GB2312"/>
          <w:sz w:val="32"/>
          <w:szCs w:val="32"/>
          <w:highlight w:val="none"/>
          <w:lang w:eastAsia="zh-CN"/>
        </w:rPr>
        <w:t>次</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89.92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89.92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39.49</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2辆</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sz w:val="32"/>
          <w:szCs w:val="32"/>
          <w:highlight w:val="none"/>
          <w:lang w:eastAsia="zh-CN"/>
        </w:rPr>
        <w:t>执法执勤用车</w:t>
      </w:r>
      <w:r>
        <w:rPr>
          <w:rFonts w:hint="eastAsia" w:ascii="仿宋_GB2312" w:hAnsi="仿宋_GB2312" w:eastAsia="仿宋_GB2312" w:cs="仿宋_GB2312"/>
          <w:sz w:val="32"/>
          <w:szCs w:val="32"/>
          <w:highlight w:val="none"/>
          <w:lang w:val="en-US" w:eastAsia="zh-CN"/>
        </w:rPr>
        <w:t>2辆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50.43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rPr>
        <w:t>主要用于公务用车保留车辆的燃料费、维修费、过路过桥费、保险费等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19辆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48.80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按照中央八项规定精神压减公务接待经费支出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2.44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主要用于执行任务、学习交流、考察调研、检查指导等活动中的公务接待支出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32</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216</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不存在项目年末结转和结余资金数额较大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情况说明：我单位</w:t>
      </w:r>
      <w:r>
        <w:rPr>
          <w:rFonts w:hint="eastAsia" w:ascii="仿宋_GB2312" w:hAnsi="仿宋_GB2312" w:eastAsia="仿宋_GB2312" w:cs="仿宋_GB2312"/>
          <w:sz w:val="32"/>
          <w:szCs w:val="32"/>
          <w:highlight w:val="none"/>
          <w:lang w:val="en-US" w:eastAsia="zh-CN"/>
        </w:rPr>
        <w:t>2021年度</w:t>
      </w:r>
      <w:r>
        <w:rPr>
          <w:rFonts w:hint="eastAsia" w:ascii="仿宋_GB2312" w:hAnsi="仿宋_GB2312" w:eastAsia="仿宋_GB2312" w:cs="仿宋_GB2312"/>
          <w:sz w:val="32"/>
          <w:szCs w:val="32"/>
          <w:highlight w:val="none"/>
          <w:lang w:eastAsia="zh-CN"/>
        </w:rPr>
        <w:t>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394.88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445.13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112.73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统筹使用上年结转经费</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b w:val="0"/>
          <w:bCs w:val="0"/>
          <w:color w:val="auto"/>
          <w:sz w:val="32"/>
          <w:szCs w:val="32"/>
          <w:highlight w:val="none"/>
        </w:rPr>
        <w:t>2021</w:t>
      </w:r>
      <w:r>
        <w:rPr>
          <w:rFonts w:hint="eastAsia" w:ascii="仿宋_GB2312" w:hAnsi="仿宋_GB2312" w:eastAsia="仿宋_GB2312" w:cs="仿宋_GB2312"/>
          <w:b w:val="0"/>
          <w:bCs w:val="0"/>
          <w:color w:val="auto"/>
          <w:sz w:val="32"/>
          <w:szCs w:val="32"/>
          <w:highlight w:val="none"/>
        </w:rPr>
        <w:t>年度政府采购支出总额</w:t>
      </w:r>
      <w:r>
        <w:rPr>
          <w:rFonts w:hint="eastAsia" w:ascii="仿宋_GB2312" w:hAnsi="仿宋_GB2312" w:eastAsia="仿宋_GB2312" w:cs="仿宋_GB2312"/>
          <w:b w:val="0"/>
          <w:bCs w:val="0"/>
          <w:color w:val="auto"/>
          <w:sz w:val="32"/>
          <w:szCs w:val="32"/>
          <w:highlight w:val="none"/>
          <w:lang w:val="en-US" w:eastAsia="zh-CN"/>
        </w:rPr>
        <w:t>0.00</w:t>
      </w:r>
      <w:r>
        <w:rPr>
          <w:rFonts w:hint="eastAsia" w:ascii="仿宋_GB2312" w:hAnsi="仿宋_GB2312" w:eastAsia="仿宋_GB2312" w:cs="仿宋_GB2312"/>
          <w:b w:val="0"/>
          <w:bCs w:val="0"/>
          <w:color w:val="auto"/>
          <w:sz w:val="32"/>
          <w:szCs w:val="32"/>
          <w:highlight w:val="none"/>
        </w:rPr>
        <w:t>万元，其中：政府采购货物支出</w:t>
      </w:r>
      <w:r>
        <w:rPr>
          <w:rFonts w:hint="eastAsia" w:ascii="仿宋_GB2312" w:hAnsi="仿宋_GB2312" w:eastAsia="仿宋_GB2312" w:cs="仿宋_GB2312"/>
          <w:b w:val="0"/>
          <w:bCs w:val="0"/>
          <w:color w:val="auto"/>
          <w:sz w:val="32"/>
          <w:szCs w:val="32"/>
          <w:highlight w:val="none"/>
          <w:lang w:val="en-US" w:eastAsia="zh-CN"/>
        </w:rPr>
        <w:t>0.00</w:t>
      </w:r>
      <w:r>
        <w:rPr>
          <w:rFonts w:hint="eastAsia" w:ascii="仿宋_GB2312" w:hAnsi="仿宋_GB2312" w:eastAsia="仿宋_GB2312" w:cs="仿宋_GB2312"/>
          <w:b w:val="0"/>
          <w:bCs w:val="0"/>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keepNext w:val="0"/>
        <w:keepLines w:val="0"/>
        <w:pageBreakBefore w:val="0"/>
        <w:widowControl/>
        <w:kinsoku/>
        <w:wordWrap/>
        <w:overflowPunct/>
        <w:topLinePunct w:val="0"/>
        <w:autoSpaceDE/>
        <w:autoSpaceDN/>
        <w:bidi w:val="0"/>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我单位积极开展</w:t>
      </w:r>
      <w:r>
        <w:rPr>
          <w:rFonts w:hint="eastAsia" w:ascii="仿宋_GB2312" w:hAnsi="仿宋_GB2312" w:eastAsia="仿宋_GB2312" w:cs="仿宋_GB2312"/>
          <w:sz w:val="32"/>
          <w:szCs w:val="32"/>
        </w:rPr>
        <w:t>绩效</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，明</w:t>
      </w:r>
      <w:r>
        <w:rPr>
          <w:rFonts w:hint="eastAsia" w:ascii="仿宋_GB2312" w:hAnsi="仿宋_GB2312" w:eastAsia="仿宋_GB2312" w:cs="仿宋_GB2312"/>
          <w:sz w:val="32"/>
          <w:szCs w:val="32"/>
        </w:rPr>
        <w:t>确岗位职责和分工任务，为开展绩效评价提供了组织保障。</w:t>
      </w:r>
      <w:r>
        <w:rPr>
          <w:rFonts w:hint="eastAsia" w:ascii="仿宋_GB2312" w:hAnsi="仿宋_GB2312" w:eastAsia="仿宋_GB2312" w:cs="仿宋_GB2312"/>
          <w:sz w:val="32"/>
          <w:szCs w:val="32"/>
          <w:lang w:eastAsia="zh-CN"/>
        </w:rPr>
        <w:t>对纳入预算的项目经费</w:t>
      </w:r>
      <w:r>
        <w:rPr>
          <w:rFonts w:hint="eastAsia" w:ascii="仿宋_GB2312" w:hAnsi="仿宋_GB2312" w:eastAsia="仿宋_GB2312" w:cs="仿宋_GB2312"/>
          <w:sz w:val="32"/>
          <w:szCs w:val="32"/>
        </w:rPr>
        <w:t>制定绩效评价指标体系，</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目标设定、预算配置、预算执行、预算管理、资产管理、责任履行、履职效益等</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绩效监控及</w:t>
      </w:r>
      <w:r>
        <w:rPr>
          <w:rFonts w:hint="eastAsia" w:ascii="仿宋_GB2312" w:hAnsi="仿宋_GB2312" w:eastAsia="仿宋_GB2312" w:cs="仿宋_GB2312"/>
          <w:sz w:val="32"/>
          <w:szCs w:val="32"/>
        </w:rPr>
        <w:t>评价</w:t>
      </w:r>
      <w:r>
        <w:rPr>
          <w:rFonts w:hint="eastAsia" w:ascii="仿宋_GB2312" w:hAnsi="仿宋_GB2312" w:eastAsia="仿宋_GB2312" w:cs="仿宋_GB2312"/>
          <w:sz w:val="32"/>
          <w:szCs w:val="32"/>
          <w:lang w:eastAsia="zh-CN"/>
        </w:rPr>
        <w:t>，充分的发挥了资金的使用效益，为进一步加强机关规范化建设提供了有力的资金支持。</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工作已完成，各项指标基本达到了预期绩效目标，整体绩效自评结果评定等级为“优”，保障了执纪办案工作的正常运转。二是项目绩效自评情况。我单位共有5个项目批复了绩效目标，项目金额575.81万元。</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99.66分。其中：5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宋体" w:eastAsia="黑体" w:cs="宋体"/>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widowControl/>
        <w:jc w:val="left"/>
        <w:rPr>
          <w:rFonts w:hint="eastAsia" w:ascii="黑体" w:hAnsi="宋体" w:eastAsia="黑体" w:cs="宋体"/>
          <w:color w:val="000000"/>
          <w:kern w:val="0"/>
          <w:sz w:val="28"/>
          <w:szCs w:val="28"/>
          <w:highlight w:val="none"/>
        </w:rPr>
      </w:pPr>
    </w:p>
    <w:p>
      <w:pPr>
        <w:jc w:val="center"/>
        <w:outlineLvl w:val="0"/>
        <w:rPr>
          <w:rFonts w:hint="eastAsia" w:ascii="黑体" w:hAnsi="黑体" w:eastAsia="黑体" w:cs="黑体"/>
          <w:color w:val="000000"/>
          <w:sz w:val="48"/>
          <w:szCs w:val="48"/>
          <w:highlight w:val="none"/>
        </w:rPr>
      </w:pPr>
      <w:r>
        <w:rPr>
          <w:rFonts w:hint="eastAsia" w:ascii="黑体" w:hAnsi="黑体" w:eastAsia="黑体" w:cs="黑体"/>
          <w:color w:val="000000"/>
          <w:sz w:val="48"/>
          <w:szCs w:val="48"/>
          <w:highlight w:val="none"/>
        </w:rPr>
        <w:t>第四部分  名词解释</w:t>
      </w:r>
    </w:p>
    <w:p>
      <w:pPr>
        <w:jc w:val="center"/>
        <w:rPr>
          <w:rFonts w:hint="eastAsia" w:ascii="黑体" w:hAnsi="黑体" w:eastAsia="黑体" w:cs="黑体"/>
          <w:color w:val="000000"/>
          <w:sz w:val="48"/>
          <w:szCs w:val="48"/>
          <w:highlight w:val="none"/>
        </w:rPr>
      </w:pPr>
    </w:p>
    <w:p>
      <w:pPr>
        <w:jc w:val="center"/>
        <w:outlineLvl w:val="0"/>
        <w:rPr>
          <w:rFonts w:hint="eastAsia" w:ascii="黑体" w:hAnsi="黑体" w:eastAsia="黑体" w:cs="黑体"/>
          <w:color w:val="000000"/>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172A27"/>
    <w:rsid w:val="02D923D9"/>
    <w:rsid w:val="040167EA"/>
    <w:rsid w:val="0F570BCC"/>
    <w:rsid w:val="11A0031D"/>
    <w:rsid w:val="126904AB"/>
    <w:rsid w:val="16832393"/>
    <w:rsid w:val="17A85FB7"/>
    <w:rsid w:val="1C2013E1"/>
    <w:rsid w:val="214B2F42"/>
    <w:rsid w:val="21D73DBD"/>
    <w:rsid w:val="284B668F"/>
    <w:rsid w:val="2CCF0DB8"/>
    <w:rsid w:val="31C93060"/>
    <w:rsid w:val="321A3B46"/>
    <w:rsid w:val="399142E8"/>
    <w:rsid w:val="41192E1B"/>
    <w:rsid w:val="44AE734C"/>
    <w:rsid w:val="45D06288"/>
    <w:rsid w:val="5D121D32"/>
    <w:rsid w:val="5E355BAC"/>
    <w:rsid w:val="651F746B"/>
    <w:rsid w:val="6EE3488D"/>
    <w:rsid w:val="75D66EE6"/>
    <w:rsid w:val="79D57D57"/>
    <w:rsid w:val="7A4F04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Char Char"/>
    <w:link w:val="3"/>
    <w:qFormat/>
    <w:uiPriority w:val="99"/>
    <w:rPr>
      <w:kern w:val="2"/>
      <w:sz w:val="18"/>
      <w:szCs w:val="18"/>
    </w:rPr>
  </w:style>
  <w:style w:type="character" w:customStyle="1" w:styleId="11">
    <w:name w:val="页脚 Char Char Char"/>
    <w:link w:val="4"/>
    <w:qFormat/>
    <w:uiPriority w:val="99"/>
    <w:rPr>
      <w:kern w:val="2"/>
      <w:sz w:val="18"/>
      <w:szCs w:val="18"/>
    </w:rPr>
  </w:style>
  <w:style w:type="character" w:customStyle="1" w:styleId="12">
    <w:name w:val="页眉 Char Char Char"/>
    <w:link w:val="5"/>
    <w:qFormat/>
    <w:uiPriority w:val="99"/>
    <w:rPr>
      <w:kern w:val="2"/>
      <w:sz w:val="18"/>
      <w:szCs w:val="18"/>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21"/>
    <w:qFormat/>
    <w:uiPriority w:val="0"/>
    <w:rPr>
      <w:rFonts w:hint="eastAsia" w:ascii="宋体" w:hAnsi="宋体" w:eastAsia="宋体" w:cs="宋体"/>
      <w:color w:val="000000"/>
      <w:sz w:val="22"/>
      <w:szCs w:val="22"/>
      <w:u w:val="none"/>
    </w:rPr>
  </w:style>
  <w:style w:type="paragraph" w:customStyle="1" w:styleId="18">
    <w:name w:val="Body Text First Indent_2810a0cb-b54f-4945-ac64-3c78cde7790c"/>
    <w:basedOn w:val="2"/>
    <w:qFormat/>
    <w:uiPriority w:val="0"/>
    <w:pPr>
      <w:ind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8258</Words>
  <Characters>10500</Characters>
  <Lines>60</Lines>
  <Paragraphs>16</Paragraphs>
  <TotalTime>0</TotalTime>
  <ScaleCrop>false</ScaleCrop>
  <LinksUpToDate>false</LinksUpToDate>
  <CharactersWithSpaces>10869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2022-09-13T10:05:00Z</cp:lastPrinted>
  <dcterms:modified xsi:type="dcterms:W3CDTF">2023-05-15T08:55:10Z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DF666AE5C528430BAD973CB5D7694D7C</vt:lpwstr>
  </property>
</Properties>
</file>